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7,982 palavras no original em inglês (corpo sem tabelas, títulos e legendas; cada citação contada como uma palavra); tradução: 8,606</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11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1102026-tarde"/>
    <w:p>
      <w:pPr>
        <w:pStyle w:val="Heading2"/>
      </w:pPr>
      <w:r>
        <w:t xml:space="preserve">Estado dos cálculos (01/10/2026,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11/48 concluídas</w:t>
            </w:r>
          </w:p>
        </w:tc>
        <w:tc>
          <w:tcPr/>
          <w:p>
            <w:pPr>
              <w:pStyle w:val="Compact"/>
              <w:spacing w:line="240" w:lineRule="auto"/>
            </w:pPr>
            <w:r>
              <w:rPr>
                <w:sz w:val="18"/>
              </w:rPr>
              <w:t xml:space="preserve">triagem pré-registrada: 1 de 8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w:t>
      </w:r>
      <w:r>
        <w:t xml:space="preserve"> </w:t>
      </w:r>
      <w:r>
        <w:t xml:space="preserve">faltam cerca de 37 simulações (40–55 min cada com a GPU compartilhada), ou aproximadamente 25 h; depois vêm E3, matriz 8 × 8, E8 e E9.</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1"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Depois de ver as primeiras trajetórias cíclicas, relatamos também, como descrição secundária pós-dados que não substitui o critério, a fração de quadros com |ω| ≥ 150°.</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0"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1749552"/>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1749552"/>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1988127"/>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1988127"/>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11 das 48 simulações haviam terminado (linear: os três de</w:t>
      </w:r>
      <w:r>
        <w:rPr>
          <w:rStyle w:val="Pendente"/>
        </w:rPr>
        <w:t xml:space="preserve"> </w:t>
      </w:r>
      <w:r>
        <w:rPr>
          <w:rStyle w:val="Pendente"/>
          <w:i/>
          <w:iCs/>
        </w:rPr>
        <w:t xml:space="preserve">A. gemmatalis</w:t>
      </w:r>
      <w:r>
        <w:rPr>
          <w:rStyle w:val="Pendente"/>
        </w:rPr>
        <w:t xml:space="preserve">, os três de</w:t>
      </w:r>
      <w:r>
        <w:rPr>
          <w:rStyle w:val="Pendente"/>
        </w:rPr>
        <w:t xml:space="preserve"> </w:t>
      </w:r>
      <w:r>
        <w:rPr>
          <w:rStyle w:val="Pendente"/>
          <w:i/>
          <w:iCs/>
        </w:rPr>
        <w:t xml:space="preserve">S. frugiperda</w:t>
      </w:r>
      <w:r>
        <w:rPr>
          <w:rStyle w:val="Pendente"/>
        </w:rPr>
        <w:t xml:space="preserve"> </w:t>
      </w:r>
      <w:r>
        <w:rPr>
          <w:rStyle w:val="Pendente"/>
        </w:rPr>
        <w:t xml:space="preserve">e dois dos três de</w:t>
      </w:r>
      <w:r>
        <w:rPr>
          <w:rStyle w:val="Pendente"/>
        </w:rPr>
        <w:t xml:space="preserve"> </w:t>
      </w:r>
      <w:r>
        <w:rPr>
          <w:rStyle w:val="Pendente"/>
          <w:i/>
          <w:iCs/>
        </w:rPr>
        <w:t xml:space="preserve">S. litura</w:t>
      </w:r>
      <w:r>
        <w:rPr>
          <w:rStyle w:val="Pendente"/>
        </w:rPr>
        <w:t xml:space="preserve">; cíclica: os três de</w:t>
      </w:r>
      <w:r>
        <w:rPr>
          <w:rStyle w:val="Pendente"/>
        </w:rPr>
        <w:t xml:space="preserve"> </w:t>
      </w:r>
      <w:r>
        <w:rPr>
          <w:rStyle w:val="Pendente"/>
          <w:i/>
          <w:iCs/>
        </w:rPr>
        <w:t xml:space="preserve">A. gemmatalis</w:t>
      </w:r>
      <w:r>
        <w:rPr>
          <w:rStyle w:val="Pendente"/>
        </w:rPr>
        <w:t xml:space="preserve">). Esta seção deve ser reescrita quando as 48 terminarem; nenhuma afirmação por espécie ou por frente é final.</w:t>
      </w:r>
    </w:p>
    <w:p>
      <w:pPr>
        <w:pStyle w:val="BodyText"/>
      </w:pPr>
      <w:r>
        <w:t xml:space="preserve">Das oito simulações lineares analisadas, uma passou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GTDEN (</w:t>
      </w:r>
      <w:r>
        <w:rPr>
          <w:i/>
          <w:iCs/>
        </w:rPr>
        <w:t xml:space="preserve">A. gemmatalis</w:t>
      </w:r>
      <w:r>
        <w:t xml:space="preserve">) manteve o Glu4 perto de S1 em 61% e 63% dos quadros das duas metades, com a mesma âncora, e falhou na ocupância. Os outros seis candidatos lineares tiveram ocupância na segunda metade de no máximo 0,07;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11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o critério permanece como registrado, e a fração de quadros é relatada apenas como descrição pós-dados. Os dois candidatos que permaneceram em S1 são os que têm um resíduo básico como âncora, ambos seguidos de prolina e portanto permitidos pelo critério duro (Seção 2.6), e ambos começaram com o peptídeo a ≤3,5 Å do Asp189; os quatro candidatos que começaram a 4,1–4,3 Å sem resíduo básico terminaram com ocupâncias de 0,00–0,63. Com uma réplica de 10 ns por candidato, são descrições de trajetórias únicas.</w:t>
      </w:r>
    </w:p>
    <w:p>
      <w:pPr>
        <w:pStyle w:val="CaptionedFigure"/>
      </w:pPr>
      <w:r>
        <w:drawing>
          <wp:inline>
            <wp:extent cx="5334000" cy="3243072"/>
            <wp:effectExtent b="0" l="0" r="0" t="0"/>
            <wp:docPr descr="Figura 11. Simulações de triagem de 10 ns (CHARMM36, pH 10, 300 K, uma réplica cada; provisório: 11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11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p>
      <w:r>
        <w:pict>
          <v:rect style="width:0;height:1.5pt" o:hralign="center" o:hrstd="t" o:hr="t"/>
        </w:pict>
      </w:r>
    </w:p>
    <w:bookmarkEnd w:id="69"/>
    <w:bookmarkEnd w:id="70"/>
    <w:bookmarkStart w:id="76" w:name="discussão"/>
    <w:p>
      <w:pPr>
        <w:pStyle w:val="Heading2"/>
      </w:pPr>
      <w:r>
        <w:t xml:space="preserve">4 Discussão</w:t>
      </w:r>
    </w:p>
    <w:bookmarkStart w:id="71"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1"/>
    <w:bookmarkStart w:id="72"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2"/>
    <w:bookmarkStart w:id="73"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3"/>
    <w:bookmarkStart w:id="74"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bookmarkEnd w:id="74"/>
    <w:bookmarkStart w:id="75"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75"/>
    <w:bookmarkEnd w:id="76"/>
    <w:bookmarkStart w:id="77"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77"/>
    <w:bookmarkStart w:id="78"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78"/>
    <w:bookmarkStart w:id="79"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79"/>
    <w:bookmarkStart w:id="80" w:name="financiamento"/>
    <w:p>
      <w:pPr>
        <w:pStyle w:val="Heading2"/>
      </w:pPr>
      <w:r>
        <w:t xml:space="preserve">Financiamento</w:t>
      </w:r>
    </w:p>
    <w:p>
      <w:pPr>
        <w:pStyle w:val="FirstParagraph"/>
      </w:pPr>
      <w:r>
        <w:rPr>
          <w:rStyle w:val="Pendente"/>
        </w:rPr>
        <w:t xml:space="preserve">PENDENTE: a completar pelos autores.</w:t>
      </w:r>
    </w:p>
    <w:bookmarkEnd w:id="80"/>
    <w:bookmarkStart w:id="81"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1"/>
    <w:bookmarkStart w:id="82" w:name="conflito-de-interesses"/>
    <w:p>
      <w:pPr>
        <w:pStyle w:val="Heading2"/>
      </w:pPr>
      <w:r>
        <w:t xml:space="preserve">Conflito de interesses</w:t>
      </w:r>
    </w:p>
    <w:p>
      <w:pPr>
        <w:pStyle w:val="FirstParagraph"/>
      </w:pPr>
      <w:r>
        <w:rPr>
          <w:rStyle w:val="Pendente"/>
        </w:rPr>
        <w:t xml:space="preserve">PENDENTE: a completar pelos autores.</w:t>
      </w:r>
    </w:p>
    <w:bookmarkEnd w:id="82"/>
    <w:bookmarkStart w:id="89"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4" name="Picture"/>
            <a:graphic>
              <a:graphicData uri="http://schemas.openxmlformats.org/drawingml/2006/picture">
                <pic:pic>
                  <pic:nvPicPr>
                    <pic:cNvPr descr="figures/pt/figS1_regras_motivo.png" id="85" name="Picture"/>
                    <pic:cNvPicPr>
                      <a:picLocks noChangeArrowheads="1" noChangeAspect="1"/>
                    </pic:cNvPicPr>
                  </pic:nvPicPr>
                  <pic:blipFill>
                    <a:blip r:embed="rId83"/>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140479"/>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87" name="Picture"/>
            <a:graphic>
              <a:graphicData uri="http://schemas.openxmlformats.org/drawingml/2006/picture">
                <pic:pic>
                  <pic:nvPicPr>
                    <pic:cNvPr descr="figures/pt/figS2_anel_ciclico_charmm36.png" id="88" name="Picture"/>
                    <pic:cNvPicPr>
                      <a:picLocks noChangeArrowheads="1" noChangeAspect="1"/>
                    </pic:cNvPicPr>
                  </pic:nvPicPr>
                  <pic:blipFill>
                    <a:blip r:embed="rId86"/>
                    <a:stretch>
                      <a:fillRect/>
                    </a:stretch>
                  </pic:blipFill>
                  <pic:spPr bwMode="auto">
                    <a:xfrm>
                      <a:off x="0" y="0"/>
                      <a:ext cx="3959999" cy="114047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89"/>
    <w:bookmarkStart w:id="90"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0"/>
    <w:bookmarkEnd w:id="91"/>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2026-10-01T17:53:22Z</dcterms:created>
  <dcterms:modified xsi:type="dcterms:W3CDTF">2026-10-01T17:53:22Z</dcterms:modified>
</cp:coreProperties>
</file>

<file path=docProps/custom.xml><?xml version="1.0" encoding="utf-8"?>
<Properties xmlns="http://schemas.openxmlformats.org/officeDocument/2006/custom-properties" xmlns:vt="http://schemas.openxmlformats.org/officeDocument/2006/docPropsVTypes"/>
</file>