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6,423 palavras no original em inglês (corpo sem tabelas, títulos e legendas; cada citação contada como uma palavra); tradução: 7,053</w:t>
            </w:r>
          </w:p>
        </w:tc>
        <w:tc>
          <w:tcPr/>
          <w:p>
            <w:pPr>
              <w:pStyle w:val="Compact"/>
              <w:spacing w:line="240" w:lineRule="auto"/>
            </w:pPr>
            <w:r>
              <w:rPr>
                <w:sz w:val="18"/>
              </w:rPr>
              <w:t xml:space="preserve">OK (margem de 5,577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322 palavras no original em inglês (reescrito em 05/10/2026 para caber no limite); tradução: 370</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77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6102026-manhã"/>
    <w:p>
      <w:pPr>
        <w:pStyle w:val="Heading2"/>
      </w:pPr>
      <w:r>
        <w:t xml:space="preserve">Estado dos cálculos (06/10/2026, manhã)</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PRODIGY nas 48 poses</w:t>
            </w:r>
          </w:p>
        </w:tc>
        <w:tc>
          <w:tcPr/>
          <w:p>
            <w:pPr>
              <w:pStyle w:val="Compact"/>
              <w:spacing w:line="240" w:lineRule="auto"/>
            </w:pPr>
            <w:r>
              <w:rPr>
                <w:sz w:val="18"/>
              </w:rPr>
              <w:t xml:space="preserve">concluído</w:t>
            </w:r>
          </w:p>
        </w:tc>
        <w:tc>
          <w:tcPr/>
          <w:p>
            <w:pPr>
              <w:pStyle w:val="Compact"/>
              <w:spacing w:line="240" w:lineRule="auto"/>
            </w:pPr>
            <w:r>
              <w:rPr>
                <w:sz w:val="18"/>
              </w:rPr>
              <w:t xml:space="preserve">ΔG −12,2 a −7,1 kcal/mol; acompanha o comprimento (Seção 3.6, Figura 6)</w:t>
            </w:r>
          </w:p>
        </w:tc>
      </w:tr>
      <w:tr>
        <w:tc>
          <w:tcPr/>
          <w:p>
            <w:pPr>
              <w:pStyle w:val="Compact"/>
              <w:spacing w:line="240" w:lineRule="auto"/>
            </w:pPr>
            <w:r>
              <w:rPr>
                <w:sz w:val="18"/>
              </w:rPr>
              <w:t xml:space="preserve">MD de 10 ns em pH 8,2 (48) e execuções repetidas (16)</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md82-*</w:t>
            </w:r>
            <w:r>
              <w:rPr>
                <w:sz w:val="18"/>
              </w:rPr>
              <w:t xml:space="preserve">,</w:t>
            </w:r>
            <w:r>
              <w:rPr>
                <w:sz w:val="18"/>
              </w:rPr>
              <w:t xml:space="preserve"> </w:t>
            </w:r>
            <w:r>
              <w:rPr>
                <w:rStyle w:val="VerbatimChar"/>
                <w:sz w:val="18"/>
              </w:rPr>
              <w:t xml:space="preserve">md82rest-*</w:t>
            </w:r>
            <w:r>
              <w:rPr>
                <w:sz w:val="18"/>
              </w:rPr>
              <w:t xml:space="preserve">,</w:t>
            </w:r>
            <w:r>
              <w:rPr>
                <w:sz w:val="18"/>
              </w:rPr>
              <w:t xml:space="preserve"> </w:t>
            </w:r>
            <w:r>
              <w:rPr>
                <w:rStyle w:val="VerbatimChar"/>
                <w:sz w:val="18"/>
              </w:rPr>
              <w:t xml:space="preserve">noise-*</w:t>
            </w:r>
            <w:r>
              <w:rPr>
                <w:sz w:val="18"/>
              </w:rPr>
              <w:t xml:space="preserve">); 17 das 48 concluídas em 06/10, 17:15 (8 L e 9 M; as frentes terminam o 1º lote em horários diferentes)</w:t>
            </w:r>
          </w:p>
        </w:tc>
        <w:tc>
          <w:tcPr/>
          <w:p>
            <w:pPr>
              <w:pStyle w:val="Compact"/>
              <w:spacing w:line="240" w:lineRule="auto"/>
            </w:pPr>
            <w:r>
              <w:rPr>
                <w:sz w:val="18"/>
              </w:rPr>
              <w:t xml:space="preserve">48 MDs: fim previsto entre a noite de 07/10 e a manhã de 08/10; repetidas: ≈ 09/10 (extrapolação do ritmo medido)</w:t>
            </w:r>
          </w:p>
        </w:tc>
      </w:tr>
      <w:tr>
        <w:tc>
          <w:tcPr/>
          <w:p>
            <w:pPr>
              <w:pStyle w:val="Compact"/>
              <w:spacing w:line="240" w:lineRule="auto"/>
            </w:pPr>
            <w:r>
              <w:rPr>
                <w:sz w:val="18"/>
              </w:rPr>
              <w:t xml:space="preserve">MM-GBSA e PRODIGY nas trajetórias (pH 8,2 e pH 10,0) e classificação final</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energy-queue</w:t>
            </w:r>
            <w:r>
              <w:rPr>
                <w:sz w:val="18"/>
              </w:rPr>
              <w:t xml:space="preserve">,</w:t>
            </w:r>
            <w:r>
              <w:rPr>
                <w:sz w:val="18"/>
              </w:rPr>
              <w:t xml:space="preserve"> </w:t>
            </w:r>
            <w:r>
              <w:rPr>
                <w:rStyle w:val="VerbatimChar"/>
                <w:sz w:val="18"/>
              </w:rPr>
              <w:t xml:space="preserve">mmgbsa-md10</w:t>
            </w:r>
            <w:r>
              <w:rPr>
                <w:sz w:val="18"/>
              </w:rPr>
              <w:t xml:space="preserve">)</w:t>
            </w:r>
          </w:p>
        </w:tc>
        <w:tc>
          <w:tcPr/>
          <w:p>
            <w:pPr>
              <w:pStyle w:val="Compact"/>
              <w:spacing w:line="240" w:lineRule="auto"/>
            </w:pPr>
            <w:r>
              <w:rPr>
                <w:sz w:val="18"/>
              </w:rPr>
              <w:t xml:space="preserve">pendente (Seções 3.6 e 3.7)</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Fila de cálculo:</w:t>
      </w:r>
      <w:r>
        <w:t xml:space="preserve"> </w:t>
      </w:r>
      <w:r>
        <w:t xml:space="preserve">o ritmo medido em 06/10 é de 1,3 a 2,7 h por MD (média ≈ 2,1 h) com as duas frentes juntas e a GPU compartilhada; a previsão do conjunto é extrapolação, não medida (a estimativa anterior, de 75 min por MD, vinha dos primeiros 14 min e estava otimista).</w:t>
      </w:r>
    </w:p>
    <w:bookmarkEnd w:id="11"/>
    <w:bookmarkStart w:id="12" w:name="pendências-antes-da-submissão"/>
    <w:p>
      <w:pPr>
        <w:pStyle w:val="Heading2"/>
      </w:pPr>
      <w:r>
        <w:t xml:space="preserve">Pendências antes da submissão</w:t>
      </w:r>
    </w:p>
    <w:p>
      <w:pPr>
        <w:pStyle w:val="Compact"/>
        <w:numPr>
          <w:ilvl w:val="0"/>
          <w:numId w:val="1002"/>
        </w:numPr>
      </w:pPr>
      <w:r>
        <w:t xml:space="preserve">Resultados de pH 8,2, MM-GBSA e comparação com pH 10,0 (Seções 3.6 e 3.7, Figura 7); depois ajustar resumo, 4.1, 4.4 e 5.</w:t>
      </w:r>
    </w:p>
    <w:p>
      <w:pPr>
        <w:pStyle w:val="Compact"/>
        <w:numPr>
          <w:ilvl w:val="0"/>
          <w:numId w:val="1002"/>
        </w:numPr>
      </w:pPr>
      <w:r>
        <w:t xml:space="preserve">Motivo do pH 8,2 (Seção 2.6) e lista de peptídeos recomendados.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bookmarkEnd w:id="12"/>
    <w:bookmarkEnd w:id="13"/>
    <w:bookmarkStart w:id="103"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 e o BPTI e o inibidor de Kunitz da soja reduziram a sobrevivência das larvas (de Almeida Barros et al., 2022). As larvas se adaptam, porém, induzindo proteases insensíveis, regulando várias enzimas digestivas e, em algumas espécies, expandindo famílias gênicas (Jongsma et al., 1995; Jongsma e Bolter, 1997; Kuwar et al., 2015; Lomate et al., 2018; Souza et al., 2016).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(seus complexos foram examinados por dinâmica molecular (de Almeida Barros et al., 2022)), peptídeos inspirados nas alças do BPTI e do inibidor de Kunitz da soja inibem proteases tipo tripsina de</w:t>
      </w:r>
      <w:r>
        <w:t xml:space="preserve"> </w:t>
      </w:r>
      <w:r>
        <w:rPr>
          <w:i/>
          <w:iCs/>
        </w:rPr>
        <w:t xml:space="preserve">A. gemmatalis</w:t>
      </w:r>
      <w:r>
        <w:t xml:space="preserve"> </w:t>
      </w:r>
      <w:r>
        <w:t xml:space="preserve">(Paulo et al., 2026),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2012; Zhan et al., 2010;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a confiança de um modelo de co-dobramento não é uma afinidade (Wan et al., 2026), ordena poses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inibidores peptídicos</w:t>
      </w:r>
      <w:r>
        <w:t xml:space="preserve"> </w:t>
      </w:r>
      <w:r>
        <w:rPr>
          <w:i/>
          <w:iCs/>
        </w:rPr>
        <w:t xml:space="preserve">de novo</w:t>
      </w:r>
      <w:r>
        <w:t xml:space="preserve"> </w:t>
      </w:r>
      <w:r>
        <w:t xml:space="preserve">das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2964448"/>
            <wp:effectExtent b="0" l="0" r="0" t="0"/>
            <wp:docPr descr="Figura 1. Visão geral do pipeline. Verde: concluído; amarelo: em andamento; cinza: pendente. Oito receptores com subsítios transferidos e uma escada de escores calibrada precedem a geração de 22.066 sequências; o critério duro de não clivabilidade as divide na frente L (linear, 527) e na frente M (macrociclo, 543); o co-dobramento com o Boltz-2, o reescore, os controles pareados e o controle de qualidade de pose (E1–E4) dão 48 candidatos finais, simulados por 10 ns em pH 10,0 e 8,2 (e repetidos em 16 execuções), seguidos do filtro de energia e da classificação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296444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andamento; cinza: pendente. Oito receptores com subsítios transferidos e uma escada de escores calibrada precedem a geração de 22.066 sequências; o critério duro de não clivabilidade as divide na frente L (linear, 527) e na frente M (macrociclo, 543); o co-dobramento com o Boltz-2, o reescore, os controles pareados e o controle de qualidade de pose (E1–E4) dão 48 candidatos finais, simulados por 10 ns em pH 10,0 e 8,2 (e repetidos em 16 execuções), seguidos do filtro de energia e da classificação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2012; Zhan et al., 2010;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(a triagem, escolhido pelo intestino médio das larvas: extratos do intestino em pH 9,56–10,0 (Karumbaiah et al., 2007); (Dow, 1992)) e em pH 8,2</w:t>
      </w:r>
      <w:r>
        <w:t xml:space="preserve"> </w:t>
      </w:r>
      <w:r>
        <w:rPr>
          <w:rStyle w:val="Pendente"/>
        </w:rPr>
        <w:t xml:space="preserve">PENDENTE: os autores indicarem o motivo do pH 8,2</w:t>
      </w:r>
      <w:r>
        <w:t xml:space="preserve">. A protonação das cadeias laterais foi atribuída com o PROPKA 3 (Olsson et al., 2011) pelo PDB2PQR 3.6.2 (Dolinsky et al., 2007). Os sistemas foram montados com o GROMACS 2025.4 (Abraham et al., 2015), o campo de força aditivo CHARMM36 (Huang e MacKerell, 2013) (porte de fevereiro de 2026 feito com o charmm2gmx (Wacha e Lemkul, 2023)) e água TIP3P Jorgensen et al., 1983, em caixa dodecaédrica com 1,2 nm de margem e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(em pH 8,2 cerca de três quartos dos grupos α-amino estariam neutros no equilíbrio, e em pH 10 quase todos; isso afeta só a frente linear). O macrociclo não tem extremidades: o pdb2gmx forma a ligação cabeça-cauda a partir da geometria do Boltz-2 e gera seus termos CHARMM36, e o script de montagem para se faltar a ligação de fechamento ou o termo CMAP (maior distância C–N de fechamento por trajetória de 1,415–1,462 Å nos 24 sistemas cíclicos em pH 10,0). O protocolo foi: minimização por</w:t>
      </w:r>
      <w:r>
        <w:t xml:space="preserve"> </w:t>
      </w:r>
      <w:r>
        <w:rPr>
          <w:i/>
          <w:iCs/>
        </w:rPr>
        <w:t xml:space="preserve">steepest descent</w:t>
      </w:r>
      <w:r>
        <w:t xml:space="preserve">; 200 ps de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10 ns de produção a 300 K e 1 bar com o termostato de reescalonamento de velocidades Bussi et al., 2007 e o barostato de Parrinello–Rahman Parrinello e Rahman, 1981, eletrostática PME Essmann et al., 1995, corte de Coulomb de 1,2 nm, van der Waals com</w:t>
      </w:r>
      <w:r>
        <w:t xml:space="preserve"> </w:t>
      </w:r>
      <w:r>
        <w:rPr>
          <w:i/>
          <w:iCs/>
        </w:rPr>
        <w:t xml:space="preserve">force-switch</w:t>
      </w:r>
      <w:r>
        <w:t xml:space="preserve"> </w:t>
      </w:r>
      <w:r>
        <w:t xml:space="preserve">entre 1,0 e 1,2 nm, vínculos LINCS nas ligações com hidrogênio e passo de 2 fs. Cada sistema foi executado uma vez por pH com semente aleatória de velocidades; quatro candidatos por frente (NGGRPDAP, GQNDS, PTTTQT e GSNIN lineares; GGHSE, GGKPGEP, IYPETG e SGSTDIE cíclicos) foram executados uma segunda vez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(em uma trajetória não corrigida de uma rodada anterior de 50 ns, a distância entre os centros de massa de receptor e peptídeo chegou a 94,8 Å numa caixa de 116 Å, embora estivessem em contato). As análises usaram o MDAnalysis 2.9.0 (Michaud-Agrawal et al., 2011; Gowers et al., 2016). Em cada quadro, a distância de cada resíduo do peptídeo aos oxigênios do carboxilato do equivalente do Asp189 foi a distância mínima entre átomos pesados; o resíduo de menor distância média foi a âncora, sem supor qual seria. A ocupância de S1 é a fração de quadros com distância âncora–Asp189 abaixo de 4, 5 ou 6 Å, na trajetória inteira e em cada metade. A distância âncora–Asp189 é dada para uma janela inicial (primeiros 4%, 0,4 ns) e uma janela final (últimos 20%, 2 ns), esta também para o RMSD de Cα do peptídeo após superposição no receptor (peptídeo inteiro, imagem mais próxima do aspartato de S1). Relatamos ainda as frações de quadros com qualquer átomo do peptídeo a até 4,5 Å do Oγ da Ser ou do Nε2 da His catalíticas e com qualquer contato com o receptor, e, nos macrociclos, a distância C–N e o ω de fechamento em cada quadro. Um candidato passou na triagem declarada de antemão quando a ocupância a 5 Å na segunda metade foi de pelo menos 70%, a âncora foi a mesma nas duas metades e, nos macrociclos, o anel permaneceu íntegro (C–N ≤ 1,5 Å e ω ≥ 150° em todos os quadros). Em 2 de outubro de 2026, depois de analisadas as 16 primeiras simulações, a ocupância passou de portão a descrição (Seção 3.5), uma mudança do procedimento declarado feita depois de ver dados. Com uma execução por candidato, não se faz inferência estatística.</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PRODIGY (Vangone e Bonvin, 2015) prevê a afinidade a partir do número de contatos intermoleculares entre classes de resíduos (carregados, polares, apolares) e da composição dos resíduos fora da interface; não tem protonação explícita. O MM-GBSA usou o gmx_MMPBSA (Valdés-Tresanco et al., 2021) (motor MMPBSA.py (Miller et al., 2012); Born generalizado igb = 5 (Onufriev et al., 2004); sal 0,150 M; trajetória única; sem entropia) na segunda metade de cada trajetória (126 quadros com espaçamento de 40 ps; receptor cadeia A, peptídeo cadeia B), com erro-padrão sobre cinco blocos de quadros; o PRODIGY foi aplicado à pose inicial (protonada em pH 8,2) e a 30 quadros da segunda metade. Os dois escores crescem com o tamanho da interface, e por isso cada um é dado também por resíduo do peptídeo. Cada etapa ordena os candidatos dentro de uma frente (1 = melhor; empates recebem o posto médio): confiança do Boltz-2 no E2, Δ pareado (E3), RMSD final do peptídeo na simulação, PRODIGY na pose e, quando disponíveis, PRODIGY e MM-GBSA na trajetória. O escore agregado é o posto médio nas etapas disponíveis. A classificação cobre os candidatos que passaram no controle de qualidade de pose, tiveram Δ &gt; 0 e, nos macrociclos, cumpriram o critério estrito do anel; a ocupância de S1 não entra (Seção 3.5). As simulações de pH 8,2 e de pH 10,0 são pareadas (mesma pose e protocolo; o N-terminal é NH</w:t>
      </w:r>
      <w:r>
        <w:rPr>
          <w:vertAlign w:val="subscript"/>
        </w:rPr>
        <w:t xml:space="preserve">3</w:t>
      </w:r>
      <w:r>
        <w:rPr>
          <w:vertAlign w:val="superscript"/>
        </w:rPr>
        <w:t xml:space="preserve">+</w:t>
      </w:r>
      <w:r>
        <w:t xml:space="preserve"> </w:t>
      </w:r>
      <w:r>
        <w:t xml:space="preserve">nos dois): diferem na protonação das cadeias laterais, nos contraíons e na semente. São comparadas pela diferença pareada de cada métrica (mediana; teste de postos sinalizados de Wilcoxon), pela correlação de postos entre pH e pela concordância de desfechos categóricos, e a diferença de pH é lida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e o pLDDT médio de 88,9 a 92,2.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etapas disponíveis (confiança do Boltz-2 no E2, Δ, RMSD final da simulação de pH 10,0, PRODIGY na pose) colocou PTTTQT (posto médio 4,6), NGGRPDAP (6,5), SGPIG (7,6), GSNIN (8,5) e GTDEN (9,1) à frente na frente linear, e IYPETG (3,2), SGSTDIE (3,5), NGGTT (4,3), GGSTDID (4,6) e GGHSE (5,0) à frente na cíclica (Figura 6B). Os postos de um mesmo candidato variam muito entre as etapas (por exemplo, o NGGRPDAP é o 2º pelo E2 e o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rPr>
          <w:rStyle w:val="Pendente"/>
        </w:rPr>
        <w:t xml:space="preserve">PENDENTE: MM-GBSA e PRODIGY nas trajetórias de pH 8,2 dos 48 candidatos e a classificação com todas as etapas (arquivos</w:t>
      </w:r>
      <w:r>
        <w:rPr>
          <w:rStyle w:val="Pendente"/>
        </w:rPr>
        <w:t xml:space="preserve"> </w:t>
      </w:r>
      <w:r>
        <w:rPr>
          <w:rStyle w:val="VerbatimChar"/>
        </w:rPr>
        <w:t xml:space="preserve">outputs/ranking_energy_final_all.*</w:t>
      </w:r>
      <w:r>
        <w:rPr>
          <w:rStyle w:val="Pendente"/>
        </w:rPr>
        <w:t xml:space="preserve">; fila</w:t>
      </w:r>
      <w:r>
        <w:rPr>
          <w:rStyle w:val="Pendente"/>
        </w:rPr>
        <w:t xml:space="preserve"> </w:t>
      </w:r>
      <w:r>
        <w:rPr>
          <w:rStyle w:val="VerbatimChar"/>
        </w:rPr>
        <w:t xml:space="preserve">energy-queue</w:t>
      </w:r>
      <w:r>
        <w:rPr>
          <w:rStyle w:val="Pendente"/>
        </w:rPr>
        <w:t xml:space="preserve">).</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1 = melhor) e o agregado (posto médio) para os dez melhores candidatos de cada frente entre os que passaram nos portões; etapas mostradas: confiança do Boltz-2 no E2, Δ pareado (E3), RMSD final da simulação de pH 10,0 e PRODIGY na pose. O MM-GBSA e as etapas de pH 8,2 estão pend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(1 = melhor) e o agregado (posto médio) para os dez melhores candidatos de cada frente entre os que passaram nos portões; etapas mostradas: confiança do Boltz-2 no E2, Δ pareado (E3), RMSD final da simulação de pH 10,0 e PRODIGY na pose. O MM-GBSA e as etapas de pH 8,2 estão pendentes.</w:t>
      </w:r>
    </w:p>
    <w:bookmarkEnd w:id="49"/>
    <w:bookmarkStart w:id="53" w:name="ph-82-versus-ph-100"/>
    <w:p>
      <w:pPr>
        <w:pStyle w:val="Heading3"/>
      </w:pPr>
      <w:r>
        <w:t xml:space="preserve">3.7 pH 8,2 versus pH 10,0</w:t>
      </w:r>
    </w:p>
    <w:p>
      <w:pPr>
        <w:pStyle w:val="FirstParagraph"/>
      </w:pPr>
      <w:r>
        <w:rPr>
          <w:rStyle w:val="Pendente"/>
        </w:rPr>
        <w:t xml:space="preserve">PROVISÓRIO, escrito em 6 de outubro de 2026 com as 17 das 48 simulações de pH 8,2 que haviam terminado; são os finalistas e não uma amostra aleatória. Reescrever com as 48, as execuções repetidas e</w:t>
      </w:r>
      <w:r>
        <w:rPr>
          <w:rStyle w:val="Pendente"/>
        </w:rPr>
        <w:t xml:space="preserve"> </w:t>
      </w:r>
      <w:r>
        <w:rPr>
          <w:rStyle w:val="VerbatimChar"/>
        </w:rPr>
        <w:t xml:space="preserve">scripts/compare_ph.py</w:t>
      </w:r>
      <w:r>
        <w:rPr>
          <w:rStyle w:val="Pendente"/>
        </w:rPr>
        <w:t xml:space="preserve">.</w:t>
      </w:r>
      <w:r>
        <w:t xml:space="preserve"> </w:t>
      </w:r>
      <w:r>
        <w:t xml:space="preserve">Dezessete simulações de pH 8,2 (oito lineares e nove macrocíclicas) haviam terminado e estão pareadas na Figura 7 com os mesmos candidatos em pH 10,0. A distância final âncora–Asp189 teve mediana de 6,47 Å em pH 8,2 contra 5,72 Å em pH 10,0 (Wilcoxon</w:t>
      </w:r>
      <w:r>
        <w:t xml:space="preserve"> </w:t>
      </w:r>
      <w:r>
        <w:rPr>
          <w:i/>
          <w:iCs/>
        </w:rPr>
        <w:t xml:space="preserve">P</w:t>
      </w:r>
      <w:r>
        <w:t xml:space="preserve"> </w:t>
      </w:r>
      <w:r>
        <w:t xml:space="preserve">= 0,57), a ocupância da segunda metade 0,02 contra 0,06 (</w:t>
      </w:r>
      <w:r>
        <w:rPr>
          <w:i/>
          <w:iCs/>
        </w:rPr>
        <w:t xml:space="preserve">P</w:t>
      </w:r>
      <w:r>
        <w:t xml:space="preserve"> </w:t>
      </w:r>
      <w:r>
        <w:t xml:space="preserve">= 0,53) e o RMSD final do peptídeo 0,32 contra 0,29 nm (</w:t>
      </w:r>
      <w:r>
        <w:rPr>
          <w:i/>
          <w:iCs/>
        </w:rPr>
        <w:t xml:space="preserve">P</w:t>
      </w:r>
      <w:r>
        <w:t xml:space="preserve"> </w:t>
      </w:r>
      <w:r>
        <w:t xml:space="preserve">= 0,31). Ocupância de pelo menos 0,70 ocorreu em duas simulações de pH 8,2 (NGGRPDAP e GGKPGEP) e em quatro de pH 10,0 (essas duas, GQNDS linear e GGHSE). O desfecho em um pH previu o do outro só fracamente para a distância final (ρ = 0,48,</w:t>
      </w:r>
      <w:r>
        <w:t xml:space="preserve"> </w:t>
      </w:r>
      <w:r>
        <w:rPr>
          <w:i/>
          <w:iCs/>
        </w:rPr>
        <w:t xml:space="preserve">P</w:t>
      </w:r>
      <w:r>
        <w:t xml:space="preserve"> </w:t>
      </w:r>
      <w:r>
        <w:t xml:space="preserve">= 0,054) e para a ocupância (ρ = 0,42,</w:t>
      </w:r>
      <w:r>
        <w:t xml:space="preserve"> </w:t>
      </w:r>
      <w:r>
        <w:rPr>
          <w:i/>
          <w:iCs/>
        </w:rPr>
        <w:t xml:space="preserve">P</w:t>
      </w:r>
      <w:r>
        <w:t xml:space="preserve"> </w:t>
      </w:r>
      <w:r>
        <w:t xml:space="preserve">= 0,095). O GQNDS linear ocupou S1 só na primeira metade em pH 8,2 (0,97 e depois 0,04) e o GGHSE saiu (distância final 8,61 Å, ocupância 0,00; |ω| mínimo 149,5° contra 153,7° em pH 10,0), enquanto GTDTG (0,68) e IYPETG (0,57) ocuparam S1 em pH 8,2 e não em pH 10,0. O NGGRPDAP e o GGKPGEP, os dois peptídeos cuja âncora é um resíduo básico seguido de prolina (Arg e Lys), a mantiveram em S1 nos dois pH: ocupância 0,98 e 1,00 e distância final 2,84 e 2,74 Å no NGGRPDAP; ocupância 1,00 nos dois pH e 2,71 Å no GGKPGEP, cujo anel atendeu ao critério estrito em pH 8,2 (|ω| mínimo 156,7° contra 144,5° em pH 10,0). Os escores de energia, ao contrário, concordaram entre os pH: MM-GBSA ρ = 0,73 (</w:t>
      </w:r>
      <w:r>
        <w:rPr>
          <w:i/>
          <w:iCs/>
        </w:rPr>
        <w:t xml:space="preserve">P</w:t>
      </w:r>
      <w:r>
        <w:t xml:space="preserve"> </w:t>
      </w:r>
      <w:r>
        <w:t xml:space="preserve">= 0,001; mediana −25,9 contra −26,5 kcal mol</w:t>
      </w:r>
      <w:r>
        <w:rPr>
          <w:vertAlign w:val="superscript"/>
        </w:rPr>
        <w:t xml:space="preserve">−1</w:t>
      </w:r>
      <w:r>
        <w:t xml:space="preserve">,</w:t>
      </w:r>
      <w:r>
        <w:t xml:space="preserve"> </w:t>
      </w:r>
      <w:r>
        <w:rPr>
          <w:i/>
          <w:iCs/>
        </w:rPr>
        <w:t xml:space="preserve">P</w:t>
      </w:r>
      <w:r>
        <w:t xml:space="preserve"> </w:t>
      </w:r>
      <w:r>
        <w:t xml:space="preserve">= 0,43) e PRODIGY nos quadros ρ = 0,67 (</w:t>
      </w:r>
      <w:r>
        <w:rPr>
          <w:i/>
          <w:iCs/>
        </w:rPr>
        <w:t xml:space="preserve">P</w:t>
      </w:r>
      <w:r>
        <w:t xml:space="preserve"> </w:t>
      </w:r>
      <w:r>
        <w:t xml:space="preserve">= 0,003; −8,52 contra −8,75 kcal mol</w:t>
      </w:r>
      <w:r>
        <w:rPr>
          <w:vertAlign w:val="superscript"/>
        </w:rPr>
        <w:t xml:space="preserve">−1</w:t>
      </w:r>
      <w:r>
        <w:t xml:space="preserve">,</w:t>
      </w:r>
      <w:r>
        <w:t xml:space="preserve"> </w:t>
      </w:r>
      <w:r>
        <w:rPr>
          <w:i/>
          <w:iCs/>
        </w:rPr>
        <w:t xml:space="preserve">P</w:t>
      </w:r>
      <w:r>
        <w:t xml:space="preserve"> </w:t>
      </w:r>
      <w:r>
        <w:t xml:space="preserve">= 0,38). Cada candidato foi simulado uma vez por pH, com semente diferente; assim, uma diferença entre pH não se separa da variação entre execuções até que as execuções repetidas sejam analisadas; e, como quatro candidatos entraram nos finalistas pela ocupância em pH 10,0 (NGGRPDAP, GQNDS, GGHSE e GGKPGEP), a perda de ocupância em pH 8,2 é esperada por regressão à média, como ocorreu com GQNDS e GGHSE, mas não com NGGRPDAP e GGKPGEP.</w:t>
      </w:r>
    </w:p>
    <w:p>
      <w:pPr>
        <w:pStyle w:val="CaptionedFigure"/>
      </w:pPr>
      <w:r>
        <w:drawing>
          <wp:inline>
            <wp:extent cx="5334000" cy="3704933"/>
            <wp:effectExtent b="0" l="0" r="0" t="0"/>
            <wp:docPr descr="Figura 7. Comparação provisória das simulações de pH 8,2 e pH 10,0 (as 17 das 48 execuções de pH 8,2 que haviam terminado em 6 de outubro de 2026; os finalistas, não uma amostra aleatória;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provisória das simulações de pH 8,2 e pH 10,0 (as 17 das 48 execuções de pH 8,2 que haviam terminado em 6 de outubro de 2026; os finalistas, não uma amostra aleatória;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(Seção 3.7). O GQNDS (</w:t>
      </w:r>
      <w:r>
        <w:rPr>
          <w:i/>
          <w:iCs/>
        </w:rPr>
        <w:t xml:space="preserve">O. nubilalis</w:t>
      </w:r>
      <w:r>
        <w:t xml:space="preserve">, linear) chegou a ocupância de 1,00 com âncora Gln em pH 10,0, mas ocupou S1 só na primeira metade em pH 8,2.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17 simulações pareadas nos dois pH.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(provisório;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S1–S10 e a Tabela S1 (legendas e tabela abaixo) são fornecidas como material suplementar.</w:t>
      </w:r>
    </w:p>
    <w:bookmarkEnd w:id="73"/>
    <w:bookmarkStart w:id="101"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508611"/>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508611"/>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250672"/>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250672"/>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BodyText"/>
      </w:pPr>
      <w:r>
        <w:t xml:space="preserve">![</w:t>
      </w: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p>
      <w:pPr>
        <w:pStyle w:val="BodyText"/>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101"/>
    <w:bookmarkStart w:id="102"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2"/>
    <w:bookmarkEnd w:id="103"/>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2026-10-06T20:17:06Z</dcterms:created>
  <dcterms:modified xsi:type="dcterms:W3CDTF">2026-10-06T20:17:06Z</dcterms:modified>
</cp:coreProperties>
</file>

<file path=docProps/custom.xml><?xml version="1.0" encoding="utf-8"?>
<Properties xmlns="http://schemas.openxmlformats.org/officeDocument/2006/custom-properties" xmlns:vt="http://schemas.openxmlformats.org/officeDocument/2006/docPropsVTypes"/>
</file>