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10,801 palavras no original em inglês (corpo sem tabelas, títulos e legendas; cada citação contada como uma palavra); tradução: 11,452</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390 palavras no original em inglês sem o trecho pendente (≈ 399 com ele preenchido); tradução: 430</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13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72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(duas faixas)</w:t>
            </w:r>
          </w:p>
        </w:tc>
        <w:tc>
          <w:tcPr/>
          <w:p>
            <w:pPr>
              <w:pStyle w:val="Compact"/>
              <w:spacing w:line="240" w:lineRule="auto"/>
            </w:pPr>
            <w:r>
              <w:rPr>
                <w:b/>
                <w:bCs/>
                <w:sz w:val="18"/>
              </w:rPr>
              <w:t xml:space="preserve">fora deste artigo</w:t>
            </w:r>
            <w:r>
              <w:rPr>
                <w:sz w:val="18"/>
              </w:rPr>
              <w:t xml:space="preserve"> </w:t>
            </w:r>
            <w:r>
              <w:rPr>
                <w:sz w:val="18"/>
              </w:rPr>
              <w:t xml:space="preserve">(decisão de 01/10: o custo, 72 simulações e 4–5 dias, não cabe no prazo)</w:t>
            </w:r>
          </w:p>
        </w:tc>
        <w:tc>
          <w:tcPr/>
          <w:p>
            <w:pPr>
              <w:pStyle w:val="Compact"/>
              <w:spacing w:line="240" w:lineRule="auto"/>
            </w:pPr>
            <w:r>
              <w:rPr>
                <w:sz w:val="18"/>
              </w:rPr>
              <w:t xml:space="preserve">scripts prontos e versionados; fica para trabalho seguinte</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 (medida em 16 simulações):</w:t>
      </w:r>
      <w:r>
        <w:t xml:space="preserve"> </w:t>
      </w:r>
      <w:r>
        <w:t xml:space="preserve">cada MD leva 75–105 min com a GPU compartilhada. Faltam 32 MDs do E6 (40–56 h), o E3 (~1.413 predições, 15–20 h), a matriz 8 × 8 com E8/E9 (~1 h) e 5 MDs de controle (6–9 h):</w:t>
      </w:r>
      <w:r>
        <w:t xml:space="preserve"> </w:t>
      </w:r>
      <w:r>
        <w:rPr>
          <w:b/>
          <w:bCs/>
        </w:rPr>
        <w:t xml:space="preserve">2,7 a 3,5 dias de processamento</w:t>
      </w:r>
      <w:r>
        <w:t xml:space="preserve"> </w:t>
      </w:r>
      <w:r>
        <w:t xml:space="preserve">até dar para fechar o artigo.</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8"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curtos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(co-dobramento com Boltz-2, dinâmica molecular, MM-GBSA) foi calibrada com seis inibidores naturais e iscas embaralhadas. Desenhamos 22.066 sequências sobre esqueletos macrocíclicos cabeça-cauda (RFdiffusion, ProteinMPNN), mantivemos as sem resíduo P1 de proteases do intestino médio do tipo tripsina, quimotripsina ou elastase, co-dobramos com o Boltz-2 e simulamos os três melhores por espécie por 10 ns em pH 10,0, como peptídeos lineares e como macrociclos.</w:t>
      </w:r>
      <w:r>
        <w:t xml:space="preserve"> </w:t>
      </w:r>
      <w:r>
        <w:rPr>
          <w:b/>
          <w:bCs/>
        </w:rPr>
        <w:t xml:space="preserve">Resultados:</w:t>
      </w:r>
      <w:r>
        <w:t xml:space="preserve"> </w:t>
      </w:r>
      <w:r>
        <w:t xml:space="preserve">Os subsítios foram transferidos nos 20 pares receptor–molde. O Boltz-2 pontuou o inibidor natural acima de sua isca embaralhada em 10 de 10 pares; o MM-GBSA o fez em 4 de 10 e acompanhou o tamanho da interface (ρ = −0,93). O critério reteve 527 sequências lineares e 543 cíclicas (2,4–2,5%), 49% glicina. Repetir o Boltz-2 em entradas idênticas deu correlação de postos de 0,57 entre rodadas (n = 442), próxima dos 0,50 entre as formas linear e cíclica da mesma sequência. Os 48 candidatos selecionados passaram no controle de qualidade de pose. Nas 48 simulações (uma réplica cada), a distância mediana entre a âncora e o Asp189 subiu de 5,7 para 6,8 Å (linear) e de 5,1 para 6,1 Å (macrocíclica); a âncora terminou a menos de 4 Å em 4 simulações, todas com partida a até 4,0 Å. Dos 24 macrociclos, 11 cumpriram o critério do anel; os outros 13 mantiveram a ligação de fechamento, mas tiveram |ω| &lt; 150° em ao menos um quadro. Na frente linear, a diferença pareada frente aos controles embaralhados foi positiva em 63 de 78 candidatos (mediana 0,013) e em 60 de 79 candidatos macrocíclicos (mediana 0,014), da ordem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725987"/>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725987"/>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Assim, todas as simulações deste trabalho compartilham um só estado de protonação, o que as mantém comparáveis; o efeito da carga do N-terminal e de um pH menos alcalino fica para trabalho separado (Seção 4.5).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 Nos 24 sistemas cíclicos, a maior distância C–N de fechamento de cada trajetória foi 1,415–1,462 Å, de modo que nenhum anel se abriu; o ω de fechamento é relatado na Seção 3.9 e na Figura S2. 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Em 2 de outubro de 2026, depois de analisadas as 16 primeiras simulações e antes das demais, o critério de ocupância foi rebaixado de portão a descrição secundária, pelo motivo dado na Seção 3.9: a ocupância da âncora, a identidade da âncora e a distância inicial ao Asp189 continuam relatadas para todos os candidatos, mas deixam de entrar na atribuição das camadas. Trata-se de mudança do procedimento declarado, feita depois de ver dados, e é relatada como tal.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critérios restantes (qualidade de pose, diferença pareada contra controles embaralhados e, nos macrociclos, o critério do anel), sem limiares novos (Seção 3.11).</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7"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2992"/>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7568"/>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756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102"/>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102"/>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i/>
          <w:iCs/>
        </w:rPr>
        <w:t xml:space="preserve">Controles pareados, frente linear (E3).</w:t>
      </w:r>
      <w:r>
        <w:t xml:space="preserve"> </w:t>
      </w:r>
      <w:r>
        <w:t xml:space="preserve">Os três controles embaralhados de cada um dos 80 candidatos lineares do E2 foram preditos com cinco amostras e três sementes (702 predições). Há controles para 78 candidatos: os dois candidatos poliglicina (GGGGGGG de</w:t>
      </w:r>
      <w:r>
        <w:t xml:space="preserve"> </w:t>
      </w:r>
      <w:r>
        <w:rPr>
          <w:i/>
          <w:iCs/>
        </w:rPr>
        <w:t xml:space="preserve">S. litura</w:t>
      </w:r>
      <w:r>
        <w:t xml:space="preserve"> </w:t>
      </w:r>
      <w:r>
        <w:t xml:space="preserve">e GGGGGG de</w:t>
      </w:r>
      <w:r>
        <w:t xml:space="preserve"> </w:t>
      </w:r>
      <w:r>
        <w:rPr>
          <w:i/>
          <w:iCs/>
        </w:rPr>
        <w:t xml:space="preserve">O. nubilalis</w:t>
      </w:r>
      <w:r>
        <w:t xml:space="preserve">) não os têm, porque todo embaralhamento reproduz a sequência. Δ foi positivo em 63 dos 78 (81%; mediana 0,013, intervalo interquartil 0,003–0,030, faixa de −0,033 a 0,069); por espécie, de 5 de 9 (</w:t>
      </w:r>
      <w:r>
        <w:rPr>
          <w:i/>
          <w:iCs/>
        </w:rPr>
        <w:t xml:space="preserve">S. litura</w:t>
      </w:r>
      <w:r>
        <w:t xml:space="preserve">) a 10 de 10 (</w:t>
      </w:r>
      <w:r>
        <w:rPr>
          <w:i/>
          <w:iCs/>
        </w:rPr>
        <w:t xml:space="preserve">A. gemmatalis</w:t>
      </w:r>
      <w:r>
        <w:t xml:space="preserve">). Para os 24 candidatos lineares finais, Δ foi positivo em 23 (mediana 0,030, faixa de −0,0001 a 0,069); a exceção é HGGGGSG (</w:t>
      </w:r>
      <w:r>
        <w:rPr>
          <w:i/>
          <w:iCs/>
        </w:rPr>
        <w:t xml:space="preserve">P. xylostella</w:t>
      </w:r>
      <w:r>
        <w:t xml:space="preserve">, Δ = −0,0001). Essas diferenças são da ordem do desvio-padrão entre as 15 predições de um candidato (0,019, acima), cada Δ repousa em três controles, e os candidatos finais foram escolhidos por alta confiança no E2, o que infla Δ em relação ao conjunto dos 80 (mediana 0,030 contra 0,013); um Δ positivo significa, portanto, que o candidato não pontuou abaixo de seus controles, e não que ele se liga.</w:t>
      </w:r>
    </w:p>
    <w:p>
      <w:pPr>
        <w:pStyle w:val="BodyText"/>
      </w:pPr>
      <w:r>
        <w:rPr>
          <w:i/>
          <w:iCs/>
        </w:rPr>
        <w:t xml:space="preserve">Controles pareados, frente cíclica (E3).</w:t>
      </w:r>
      <w:r>
        <w:t xml:space="preserve"> </w:t>
      </w:r>
      <w:r>
        <w:t xml:space="preserve">O mesmo procedimento foi aplicado aos 80 candidatos macrocíclicos (711 predições). Há controles para 79: o poliglicina GGGGGGGGGGGGGG (</w:t>
      </w:r>
      <w:r>
        <w:rPr>
          <w:i/>
          <w:iCs/>
        </w:rPr>
        <w:t xml:space="preserve">S. litura</w:t>
      </w:r>
      <w:r>
        <w:t xml:space="preserve">) não os tem, pelo mesmo motivo da frente linear. Δ foi positivo em 60 dos 79 (76%; mediana 0,014, intervalo interquartil 0,001–0,024, faixa de −0,027 a 0,061); por espécie, de 5 de 10 (</w:t>
      </w:r>
      <w:r>
        <w:rPr>
          <w:i/>
          <w:iCs/>
        </w:rPr>
        <w:t xml:space="preserve">H. virescens</w:t>
      </w:r>
      <w:r>
        <w:t xml:space="preserve">) a 10 de 10 (</w:t>
      </w:r>
      <w:r>
        <w:rPr>
          <w:i/>
          <w:iCs/>
        </w:rPr>
        <w:t xml:space="preserve">A. gemmatalis</w:t>
      </w:r>
      <w:r>
        <w:t xml:space="preserve">). Para os 24 macrociclos finais, Δ foi positivo em 22 (mediana 0,023, faixa de −0,009 a 0,061); as exceções são GGHGGG (</w:t>
      </w:r>
      <w:r>
        <w:rPr>
          <w:i/>
          <w:iCs/>
        </w:rPr>
        <w:t xml:space="preserve">P. xylostella</w:t>
      </w:r>
      <w:r>
        <w:t xml:space="preserve">, Δ = −0,009) e GPDGGTG (</w:t>
      </w:r>
      <w:r>
        <w:rPr>
          <w:i/>
          <w:iCs/>
        </w:rPr>
        <w:t xml:space="preserve">S. frugiperda</w:t>
      </w:r>
      <w:r>
        <w:t xml:space="preserve">, Δ = −0,002). Somando as duas frentes, Δ foi positivo em 123 de 157 candidatos (78%). A leitura é a dada para a frente linear: as diferenças são da ordem do desvio-padrão de 0,02 entre as 15 predições de um candidato, e um Δ positivo significa que o candidato não pontuou abaixo de seus controles, e não que ele se liga.</w:t>
      </w:r>
    </w:p>
    <w:p>
      <w:pPr>
        <w:pStyle w:val="BodyText"/>
      </w:pPr>
      <w:r>
        <w:rPr>
          <w:i/>
          <w:iCs/>
        </w:rPr>
        <w:t xml:space="preserve">Matriz cruzada (E4).</w:t>
      </w:r>
      <w:r>
        <w:t xml:space="preserve"> </w:t>
      </w:r>
      <w:r>
        <w:t xml:space="preserve">O primeiro colocado entre os candidatos finais de cada espécie foi co-dobrado com o próprio receptor e com os outros sete em cada frente (uma amostra com os parâmetros padrão, e não o protocolo do E2; 63 de 64 predições na frente linear e 62 de 64 na macrocíclica, porque três falharam no pré-processamento e foram puladas). A confiança do candidato no próprio receptor teve média de 0,928 (linear) e 0,910 (macrocíclica), contra 0,903 e 0,882 nos demais receptores, diferença de 0,025 e 0,028 que é da ordem do ruído da predição. O próprio receptor deu a maior confiança ao candidato em 4 de 8 (linear) e 3 de 8 (macrocíclica) espécies, e o candidato próprio foi o melhor da frente em um dado receptor em 3 de 8 e 2 de 8; o escore próprio superou a média dos outros sete receptores em 6 e 7 de 8. O receptor explicou mais da variação que o peptídeo: o modelo de</w:t>
      </w:r>
      <w:r>
        <w:t xml:space="preserve"> </w:t>
      </w:r>
      <w:r>
        <w:rPr>
          <w:i/>
          <w:iCs/>
        </w:rPr>
        <w:t xml:space="preserve">S. litura</w:t>
      </w:r>
      <w:r>
        <w:t xml:space="preserve"> </w:t>
      </w:r>
      <w:r>
        <w:t xml:space="preserve">deu a menor confiança média nas duas frentes (0,848 e 0,846, contra 0,894–0,923 e 0,867–0,912 nos demais receptores). A matriz, portanto, não mostra preferência espécie-específica dos melhores candidatos; como a confiança do Boltz-2 não é afinidade (Seção 3.3), tampouco mostra sua ausência, e não é um teste de seletividade contra proteases não alvo.</w:t>
      </w:r>
    </w:p>
    <w:p>
      <w:pPr>
        <w:pStyle w:val="CaptionedFigure"/>
      </w:pPr>
      <w:r>
        <w:drawing>
          <wp:inline>
            <wp:extent cx="5334000" cy="2414733"/>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2311818"/>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2311818"/>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2251575"/>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2251575"/>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t xml:space="preserve">As 48 simulações (24 lineares, 24 cíclicas; uma réplica de 10 ns cada) terminaram sem erro e foram analisadas com o procedimento da Seção 2.9 (Figura 11); nenhuma afirmação abaixo é inferência estatística. A distância mediana âncora–Asp189 subiu de 5,72 Å na janela inicial (primeiros 4% da trajetória) para 6,77 Å na janela final (últimos 20%) nos candidatos lineares, e de 5,07 para 6,11 Å nos cíclicos. Na janela final, a âncora ficou a até 4 Å do Asp189 em 2 de 24 simulações lineares e 2 de 24 cíclicas, a até 5,5 Å em 7 e 6, e a mais de 10 Å (fora do bolso) em 6 e 4. A ocupância a 5 Å na segunda metade foi de ao menos 0,70 em 5 das 48 simulações: NGGRPDAP (</w:t>
      </w:r>
      <w:r>
        <w:rPr>
          <w:i/>
          <w:iCs/>
        </w:rPr>
        <w:t xml:space="preserve">A. gemmatalis</w:t>
      </w:r>
      <w:r>
        <w:t xml:space="preserve">; âncora Arg, 1,00) e GQNDS (</w:t>
      </w:r>
      <w:r>
        <w:rPr>
          <w:i/>
          <w:iCs/>
        </w:rPr>
        <w:t xml:space="preserve">O. nubilalis</w:t>
      </w:r>
      <w:r>
        <w:t xml:space="preserve">; Gln, 1,00) na frente linear, e GGKPGEP (</w:t>
      </w:r>
      <w:r>
        <w:rPr>
          <w:i/>
          <w:iCs/>
        </w:rPr>
        <w:t xml:space="preserve">A. gemmatalis</w:t>
      </w:r>
      <w:r>
        <w:t xml:space="preserve">; Lys, 1,00), GGHSE (</w:t>
      </w:r>
      <w:r>
        <w:rPr>
          <w:i/>
          <w:iCs/>
        </w:rPr>
        <w:t xml:space="preserve">S. frugiperda</w:t>
      </w:r>
      <w:r>
        <w:t xml:space="preserve">; His, 0,99) e GGGGH (</w:t>
      </w:r>
      <w:r>
        <w:rPr>
          <w:i/>
          <w:iCs/>
        </w:rPr>
        <w:t xml:space="preserve">P. xylostella</w:t>
      </w:r>
      <w:r>
        <w:t xml:space="preserve">; His, 0,82) na frente cíclica. A âncora foi o mesmo resíduo nas duas metades em 21 de 24 simulações lineares (mudou em GISGS, TDETG e HGGGGSG) e em 24 de 24 cíclicas. Aplicada a triagem como foi declarada (ocupância, mesma âncora e, nos anéis, o critério estrito do anel), três das 48 passam: NGGRPDAP, GQNDS e GGHSE.</w:t>
      </w:r>
      <w:r>
        <w:t xml:space="preserve"> </w:t>
      </w:r>
      <w:r>
        <w:t xml:space="preserve">O contato com a serina catalítica em ao menos 0,9 dos quadros ocorreu em 14 simulações lineares e 17 cíclicas, o contato com a histidina catalítica em 11 e 11, e com ambas em 7 e 10. Como nas dezesseis primeiras simulações, esses contatos estavam presentes quando a âncora estava longe de S1, de modo que não discriminam os candidatos. O peptídeo manteve algum contato com o receptor a até 4,5 Å em ao menos 0,82 (linear) e 0,97 (cíclico) dos quadros de cada simulação, então sair de S1 não significou dissociação. O RMSD local do peptídeo na janela final (Cα, alinhado ao receptor, após a correção de imagem periódica da Seção 2.9) teve mediana de 0,56 nm (intervalo 0,21–2,64) na frente linear e 0,30 nm (0,16–1,69) na cíclica. Em 6 simulações lineares e 5 cíclicas a trajetória bruta tinha ao menos um salto de imagem maior que 30 Å, que a correção remove. Por espécie (seis simulações cada), a distância final mediana variou de 5,5 Å (</w:t>
      </w:r>
      <w:r>
        <w:rPr>
          <w:i/>
          <w:iCs/>
        </w:rPr>
        <w:t xml:space="preserve">O. nubilalis</w:t>
      </w:r>
      <w:r>
        <w:t xml:space="preserve">) a 7,8 Å (</w:t>
      </w:r>
      <w:r>
        <w:rPr>
          <w:i/>
          <w:iCs/>
        </w:rPr>
        <w:t xml:space="preserve">S. litura</w:t>
      </w:r>
      <w:r>
        <w:t xml:space="preserve">); com seis simulações por espécie, essas diferenças não são um ranking de espécies.</w:t>
      </w:r>
      <w:r>
        <w:t xml:space="preserve"> </w:t>
      </w:r>
      <w:r>
        <w:t xml:space="preserve">As quatro simulações que terminaram mais perto do Asp189 foram GGKPGEP (cíclico, 2,71 Å), NGGRPDAP (linear, 2,74 Å), GGHSE (cíclico, 3,07 Å) e GQNDS (linear, 3,77 Å). As quatro haviam partido a até 4,0 Å (2,71; 2,78; 2,86 e 4,00 Å); nenhuma chegou lá vinda de mais longe. GGHSE é a única simulação que reuniu ocupância na segunda metade de ao menos 0,70 e o critério estrito do anel. Os demais candidatos lineares tiveram ocupância na segunda metade de no máximo 0,67; GHHGGG (</w:t>
      </w:r>
      <w:r>
        <w:rPr>
          <w:i/>
          <w:iCs/>
        </w:rPr>
        <w:t xml:space="preserve">P. xylostella</w:t>
      </w:r>
      <w:r>
        <w:t xml:space="preserve">, 0,67) e GTDEN (</w:t>
      </w:r>
      <w:r>
        <w:rPr>
          <w:i/>
          <w:iCs/>
        </w:rPr>
        <w:t xml:space="preserve">A. gemmatalis</w:t>
      </w:r>
      <w:r>
        <w:t xml:space="preserve">, 0,63) chegaram mais perto.</w:t>
      </w:r>
      <w:r>
        <w:t xml:space="preserve"> </w:t>
      </w:r>
      <w:r>
        <w:rPr>
          <w:i/>
          <w:iCs/>
        </w:rPr>
        <w:t xml:space="preserve">Critério do anel.</w:t>
      </w:r>
      <w:r>
        <w:t xml:space="preserve"> </w:t>
      </w:r>
      <w:r>
        <w:t xml:space="preserve">Nas 24 simulações cíclicas a distância C–N de fechamento ficou em 1,5 Å ou menos (maior valor por trajetória 1,415–1,462 Å), então nenhum anel se abriu. O critério estrito da Seção 2.9 (C–N ≤ 1,5 Å e |ω| ≥ 150° em todos os quadros) foi cumprido por 11 de 24 macrociclos; os 13 que falharam o fizeram só pelo ω, cujo mínimo ficou entre 137,2° e 149,9°. Em 12 dos 13, |ω| foi de ao menos 150° em 97,8% ou mais dos quadros; PHGEA foi o pior (91,8%; mínimo 137,2°). Quatro falharam por menos de 3° (GGSQSS 149,0°, GIGSG 149,2°, DGING 149,9°, GGSDHT 147,7°). O critério foi aplicado como declarado e a fração de quadros com |ω| ≥ 150° é uma descrição secundária post hoc; em conjunto, as falhas são desvios transitórios da planaridade da amida e não anéis abertos (a Figura S2 mostra os três anéis de</w:t>
      </w:r>
      <w:r>
        <w:t xml:space="preserve"> </w:t>
      </w:r>
      <w:r>
        <w:rPr>
          <w:i/>
          <w:iCs/>
        </w:rPr>
        <w:t xml:space="preserve">A. gemmatalis</w:t>
      </w:r>
      <w:r>
        <w:t xml:space="preserve">).</w:t>
      </w:r>
      <w:r>
        <w:t xml:space="preserve"> </w:t>
      </w:r>
      <w:r>
        <w:rPr>
          <w:i/>
          <w:iCs/>
        </w:rPr>
        <w:t xml:space="preserve">A pose inicial, e não a química da âncora, decide o resultado.</w:t>
      </w:r>
      <w:r>
        <w:t xml:space="preserve"> </w:t>
      </w:r>
      <w:r>
        <w:t xml:space="preserve">Uma ocupância na segunda metade de ao menos 0,70 ocorreu em 5 das 9 simulações cujo peptídeo partiu a até 4,0 Å do carboxilato do Asp189 (janela inicial 2,71–4,00 Å) e em nenhuma das 39 que partiram de mais longe. As quatro que partiram perto e não chegaram foram GHHGGG (0,67), PISQIDSGSR (0,33), GGSDHT (0,00) e GGHGGG (0,00). Nas 48 simulações, as distâncias inicial e final se correlacionaram (ρ de Spearman = 0,63; r de Pearson = 0,77) e a distância inicial se relacionou inversamente com a ocupância da segunda metade (ρ = −0,63; r = −0,46); o comprimento do peptídeo explicou pouco da distância final (r = 0,16). A identidade da âncora não separa as cinco que atingiram a ocupância: são uma arginina, uma glutamina, uma lisina e duas histidinas, e três dos cinco peptídeos (GQNDS, GGHSE, GGGGH) não têm arginina nem lisina. Dez nanossegundos, portanto, reportam em grande parte a pose que o Boltz-2 propôs, em vez de acrescentar evidência independente dela: a triagem mede se uma pose que já está em S1 sobrevive, e um candidato posto a 5 Å não tem tempo de achar o bolso. Isto é uma propriedade do desenho da triagem, declarada aqui, e vale igualmente para os candidatos que falharam.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são relatados na Seção 3.11 (Figura 13).</w:t>
      </w:r>
    </w:p>
    <w:p>
      <w:pPr>
        <w:pStyle w:val="BodyText"/>
      </w:pPr>
      <w:r>
        <w:rPr>
          <w:i/>
          <w:iCs/>
        </w:rPr>
        <w:t xml:space="preserve">Por que a química da âncora, e não a ocupância, carrega a informação.</w:t>
      </w:r>
      <w:r>
        <w:t xml:space="preserve"> </w:t>
      </w:r>
      <w:r>
        <w:t xml:space="preserve">A âncora dos onze sistemas de calibração era uma lisina ou uma arginina, como o bolso prevê: a especificidade estreita da tripsina vem do aspartato no fundo de S1 (Brandsdal et al., 2006), e as estruturas cristalográficas de dez variantes P1 de BPTI com β-tripsina bovina mostram que a Lys é o resíduo cognato, com a melhor geometria de ligação de hidrogênio e os menores fatores de temperatura, enquanto as constantes de associação das variantes vão de 1,5 × 10</w:t>
      </w:r>
      <w:r>
        <w:rPr>
          <w:vertAlign w:val="superscript"/>
        </w:rPr>
        <w:t xml:space="preserve">4</w:t>
      </w:r>
      <w:r>
        <w:t xml:space="preserve"> </w:t>
      </w:r>
      <w:r>
        <w:t xml:space="preserve">a 1,7 × 10</w:t>
      </w:r>
      <w:r>
        <w:rPr>
          <w:vertAlign w:val="superscript"/>
        </w:rPr>
        <w:t xml:space="preserve">13</w:t>
      </w:r>
      <w:r>
        <w:t xml:space="preserve"> </w:t>
      </w:r>
      <w:r>
        <w:t xml:space="preserve">M</w:t>
      </w:r>
      <w:r>
        <w:rPr>
          <w:vertAlign w:val="superscript"/>
        </w:rPr>
        <w:t xml:space="preserve">−1</w:t>
      </w:r>
      <w:r>
        <w:t xml:space="preserve"> </w:t>
      </w:r>
      <w:r>
        <w:t xml:space="preserve">(Helland et al., 1999). Uma sequência que mantenha uma Lys ou uma Arg chega, portanto, a S1 sempre que é colocada ali, seja ou não um ligante, e a ocupância mede essa colocação, não a discriminação entre ligante e isca. Dois resultados adicionais delimitam quais cadeias laterais em P1 devem perder afinidade. As ácidas são desfavorecidas: um Glu ionizado em P1 é desfavorável em S1, e a ligação relatada para o P1 Glu é explicada pela sua forma protonada, o que o torna inibidor sobretudo em pH baixo (Brandsdal et al., 2006); no pH 10 do intestino médio larval e das nossas simulações, Asp e Glu estão ionizados em solução. E o efeito de um P1 não cognato é grande, mas não monotônico com o tamanho: entre sete mutantes P1 de BPTI (Gly, Ala, Ser, Val, Leu, Arg, Trp), as constantes de associação para a tripsina cobriram sete ordens de grandeza, e os resíduos pequenos Ala, Gly e Ser estavam entre os mais fortes dos testados (Grzesiak et al., 2000); trocar a âncora por Gly ou Ala, portanto, não é um controle negativo. Esses dados vêm de um arcabouço de 58 resíduos com alça canônica; usamo-los para escolher controles, não para prever a afinidade de peptídeos de 5–12 resíduos.</w:t>
      </w:r>
    </w:p>
    <w:p>
      <w:pPr>
        <w:pStyle w:val="BodyText"/>
      </w:pPr>
      <w:r>
        <w:rPr>
          <w:rStyle w:val="Pendente"/>
        </w:rPr>
        <w:t xml:space="preserve">PENDENTE: controle negativo. Para cada candidato cuja ocupância na segunda metade não seja menor que a de seu próprio controle embaralhado, o resíduo da âncora será trocado por Asp (ionizado em pH 10, repelido pelo Asp189) e por Leu (não cognato, apolar), mantendo a pose inicial, e simulado no mesmo protocolo. Leitura: distância âncora–Asp189 e perda da ponte salina, não MM-GBSA, que não separou inibidores de iscas na calibração (Seção 3.3). Regra de decisão, fixada antes das rodadas: se nenhuma das variantes sair de S1 em 10 ns, ou se os controles embaralhados não se separarem dos candidatos, o controle não traz informação e é retirado das análises, das camadas e das figuras deste artigo, em vez de relatado como confirmação; o resultado da calibração acima, que já é dado, permanece.</w:t>
      </w:r>
    </w:p>
    <w:p>
      <w:pPr>
        <w:pStyle w:val="CaptionedFigure"/>
      </w:pPr>
      <w:r>
        <w:drawing>
          <wp:inline>
            <wp:extent cx="5334000" cy="5484607"/>
            <wp:effectExtent b="0" l="0" r="0" t="0"/>
            <wp:docPr descr="Figura 11. Simulações de triagem de 10 ns (CHARMM36, pH 10, 300 K, uma réplica cada; as 48 concluídas).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as 48 concluídas).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w:t>
      </w:r>
    </w:p>
    <w:bookmarkEnd w:id="68"/>
    <w:bookmarkStart w:id="69" w:name="frente-linear-versus-frente-macrocíclica"/>
    <w:p>
      <w:pPr>
        <w:pStyle w:val="Heading3"/>
      </w:pPr>
      <w:r>
        <w:t xml:space="preserve">3.10 Frente linear versus frente macrocíclica</w:t>
      </w:r>
    </w:p>
    <w:p>
      <w:pPr>
        <w:pStyle w:val="FirstParagraph"/>
      </w:pPr>
      <w:r>
        <w:t xml:space="preserve">Dos 24 candidatos finais por frente, três sequências coincidem na mesma espécie e foram, portanto, simuladas nas duas formas: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A ocupância de S1 na segunda metade foi 1,00 na forma linear e 0,00 na cíclica de GQNDS (âncora Gln nas duas; janelas inicial e final 4,00 → 3,77 Å linear e 4,85 → 10,27 Å cíclica), 0,07 e 0,00 em GGSQSS (5,41 → 9,16 e 5,34 → 8,02 Å; âncora Gln nas duas) e 0,00 nas duas formas de NGGTT (6,30 → 7,77 e 6,21 → 6,76 Å; âncora Thr e Asn). Nas 48 simulações as duas frentes ficaram próximas: distância final mediana 6,77 Å (linear) e 6,11 Å (cíclica), âncora a até 4 Å em 2 e 2, ocupância de ao menos 0,70 em 2 e 3. Mais complexos cíclicos partiram perto de S1 (janela inicial ≤ 3,5 Å em 5 de 24, contra 2 de 24), e o RMSD local da janela final foi menor (mediana 0,30 contra 0,56 nm). Com uma réplica por candidato, três sequências pareadas e uma pose inicial que difere entre as frentes, não se pode inferir efeito da ciclização; o único par com desfechos discordantes, GQNDS, também difere na distância inicial (4,00 e 4,85 Å).</w:t>
      </w:r>
    </w:p>
    <w:bookmarkEnd w:id="69"/>
    <w:bookmarkStart w:id="76" w:name="peptídeos-candidatos-finais"/>
    <w:p>
      <w:pPr>
        <w:pStyle w:val="Heading3"/>
      </w:pPr>
      <w:r>
        <w:t xml:space="preserve">3.11 Peptídeos candidatos finais</w:t>
      </w:r>
    </w:p>
    <w:p>
      <w:pPr>
        <w:pStyle w:val="FirstParagraph"/>
      </w:pPr>
      <w:r>
        <w:t xml:space="preserve">Os 48 candidatos finais foram ordenados em camadas usando apenas os critérios declarados antes das simulações (Seção 2.9): a camada A cumpre todos os critérios disponíveis (controle de qualidade de pose, diferença pareada positiva frente aos controles embaralhados e, nos macrociclos, o critério estrito do anel); a B falha exatamente um deles; a C falha dois ou mais; a P aguardaria a simulação e está vazia porque as 48 terminaram. A ocupância de S1 e a âncora aparecem na Figura 12, mas não definem a camada, porque a ocupância acompanha a pose inicial (Seção 3.9). Dentro da camada a ordem é a diferença pareada, depois a confiança do Boltz-2, depois a ocupância de S1. A atribuição é 23 A, 1 B e 0 C na frente linear e 10 A, 13 B e 1 C na macrocíclica. Na frente linear a diferença pareada (E3, Seção 3.8) está disponível: os 24 passam no controle de qualidade de pose e 23 têm Δ positivo; HGGGGSG (Δ = −0,0001) fica na camada B. Como Δ é da ordem do ruído da predição, a camada A da frente linear exclui apenas um de 24 candidatos e não discrimina entre os demais. Na frente macrocíclica, 12 dos 13 candidatos da camada B falham só no critério estrito do anel; GGHGGG (Δ = −0,009) falha só na diferença pareada, e GPDGGTG (Δ = −0,002, anel não estrito) falha nos dois e é o único da camada C. A camada A macrocíclica é, portanto, formada pelos 10 dos 11 anéis que cumpriram o critério estrito e também têm Δ positivo. As camadas A e B significam que o candidato sobreviveu aos filtros disponíveis, não que se espera que iniba. Entre os candidatos da camada A cuja âncora terminou a até 4 Å do Asp189 estão NGGRPDAP e GQNDS (lineares) e GGHSE (cíclico); GGKPGEP, com a menor distância final, está na camada B por causa do anel. Todos os candidatos cumprem o critério duro de não clivagem e nenhum carrega alegação de seletividade. A dinâmica molecular verifica a estabilidade da pose prevista em 10 ns e não é estimativa de afinidade.</w:t>
      </w:r>
    </w:p>
    <w:p>
      <w:pPr>
        <w:pStyle w:val="BodyText"/>
      </w:pPr>
      <w:r>
        <w:rPr>
          <w:i/>
          <w:iCs/>
        </w:rPr>
        <w:t xml:space="preserve">Simulações dos controles embaralhados (parcial).</w:t>
      </w:r>
      <w:r>
        <w:t xml:space="preserve"> </w:t>
      </w:r>
      <w:r>
        <w:t xml:space="preserve">Três simulações de controles embaralhados da frente linear estavam concluídas quando esta versão foi escrita (10 ns, mesmo protocolo, um controle por candidato: o controle do E3 de maior confiança; Figura 13). NGGRPDAP (ocupância na segunda metade 1,00, âncora Arg) e seu controle PGRGDANP (1,00, âncora Arg) foram indistinguíveis. GPGGGTG (0,00, âncora Thr) ficou abaixo do controle GGGGGPT (1,00, âncora Gly). Só GTDEN (0,63, âncora Glu) superou seu controle GTNED (0,20, âncora Gly). Os dois controles que chegaram a 1,00 partiram com a âncora a 2,73 Å do Asp189, e o que partiu a 6,3 Å terminou em 0,20, a mesma dependência da pose inicial vista nos candidatos (Seção 3.9; Figura 13B). Com três controles, uma réplica cada, esses resultados são descritivos: neste subconjunto, passar no critério de ocupância não distingue um candidato de uma sequência embaralhada de mesma composição e, pela regra da Seção 3.9, não sustentam o uso da ocupância como evidência a favor de um candidato. Os controles da frente macrocíclica e de GQNDS e GGHSE ainda estavam em execução.</w:t>
      </w:r>
    </w:p>
    <w:p>
      <w:pPr>
        <w:pStyle w:val="BodyText"/>
      </w:pPr>
      <w:r>
        <w:rPr>
          <w:rStyle w:val="Pendente"/>
        </w:rPr>
        <w:t xml:space="preserve">PENDENTE: as demais simulações dos controles embaralhados, o controle negativo, a robustez ao pH e a lista de peptídeos recomendados.</w:t>
      </w:r>
    </w:p>
    <w:p>
      <w:pPr>
        <w:pStyle w:val="CaptionedFigure"/>
      </w:pPr>
      <w:r>
        <w:drawing>
          <wp:inline>
            <wp:extent cx="5334000" cy="3704933"/>
            <wp:effectExtent b="0" l="0" r="0" t="0"/>
            <wp:docPr descr="Figura 12. 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não disponíveis (campanha de pH não realizada). As camadas usam a diferença pareada do E3 e ainda não incluem as simulações de 10 ns dos controles embaralhados (Seção 3.9)." title="" id="71" name="Picture"/>
            <a:graphic>
              <a:graphicData uri="http://schemas.openxmlformats.org/drawingml/2006/picture">
                <pic:pic>
                  <pic:nvPicPr>
                    <pic:cNvPr descr="figures/pt/fig12_candidatos_finais.png" id="72" name="Picture"/>
                    <pic:cNvPicPr>
                      <a:picLocks noChangeArrowheads="1" noChangeAspect="1"/>
                    </pic:cNvPicPr>
                  </pic:nvPicPr>
                  <pic:blipFill>
                    <a:blip r:embed="rId7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12.</w:t>
      </w:r>
      <w:r>
        <w:t xml:space="preserve"> </w:t>
      </w:r>
      <w:r>
        <w:t xml:space="preserve">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não disponíveis (campanha de pH não realizada). As camadas usam a diferença pareada do E3 e ainda não incluem as simulações de 10 ns dos controles embaralhados (Seção 3.9).</w:t>
      </w:r>
    </w:p>
    <w:p>
      <w:pPr>
        <w:pStyle w:val="CaptionedFigure"/>
      </w:pPr>
      <w:r>
        <w:drawing>
          <wp:inline>
            <wp:extent cx="5334000" cy="2369551"/>
            <wp:effectExtent b="0" l="0" r="0" t="0"/>
            <wp:docPr descr="Figura 13. Simulações de controles embaralhados (10 ns, CHARMM36, pH 10; frente linear, três concluídas na data de escrita). (A) Ocupância de S1 a 5 Å na segunda metade de cada candidato e de seu controle embaralhado (rótulos: candidato → controle). (B) Distância inicial âncora–Asp189 e ocupância na segunda metade dos 48 candidatos (cinza) e dos controles (losangos; dois controles partem de 2,73 Å e quase coincidem). Linha tracejada: critério de 70%. Controles da frente macrocíclica, de GQNDS e de GGHSE pendentes." title="" id="74" name="Picture"/>
            <a:graphic>
              <a:graphicData uri="http://schemas.openxmlformats.org/drawingml/2006/picture">
                <pic:pic>
                  <pic:nvPicPr>
                    <pic:cNvPr descr="figures/pt/fig13_controles_embaralhados.png" id="75" name="Picture"/>
                    <pic:cNvPicPr>
                      <a:picLocks noChangeArrowheads="1" noChangeAspect="1"/>
                    </pic:cNvPicPr>
                  </pic:nvPicPr>
                  <pic:blipFill>
                    <a:blip r:embed="rId73"/>
                    <a:stretch>
                      <a:fillRect/>
                    </a:stretch>
                  </pic:blipFill>
                  <pic:spPr bwMode="auto">
                    <a:xfrm>
                      <a:off x="0" y="0"/>
                      <a:ext cx="5334000" cy="2369551"/>
                    </a:xfrm>
                    <a:prstGeom prst="rect">
                      <a:avLst/>
                    </a:prstGeom>
                    <a:noFill/>
                    <a:ln w="9525">
                      <a:noFill/>
                      <a:headEnd/>
                      <a:tailEnd/>
                    </a:ln>
                  </pic:spPr>
                </pic:pic>
              </a:graphicData>
            </a:graphic>
          </wp:inline>
        </w:drawing>
      </w:r>
    </w:p>
    <w:p>
      <w:pPr>
        <w:pStyle w:val="ImageCaption"/>
      </w:pPr>
      <w:r>
        <w:rPr>
          <w:b/>
          <w:bCs/>
        </w:rPr>
        <w:t xml:space="preserve">Figura 13.</w:t>
      </w:r>
      <w:r>
        <w:t xml:space="preserve"> </w:t>
      </w:r>
      <w:r>
        <w:t xml:space="preserve">Simulações de controles embaralhados (10 ns, CHARMM36, pH 10; frente linear, três concluídas na data de escrita). (A) Ocupância de S1 a 5 Å na segunda metade de cada candidato e de seu controle embaralhado (rótulos: candidato → controle). (B) Distância inicial âncora–Asp189 e ocupância na segunda metade dos 48 candidatos (cinza) e dos controles (losangos; dois controles partem de 2,73 Å e quase coincidem). Linha tracejada: critério de 70%. Controles da frente macrocíclica, de GQNDS e de GGHSE pendentes.</w:t>
      </w:r>
    </w:p>
    <w:p>
      <w:r>
        <w:pict>
          <v:rect style="width:0;height:1.5pt" o:hralign="center" o:hrstd="t" o:hr="t"/>
        </w:pict>
      </w:r>
    </w:p>
    <w:bookmarkEnd w:id="76"/>
    <w:bookmarkEnd w:id="77"/>
    <w:bookmarkStart w:id="83" w:name="discussão"/>
    <w:p>
      <w:pPr>
        <w:pStyle w:val="Heading2"/>
      </w:pPr>
      <w:r>
        <w:t xml:space="preserve">4 Discussão</w:t>
      </w:r>
    </w:p>
    <w:bookmarkStart w:id="78" w:name="principais-achados"/>
    <w:p>
      <w:pPr>
        <w:pStyle w:val="Heading3"/>
      </w:pPr>
      <w:r>
        <w:t xml:space="preserve">4.1 Principais achados</w:t>
      </w:r>
    </w:p>
    <w:p>
      <w:pPr>
        <w:pStyle w:val="FirstParagraph"/>
      </w:pPr>
      <w:r>
        <w:t xml:space="preserve">Montamos e calibramos um pipeline que vai de um painel de oito tripsinas digestivas de lepidópteros até peptídeos candidatos triados, com a não clivabilidade por proteases do intestino médio como exigência binária explícita. A parte estrutural foi robusta: os subsítios definidos a partir de dois complexos cristalográficos foram transferidos para os dez modelos de receptor com alta concordância, e o equivalente do Asp189 encontrado pela estrutura coincidiu com o encontrado pela sequência. A geração produziu 22.066 sequências únicas a partir de 880 esqueletos macrocíclicos, e 527 sequências lineares e 543 cíclicas satisfizeram o critério duro. Nas 48 simulações de 10 ns, a distância mediana entre a âncora e o Asp189 aumentou (5,7 → 6,8 Å linear; 5,1 → 6,1 Å cíclico); apenas quatro candidatos terminaram a menos de 4 Å, todos com partida a até 4,0 Å, e 13 dos 24 macrociclos ficaram abaixo do limite de ω em ao menos um quadro sem abrir o anel. A ocupância de S1 acompanha a pose inicial do Boltz-2; as simulações verificam, portanto, a estabilidade de uma pose e não são evidência de ligação. Nas três simulações de controles embaralhados concluídas até agora, dois controles chegaram a ocupância 1,00 e um candidato ficou abaixo de seu controle (Seção 3.11). A diferença pareada frente aos controles embaralhados (E3) é positiva em 63 de 78 candidatos lineares e 60 de 79 macrocíclicos, mas da ordem do ruído da predição, e a matriz cruzada não mostra preferência espécie-específica dos melhores candidatos (Seção 3.8). Nenhum resultado diz respeito à atividade inibitória ou à seletividade: não houve ensaio nem contrasseleção contra proteases não 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8"/>
    <w:bookmarkStart w:id="79"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9"/>
    <w:bookmarkStart w:id="80" w:name="Xafece074cecce80077a0c9860132a7cfb8c9c03"/>
    <w:p>
      <w:pPr>
        <w:pStyle w:val="Heading3"/>
      </w:pPr>
      <w:r>
        <w:t xml:space="preserve">4.3 Resistência proteolítica e engajamento de S1 puxam em direções opostas</w:t>
      </w:r>
    </w:p>
    <w:p>
      <w:pPr>
        <w:pStyle w:val="FirstParagraph"/>
      </w:pPr>
      <w:r>
        <w:t xml:space="preserve">A triagem por motivos de clivagem removeu 91,7% das sequências e selecionou peptídeos curtos (média de 7,05 resíduos; 95,6% com dez ou menos) e quase sem lisina e arginina (4,3%); só 1,3% tinha um deles na posição mais próxima da serina catalítica. Nos inibidores de mecanismo padrão,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A triagem, portanto, seleciona sequências que não têm o resíduo mais adequado para engajar o aspartato de S1. Isso decorre da definição da classe: um resíduo básico não seguido de prolina, em qualquer posição que não seja o P1 geométrico, conta como sítio, e sequências longas acumulam mais ocorrências.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poderia tolerar um P1 básico que uma regra linear de motivos sinaliza. Os 78 candidatos com lisina ou arginina, entre eles GGKPGEP, o melhor de</w:t>
      </w:r>
      <w:r>
        <w:t xml:space="preserve"> </w:t>
      </w:r>
      <w:r>
        <w:rPr>
          <w:i/>
          <w:iCs/>
        </w:rPr>
        <w:t xml:space="preserve">A. gemmatalis</w:t>
      </w:r>
      <w:r>
        <w:t xml:space="preserve">, formam um conjunto pequeno em que isso pode ser examinado; a triagem atual não diz se a conformação deles mantém esse resíduo protegido.</w:t>
      </w:r>
    </w:p>
    <w:p>
      <w:pPr>
        <w:pStyle w:val="BodyText"/>
      </w:pPr>
      <w:r>
        <w:t xml:space="preserve">O critério duro torna o compromisso mais severo. Ao proibir todo resíduo que uma enzima tipo tripsina, quimotripsina ou elastase pode ter em P1, ele deixa peptídeos com quase metade de glicina (49,4% dos resíduos) e apenas nove resíduos básicos, cada um protegido por uma prolina seguinte, exceção tirada da especificidade geral das enzimas e aproximada para cada espécie. Tais sequências provavelmente são flexíveis, o que pode custar entropia de ligação, e carecem das cadeias laterais que definem a interação com S1 nos inibidores canônicos. GGKPGEP é um exemplo: sua lisina é protegida pelo resíduo seguinte e ainda poderia alcançar S1. Se alguma dessas sequências se liga, e pela âncora esperada, é o que as simulações e os controles pareados abordam; um resultado negativo para uma espécie seria informativo. A ciclização remove os términos expostos, mas não os sítios internos, e por isso o macrociclo ganhou só 16 sequências sobre o conjunto linear. A aminopeptidase N, que precisa de N-terminal livre, não é tratada por nenhuma regra de sequência para os peptídeos lineares; proteger o N-terminal, o que também mudaria o estado de protonação que o campo de força não representa, seria a resposta prática.</w:t>
      </w:r>
    </w:p>
    <w:p>
      <w:pPr>
        <w:pStyle w:val="BodyText"/>
      </w:pPr>
      <w:r>
        <w:t xml:space="preserve">As regras de motivos são grosseiras: o escore é uma contagem ponderada de sítios, a regra tipo elastase sinaliza quatro resíduos comuns (alanina, glicina, serina e valina), a regra tipo pepsina é irrelevante para o intestino de lepidópteros, e uma classe pode mudar com um único sítio (GIFDDIG não tem sítio de tripsina e mesmo assim é classificado como MARGINAL). RESISTENTE é uma predição de baixa carga de motivos, não uma medida de estabilidade no intestino médio.</w:t>
      </w:r>
    </w:p>
    <w:bookmarkEnd w:id="80"/>
    <w:bookmarkStart w:id="81"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(xii) A âncora é definida post hoc como o resíduo do peptídeo de menor distância média ao Asp189, e é a ocupância dela que se mede, o que favorece o valor medido frente a um resíduo fixado de antemão. (xiii) Dez nanossegundos a partir do complexo previsto testam se aquela pose é estável, não se o peptídeo consegue encontrar S1: os cinco candidatos que atingiram ocupância de 0,70 partiram a até 4,0 Å do Asp189, e nenhum dos 39 que partiram de mais longe o fez; por isso a ocupância foi rebaixada de critério a descrição, depois de vistas as 16 primeiras simulações (Seção 2.9). (xiv)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(xv) O critério desses controles, Δ &gt; 0, não tem limiar de incerteza, enquanto o desvio-padrão entre as quinze predições de um mesmo candidato é de cerca de 0,02, de modo que um Δ positivo pequeno está dentro do ruído. (xvi)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81"/>
    <w:bookmarkStart w:id="82"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e testar quanto o estado de protonação e o pH do meio alteram o resultado, que aqui ficam fixos e cuja comparação deixamos para trabalho separado;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82"/>
    <w:bookmarkEnd w:id="83"/>
    <w:bookmarkStart w:id="84"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4"/>
    <w:bookmarkStart w:id="85"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5"/>
    <w:bookmarkStart w:id="86"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6"/>
    <w:bookmarkStart w:id="87" w:name="financiamento"/>
    <w:p>
      <w:pPr>
        <w:pStyle w:val="Heading2"/>
      </w:pPr>
      <w:r>
        <w:t xml:space="preserve">Financiamento</w:t>
      </w:r>
    </w:p>
    <w:p>
      <w:pPr>
        <w:pStyle w:val="FirstParagraph"/>
      </w:pPr>
      <w:r>
        <w:rPr>
          <w:rStyle w:val="Pendente"/>
        </w:rPr>
        <w:t xml:space="preserve">PENDENTE: a completar pelos autores.</w:t>
      </w:r>
    </w:p>
    <w:bookmarkEnd w:id="87"/>
    <w:bookmarkStart w:id="88"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8"/>
    <w:bookmarkStart w:id="89" w:name="conflito-de-interesses"/>
    <w:p>
      <w:pPr>
        <w:pStyle w:val="Heading2"/>
      </w:pPr>
      <w:r>
        <w:t xml:space="preserve">Conflito de interesses</w:t>
      </w:r>
    </w:p>
    <w:p>
      <w:pPr>
        <w:pStyle w:val="FirstParagraph"/>
      </w:pPr>
      <w:r>
        <w:rPr>
          <w:rStyle w:val="Pendente"/>
        </w:rPr>
        <w:t xml:space="preserve">PENDENTE: a completar pelos autores.</w:t>
      </w:r>
    </w:p>
    <w:bookmarkEnd w:id="89"/>
    <w:bookmarkStart w:id="96"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91" name="Picture"/>
            <a:graphic>
              <a:graphicData uri="http://schemas.openxmlformats.org/drawingml/2006/picture">
                <pic:pic>
                  <pic:nvPicPr>
                    <pic:cNvPr descr="figures/pt/figS1_regras_motivo.png" id="92" name="Picture"/>
                    <pic:cNvPicPr>
                      <a:picLocks noChangeArrowheads="1" noChangeAspect="1"/>
                    </pic:cNvPicPr>
                  </pic:nvPicPr>
                  <pic:blipFill>
                    <a:blip r:embed="rId90"/>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496414"/>
            <wp:effectExtent b="0" l="0" r="0" t="0"/>
            <wp:docPr descr="Figura S2. Integridade do anel nas três simulações cíclicas de A. gemmatalis 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 title="" id="94" name="Picture"/>
            <a:graphic>
              <a:graphicData uri="http://schemas.openxmlformats.org/drawingml/2006/picture">
                <pic:pic>
                  <pic:nvPicPr>
                    <pic:cNvPr descr="figures/pt/figS2_anel_ciclico_charmm36.png" id="95" name="Picture"/>
                    <pic:cNvPicPr>
                      <a:picLocks noChangeArrowheads="1" noChangeAspect="1"/>
                    </pic:cNvPicPr>
                  </pic:nvPicPr>
                  <pic:blipFill>
                    <a:blip r:embed="rId93"/>
                    <a:stretch>
                      <a:fillRect/>
                    </a:stretch>
                  </pic:blipFill>
                  <pic:spPr bwMode="auto">
                    <a:xfrm>
                      <a:off x="0" y="0"/>
                      <a:ext cx="3959999" cy="1496414"/>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de</w:t>
      </w:r>
      <w:r>
        <w:t xml:space="preserve"> </w:t>
      </w:r>
      <w:r>
        <w:rPr>
          <w:i/>
          <w:iCs/>
        </w:rPr>
        <w:t xml:space="preserve">A. gemmatalis</w:t>
      </w:r>
      <w:r>
        <w:t xml:space="preserve"> </w:t>
      </w:r>
      <w:r>
        <w:t xml:space="preserve">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w:t>
      </w:r>
    </w:p>
    <w:bookmarkEnd w:id="96"/>
    <w:bookmarkStart w:id="97"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Grzesiak A, Helland R, Smalås AO, Krowarsch D, Dadlez M, Otlewski J (2000). Substitutions at the P 1 ′ position in BPTI strongly affect the association energy with serine proteinases 1 1Edited by R. Huber. Journal of Molecular Biology 301, 205-217. doi: 10.1006/jmbi.2000.3935</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7"/>
    <w:bookmarkEnd w:id="98"/>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90" Type="http://schemas.openxmlformats.org/officeDocument/2006/relationships/image" Target="media/rId90.png"/><Relationship Id="rId93" Type="http://schemas.openxmlformats.org/officeDocument/2006/relationships/image" Target="media/rId9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2026-10-05T00:52:31Z</dcterms:created>
  <dcterms:modified xsi:type="dcterms:W3CDTF">2026-10-05T00:52:31Z</dcterms:modified>
</cp:coreProperties>
</file>

<file path=docProps/custom.xml><?xml version="1.0" encoding="utf-8"?>
<Properties xmlns="http://schemas.openxmlformats.org/officeDocument/2006/custom-properties" xmlns:vt="http://schemas.openxmlformats.org/officeDocument/2006/docPropsVTypes"/>
</file>