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Computational design and triage of non-cleavable linear and macrocyclic peptide candidates targeting digestive trypsins of lepidopteran soybean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w:t>
            </w:r>
          </w:p>
        </w:tc>
        <w:tc>
          <w:tcPr/>
          <w:p>
            <w:pPr>
              <w:pStyle w:val="Compact"/>
              <w:spacing w:line="240" w:lineRule="auto"/>
            </w:pPr>
            <w:r>
              <w:rPr>
                <w:sz w:val="18"/>
              </w:rPr>
              <w:t xml:space="preserve">6,461 palavras no original em inglês (corpo sem tabelas, títulos e legendas; cada citação contada como uma palavra); tradução: 7,060</w:t>
            </w:r>
          </w:p>
        </w:tc>
        <w:tc>
          <w:tcPr/>
          <w:p>
            <w:pPr>
              <w:pStyle w:val="Compact"/>
              <w:spacing w:line="240" w:lineRule="auto"/>
            </w:pPr>
            <w:r>
              <w:rPr>
                <w:sz w:val="18"/>
              </w:rPr>
              <w:t xml:space="preserve">OK (há margem para a Seção 3.7)</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w:t>
            </w:r>
          </w:p>
        </w:tc>
        <w:tc>
          <w:tcPr/>
          <w:p>
            <w:pPr>
              <w:pStyle w:val="Compact"/>
              <w:spacing w:line="240" w:lineRule="auto"/>
            </w:pPr>
            <w:r>
              <w:rPr>
                <w:sz w:val="18"/>
              </w:rPr>
              <w:t xml:space="preserve">289 palavras no original em inglês (sem o trecho pendente); tradução: 334</w:t>
            </w:r>
          </w:p>
        </w:tc>
        <w:tc>
          <w:tcPr/>
          <w:p>
            <w:pPr>
              <w:pStyle w:val="Compact"/>
              <w:spacing w:line="240" w:lineRule="auto"/>
            </w:pPr>
            <w:r>
              <w:rPr>
                <w:sz w:val="18"/>
              </w:rPr>
              <w:t xml:space="preserve">OK (a frase de MD acrescentará cerca de 30 palavras)</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w:t>
            </w:r>
          </w:p>
        </w:tc>
        <w:tc>
          <w:tcPr/>
          <w:p>
            <w:pPr>
              <w:pStyle w:val="Compact"/>
              <w:spacing w:line="240" w:lineRule="auto"/>
            </w:pPr>
            <w:r>
              <w:rPr>
                <w:sz w:val="18"/>
              </w:rPr>
              <w:t xml:space="preserve">10</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w:t>
            </w:r>
          </w:p>
        </w:tc>
        <w:tc>
          <w:tcPr/>
          <w:p>
            <w:pPr>
              <w:pStyle w:val="Compact"/>
              <w:spacing w:line="240" w:lineRule="auto"/>
            </w:pPr>
            <w:r>
              <w:rPr>
                <w:sz w:val="18"/>
              </w:rPr>
              <w:t xml:space="preserve">149 caracteres</w:t>
            </w:r>
          </w:p>
        </w:tc>
        <w:tc>
          <w:tcPr/>
          <w:p>
            <w:pPr>
              <w:pStyle w:val="Compact"/>
              <w:spacing w:line="240" w:lineRule="auto"/>
            </w:pPr>
            <w:r>
              <w:rPr>
                <w:sz w:val="18"/>
              </w:rPr>
              <w:t xml:space="preserve">conferir limite no site</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w:t>
            </w:r>
          </w:p>
        </w:tc>
        <w:tc>
          <w:tcPr/>
          <w:p>
            <w:pPr>
              <w:pStyle w:val="Compact"/>
              <w:spacing w:line="240" w:lineRule="auto"/>
            </w:pPr>
            <w:r>
              <w:rPr>
                <w:sz w:val="18"/>
              </w:rPr>
              <w:t xml:space="preserve">50 caracteres</w:t>
            </w:r>
          </w:p>
        </w:tc>
        <w:tc>
          <w:tcPr/>
          <w:p>
            <w:pPr>
              <w:pStyle w:val="Compact"/>
              <w:spacing w:line="240" w:lineRule="auto"/>
            </w:pPr>
            <w:r>
              <w:rPr>
                <w:sz w:val="18"/>
              </w:rPr>
              <w:t xml:space="preserve">conferir no site</w:t>
            </w:r>
          </w:p>
        </w:tc>
      </w:tr>
      <w:tr>
        <w:tc>
          <w:tcPr/>
          <w:p>
            <w:pPr>
              <w:pStyle w:val="Compact"/>
              <w:spacing w:line="240" w:lineRule="auto"/>
            </w:pPr>
            <w:r>
              <w:rPr>
                <w:sz w:val="18"/>
              </w:rPr>
              <w:t xml:space="preserve">Figuras</w:t>
            </w:r>
          </w:p>
        </w:tc>
        <w:tc>
          <w:tcPr/>
          <w:p>
            <w:pPr>
              <w:pStyle w:val="Compact"/>
              <w:spacing w:line="240" w:lineRule="auto"/>
            </w:pPr>
            <w:r>
              <w:rPr>
                <w:sz w:val="18"/>
              </w:rPr>
              <w:t xml:space="preserve">resolução mínima de 300 dpi, arquivos separados</w:t>
            </w:r>
          </w:p>
        </w:tc>
        <w:tc>
          <w:tcPr/>
          <w:p>
            <w:pPr>
              <w:pStyle w:val="Compact"/>
              <w:spacing w:line="240" w:lineRule="auto"/>
            </w:pPr>
            <w:r>
              <w:rPr>
                <w:sz w:val="18"/>
              </w:rPr>
              <w:t xml:space="preserve">7 figuras (PNG 300 dpi e PDF vetorial, largura 180 mm); 2 suplementares;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estilo Frontiers (autor-ano), com DOI</w:t>
            </w:r>
          </w:p>
        </w:tc>
        <w:tc>
          <w:tcPr/>
          <w:p>
            <w:pPr>
              <w:pStyle w:val="Compact"/>
              <w:spacing w:line="240" w:lineRule="auto"/>
            </w:pPr>
            <w:r>
              <w:rPr>
                <w:sz w:val="18"/>
              </w:rPr>
              <w:t xml:space="preserve">66 referências, todas resolvidas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código no repositório; falta confirmar visibilidade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não redigidos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exigida pela Frontiers</w:t>
            </w:r>
          </w:p>
        </w:tc>
        <w:tc>
          <w:tcPr/>
          <w:p>
            <w:pPr>
              <w:pStyle w:val="Compact"/>
              <w:spacing w:line="240" w:lineRule="auto"/>
            </w:pPr>
            <w:r>
              <w:rPr>
                <w:sz w:val="18"/>
              </w:rPr>
              <w:t xml:space="preserve">não redigida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quando aplicável</w:t>
            </w:r>
          </w:p>
        </w:tc>
        <w:tc>
          <w:tcPr/>
          <w:p>
            <w:pPr>
              <w:pStyle w:val="Compact"/>
              <w:spacing w:line="240" w:lineRule="auto"/>
            </w:pPr>
            <w:r>
              <w:rPr>
                <w:sz w:val="18"/>
              </w:rPr>
              <w:t xml:space="preserve">não se aplica (sem animais, humanos ou dados pessoais)</w:t>
            </w:r>
          </w:p>
        </w:tc>
        <w:tc>
          <w:tcPr/>
          <w:p>
            <w:pPr>
              <w:pStyle w:val="Compact"/>
              <w:spacing w:line="240" w:lineRule="auto"/>
            </w:pPr>
            <w:r>
              <w:rPr>
                <w:sz w:val="18"/>
              </w:rPr>
              <w:t xml:space="preserve">a declarar</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trabalho computacional sobre inibidores de origem natural como controles</w:t>
            </w:r>
          </w:p>
        </w:tc>
        <w:tc>
          <w:tcPr/>
          <w:p>
            <w:pPr>
              <w:pStyle w:val="Compact"/>
              <w:spacing w:line="240" w:lineRule="auto"/>
            </w:pPr>
            <w:r>
              <w:rPr>
                <w:sz w:val="18"/>
              </w:rPr>
              <w:t xml:space="preserve">risco a verificar</w:t>
            </w:r>
          </w:p>
        </w:tc>
      </w:tr>
    </w:tbl>
    <w:p>
      <w:pPr>
        <w:pStyle w:val="BodyText"/>
      </w:pPr>
      <w:r>
        <w:rPr>
          <w:b/>
          <w:bCs/>
        </w:rPr>
        <w:t xml:space="preserve">Fonte e certeza dos limites.</w:t>
      </w:r>
      <w:r>
        <w:t xml:space="preserve"> </w:t>
      </w:r>
      <w:r>
        <w:t xml:space="preserve">Os limites acima vêm de páginas de tipos de artigo de outras revistas Frontiers e de resultados de busca sobre a</w:t>
      </w:r>
      <w:r>
        <w:t xml:space="preserve"> </w:t>
      </w:r>
      <w:r>
        <w:rPr>
          <w:i/>
          <w:iCs/>
        </w:rPr>
        <w:t xml:space="preserve">Frontiers in Natural Products</w:t>
      </w:r>
      <w:r>
        <w:t xml:space="preserve"> </w:t>
      </w:r>
      <w:r>
        <w:t xml:space="preserve">(existência da seção</w:t>
      </w:r>
      <w:r>
        <w:t xml:space="preserve"> </w:t>
      </w:r>
      <w:r>
        <w:rPr>
          <w:i/>
          <w:iCs/>
        </w:rPr>
        <w:t xml:space="preserve">Informatics and Computational Methods</w:t>
      </w:r>
      <w:r>
        <w:t xml:space="preserve">, extensão de 12.000 palavras para Original Research). A página oficial de tipos de artigo da própria revista não pôde ser aberta nesta sessão; confira os limites de título, resumo e palavras-chave diretamente no site antes de submeter.</w:t>
      </w:r>
      <w:r>
        <w:t xml:space="preserve"> </w:t>
      </w:r>
      <w:r>
        <w:rPr>
          <w:b/>
          <w:bCs/>
        </w:rPr>
        <w:t xml:space="preserve">Risco de escopo:</w:t>
      </w:r>
      <w:r>
        <w:t xml:space="preserve"> </w:t>
      </w:r>
      <w:r>
        <w:t xml:space="preserve">a revista descreve a seção de atividades biológicas com</w:t>
      </w:r>
      <w:r>
        <w:t xml:space="preserve"> </w:t>
      </w:r>
      <w:r>
        <w:t xml:space="preserve">“análise</w:t>
      </w:r>
      <w:r>
        <w:t xml:space="preserve"> </w:t>
      </w:r>
      <w:r>
        <w:rPr>
          <w:i/>
          <w:iCs/>
        </w:rPr>
        <w:t xml:space="preserve">in silico</w:t>
      </w:r>
      <w:r>
        <w:t xml:space="preserve"> </w:t>
      </w:r>
      <w:r>
        <w:t xml:space="preserve">acompanhada de validação experimental”</w:t>
      </w:r>
      <w:r>
        <w:t xml:space="preserve">; este trabalho é puramente computacional e não afirma atividade. Vale confirmar com a revista se um estudo puramente computacional é aceito nessa seção.</w:t>
      </w:r>
    </w:p>
    <w:bookmarkEnd w:id="10"/>
    <w:bookmarkStart w:id="11"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de ocupância de S1, de integridade do anel e da comparação linear × macrociclo, a gerar quando as simulações terminarem.</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1"/>
    <w:bookmarkEnd w:id="12"/>
    <w:bookmarkStart w:id="72" w:name="X3b8dbfdbf76b930877f0a6c59cde4c9ab943096"/>
    <w:p>
      <w:pPr>
        <w:pStyle w:val="Heading1"/>
        <w:pageBreakBefore/>
      </w:pPr>
      <w:r>
        <w:t xml:space="preserve">Desenho computacional e triagem de candidatos peptídicos lineares e macrocíclicos não clivados por proteases, dirigidos às tripsinas digestivas de lepidópteros-praga da soja</w:t>
      </w:r>
    </w:p>
    <w:p>
      <w:pPr>
        <w:pStyle w:val="FirstParagraph"/>
      </w:pPr>
      <w:r>
        <w:rPr>
          <w:b/>
          <w:bCs/>
        </w:rPr>
        <w:t xml:space="preserve">Título curto:</w:t>
      </w:r>
      <w:r>
        <w:t xml:space="preserve"> </w:t>
      </w:r>
      <w:r>
        <w:t xml:space="preserve">Peptídeos não clivados contra tripsinas de lepidópteros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 de protease, tripsina digestiva, Lepidoptera,</w:t>
      </w:r>
      <w:r>
        <w:t xml:space="preserve"> </w:t>
      </w:r>
      <w:r>
        <w:rPr>
          <w:i/>
          <w:iCs/>
        </w:rPr>
        <w:t xml:space="preserve">Anticarsia gemmatalis</w:t>
      </w:r>
      <w:r>
        <w:t xml:space="preserve">, peptídeo linear, peptídeo macrocíclico, resistência proteolítica, RFdiffusion, Boltz-2, dinâmica molecular</w:t>
      </w:r>
    </w:p>
    <w:p>
      <w:r>
        <w:pict>
          <v:rect style="width:0;height:1.5pt" o:hralign="center" o:hrstd="t" o:hr="t"/>
        </w:pict>
      </w:r>
    </w:p>
    <w:bookmarkStart w:id="13" w:name="resumo"/>
    <w:p>
      <w:pPr>
        <w:pStyle w:val="Heading2"/>
      </w:pPr>
      <w:r>
        <w:t xml:space="preserve">Resumo</w:t>
      </w:r>
    </w:p>
    <w:p>
      <w:pPr>
        <w:pStyle w:val="FirstParagraph"/>
      </w:pPr>
      <w:r>
        <w:rPr>
          <w:b/>
          <w:bCs/>
        </w:rPr>
        <w:t xml:space="preserve">Introdução:</w:t>
      </w:r>
      <w:r>
        <w:t xml:space="preserve"> </w:t>
      </w:r>
      <w:r>
        <w:t xml:space="preserve">Peptídeos que imitam inibidores de proteases são candidatos ao controle de lepidópteros-praga da soja, mas os tripeptídeos descritos inibem as tripsinas digestivas apenas em concentrações submilimolares a milimolares, e não se sabe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entre eles</w:t>
      </w:r>
      <w:r>
        <w:t xml:space="preserve"> </w:t>
      </w:r>
      <w:r>
        <w:rPr>
          <w:i/>
          <w:iCs/>
        </w:rPr>
        <w:t xml:space="preserve">Anticarsia gemmatalis</w:t>
      </w:r>
      <w:r>
        <w:t xml:space="preserve">, transferimos subsítios catalíticos de complexos cristalográficos para modelos do AlphaFold, calibramos uma escada de escores (co-dobramento com Boltz-2, dinâmica molecular, MM-GBSA) com seis inibidores naturais e iscas embaralhadas e geramos 22.066 sequências sobre esqueletos macrocíclicos cabeça-cauda (RFdiffusion, ProteinMPNN). As sequências foram triadas por um escore de motivos e por um critério duro de não clivabilidade (nenhum resíduo P1 de proteases do intestino médio do tipo tripsina, quimotripsina ou elastase; nenhum C-terminal clivável nos peptídeos lineares);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de Spearman = −0,93). A triagem por motivos reteve 1.829 sequências (confiança do Boltz-2 0,862, dentro da faixa de uma isca embaralhada de SFTI-1, 0,944). O critério duro reteve 527 sequências lineares e 543 cíclicas (2,4–2,5%), 49% dos resíduos glicina, com apenas 9 de 4.060 resíduos lisina ou arginina, cada um antes de prolina; três dos oito melhores candidatos da primeira rodada passaram.</w:t>
      </w:r>
      <w:r>
        <w:t xml:space="preserve"> </w:t>
      </w:r>
      <w:r>
        <w:rPr>
          <w:rStyle w:val="Pendente"/>
        </w:rPr>
        <w:t xml:space="preserve">PENDENTE: Boltz-2 das duas frentes com controles embaralhados pareados, controle de qualidade de pose e o número de candidatos por frente que cumprem os critérios de ocupância de S1 e de integridade do anel nas simulações de 10 ns.</w:t>
      </w:r>
      <w:r>
        <w:t xml:space="preserve"> </w:t>
      </w:r>
      <w:r>
        <w:rPr>
          <w:b/>
          <w:bCs/>
        </w:rPr>
        <w:t xml:space="preserve">Conclusões:</w:t>
      </w:r>
      <w:r>
        <w:t xml:space="preserve"> </w:t>
      </w:r>
      <w:r>
        <w:t xml:space="preserve">A confiança do Boltz-2 sustenta comparações pareadas, não absolutas, e o MM-GBSA de uma única trajetória não deve ordenar esses complexos. A não clivabilidade seleciona sequências curtas e ricas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3"/>
    <w:bookmarkStart w:id="17"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maior estabilidade.</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Apresentamos aqui um pipeline computacional que (i) define os subsítios catalíticos das tripsinas digestivas de oito lepidópteros-praga por transferência estrutural a partir de complexos cristalográficos,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1783"/>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5" name="Picture"/>
            <a:graphic>
              <a:graphicData uri="http://schemas.openxmlformats.org/drawingml/2006/picture">
                <pic:pic>
                  <pic:nvPicPr>
                    <pic:cNvPr descr="figures/pt/fig1_pipeline_v3.png" id="16" name="Picture"/>
                    <pic:cNvPicPr>
                      <a:picLocks noChangeArrowheads="1" noChangeAspect="1"/>
                    </pic:cNvPicPr>
                  </pic:nvPicPr>
                  <pic:blipFill>
                    <a:blip r:embed="rId14"/>
                    <a:stretch>
                      <a:fillRect/>
                    </a:stretch>
                  </pic:blipFill>
                  <pic:spPr bwMode="auto">
                    <a:xfrm>
                      <a:off x="0" y="0"/>
                      <a:ext cx="5334000" cy="256178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7"/>
    <w:bookmarkStart w:id="31" w:name="material-e-métodos"/>
    <w:p>
      <w:pPr>
        <w:pStyle w:val="Heading2"/>
      </w:pPr>
      <w:r>
        <w:t xml:space="preserve">2 Material e métodos</w:t>
      </w:r>
    </w:p>
    <w:bookmarkStart w:id="18"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8"/>
    <w:bookmarkStart w:id="19"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19"/>
    <w:bookmarkStart w:id="20"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0"/>
    <w:bookmarkStart w:id="21"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1"/>
    <w:bookmarkStart w:id="22"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2"/>
    <w:bookmarkStart w:id="26"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4" name="Picture"/>
            <a:graphic>
              <a:graphicData uri="http://schemas.openxmlformats.org/drawingml/2006/picture">
                <pic:pic>
                  <pic:nvPicPr>
                    <pic:cNvPr descr="figures/pt/fig2_regra_dura.png" id="25" name="Picture"/>
                    <pic:cNvPicPr>
                      <a:picLocks noChangeArrowheads="1" noChangeAspect="1"/>
                    </pic:cNvPicPr>
                  </pic:nvPicPr>
                  <pic:blipFill>
                    <a:blip r:embed="rId23"/>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6"/>
    <w:bookmarkStart w:id="27"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7"/>
    <w:bookmarkStart w:id="28"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tleap e ParmEd do AmberTools (AMBER99SB-ILDN, Lindorff-Larsen et al., 2010; água TIP3P, Jorgensen et al., 1983) em uma caixa octaédrica truncada com 12 Å de margem e NaCl a 0,15 M, e exportados para o GROMACS 2025.4 (Abraham et al., 2015).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livres, porque o campo de força não oferece N-terminal neutro; em pH 10 o grupo α-amino (pKa ≈ 8) seria majoritariamente neutro, de modo que isso é uma limitação que afeta apenas a frente linear. O macrociclo foi construído com ligação C(n)–N(1) explícita na topologia, de modo que não tem extremidades; a montagem foi validada em um complexo de 10 resíduos (minimização convergiu, NVT estável, C–N de fechamento 1,34 Å, ω −179°; Figura S2), e a geometria inicial é compatível com o anel porque vem da predição cíclica do Boltz-2. 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1,0 nm para Coulomb e van der Waals, ligações a hidrogênio restritas (LINCS) e passo de 2 fs. Cada sistema foi simulado uma vez, com semente aleatória para as velocidades iniciais; dez nanossegundos com uma réplica são uma triagem descritiva e não se faz inferência estatística.</w:t>
      </w:r>
    </w:p>
    <w:bookmarkEnd w:id="28"/>
    <w:bookmarkStart w:id="29"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w:t>
      </w:r>
    </w:p>
    <w:bookmarkEnd w:id="29"/>
    <w:bookmarkStart w:id="30"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0"/>
    <w:bookmarkEnd w:id="31"/>
    <w:bookmarkStart w:id="57" w:name="resultados"/>
    <w:p>
      <w:pPr>
        <w:pStyle w:val="Heading2"/>
      </w:pPr>
      <w:r>
        <w:t xml:space="preserve">3 Resultados</w:t>
      </w:r>
    </w:p>
    <w:bookmarkStart w:id="32"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2"/>
    <w:bookmarkStart w:id="33"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3"/>
    <w:bookmarkStart w:id="37"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5" name="Picture"/>
            <a:graphic>
              <a:graphicData uri="http://schemas.openxmlformats.org/drawingml/2006/picture">
                <pic:pic>
                  <pic:nvPicPr>
                    <pic:cNvPr descr="figures/Figure3_calibration.png" id="36" name="Picture"/>
                    <pic:cNvPicPr>
                      <a:picLocks noChangeArrowheads="1" noChangeAspect="1"/>
                    </pic:cNvPicPr>
                  </pic:nvPicPr>
                  <pic:blipFill>
                    <a:blip r:embed="rId34"/>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7"/>
    <w:bookmarkStart w:id="38"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8"/>
    <w:bookmarkStart w:id="42"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0" name="Picture"/>
            <a:graphic>
              <a:graphicData uri="http://schemas.openxmlformats.org/drawingml/2006/picture">
                <pic:pic>
                  <pic:nvPicPr>
                    <pic:cNvPr descr="figures/Figure4_motif_screen.png" id="41" name="Picture"/>
                    <pic:cNvPicPr>
                      <a:picLocks noChangeArrowheads="1" noChangeAspect="1"/>
                    </pic:cNvPicPr>
                  </pic:nvPicPr>
                  <pic:blipFill>
                    <a:blip r:embed="rId39"/>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2"/>
    <w:bookmarkStart w:id="49"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4" name="Picture"/>
            <a:graphic>
              <a:graphicData uri="http://schemas.openxmlformats.org/drawingml/2006/picture">
                <pic:pic>
                  <pic:nvPicPr>
                    <pic:cNvPr descr="figures/pt/fig5_funil.png" id="45" name="Picture"/>
                    <pic:cNvPicPr>
                      <a:picLocks noChangeArrowheads="1" noChangeAspect="1"/>
                    </pic:cNvPicPr>
                  </pic:nvPicPr>
                  <pic:blipFill>
                    <a:blip r:embed="rId43"/>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7" name="Picture"/>
            <a:graphic>
              <a:graphicData uri="http://schemas.openxmlformats.org/drawingml/2006/picture">
                <pic:pic>
                  <pic:nvPicPr>
                    <pic:cNvPr descr="figures/pt/fig6_composicao.png" id="48" name="Picture"/>
                    <pic:cNvPicPr>
                      <a:picLocks noChangeArrowheads="1" noChangeAspect="1"/>
                    </pic:cNvPicPr>
                  </pic:nvPicPr>
                  <pic:blipFill>
                    <a:blip r:embed="rId46"/>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49"/>
    <w:bookmarkStart w:id="53"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1" name="Picture"/>
            <a:graphic>
              <a:graphicData uri="http://schemas.openxmlformats.org/drawingml/2006/picture">
                <pic:pic>
                  <pic:nvPicPr>
                    <pic:cNvPr descr="figures/pt/fig7_boltz2_1a_rodada.png" id="52" name="Picture"/>
                    <pic:cNvPicPr>
                      <a:picLocks noChangeArrowheads="1" noChangeAspect="1"/>
                    </pic:cNvPicPr>
                  </pic:nvPicPr>
                  <pic:blipFill>
                    <a:blip r:embed="rId50"/>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3"/>
    <w:bookmarkStart w:id="54" w:name="Xf753ede3a5630ce14f46131bf2938f6f71a90f5"/>
    <w:p>
      <w:pPr>
        <w:pStyle w:val="Heading3"/>
      </w:pPr>
      <w:r>
        <w:t xml:space="preserve">3.8 Co-dobramento nas duas frentes, controles pareados e qualidade de pose</w:t>
      </w:r>
    </w:p>
    <w:p>
      <w:pPr>
        <w:pStyle w:val="FirstParagraph"/>
      </w:pPr>
      <w:r>
        <w:rPr>
          <w:rStyle w:val="Pendente"/>
        </w:rPr>
        <w:t xml:space="preserve">PENDENTE: Boltz-2 dos 527 candidatos lineares e 543 cíclicos (E1); reprodutibilidade das predições cíclicas frente à primeira rodada (ρ de Spearman e diferença absoluta média da confiança para entradas idênticas); reescore dos dez primeiros com cinco amostras e três sementes (E2); diferença pareada Δ frente a três controles embaralhados (E3); controle de qualidade de pose (E4) e matriz cruzada 8 × 8 do melhor candidato de cada espécie.</w:t>
      </w:r>
    </w:p>
    <w:bookmarkEnd w:id="54"/>
    <w:bookmarkStart w:id="55" w:name="Xac36dec43ef87c0d8dd6ab8b37eec853ef28fce"/>
    <w:p>
      <w:pPr>
        <w:pStyle w:val="Heading3"/>
      </w:pPr>
      <w:r>
        <w:t xml:space="preserve">3.9 Simulações de dez nanossegundos dos melhores candidatos</w:t>
      </w:r>
    </w:p>
    <w:p>
      <w:pPr>
        <w:pStyle w:val="FirstParagraph"/>
      </w:pPr>
      <w:r>
        <w:rPr>
          <w:rStyle w:val="Pendente"/>
        </w:rPr>
        <w:t xml:space="preserve">PENDENTE: para cada frente, quantos dos 24 candidatos passam na triagem da Seção 2.9 (ocupância de S1 ≥70% a 5 Å na segunda metade, mesma âncora nas duas metades, anel íntegro nos macrociclos); identidade do resíduo âncora; contato com a serina e a histidina catalíticas; RMSD local do peptídeo. O candidato que falha é relatado com o critério não cumprido. Por espécie:</w:t>
      </w:r>
      <w:r>
        <w:rPr>
          <w:rStyle w:val="Pendente"/>
        </w:rPr>
        <w:t xml:space="preserve"> </w:t>
      </w:r>
      <w:r>
        <w:rPr>
          <w:rStyle w:val="Pendente"/>
        </w:rPr>
        <w:t xml:space="preserve">“nenhum candidato ancorado em 10 ns”</w:t>
      </w:r>
      <w:r>
        <w:rPr>
          <w:rStyle w:val="Pendente"/>
        </w:rPr>
        <w:t xml:space="preserve"> </w:t>
      </w:r>
      <w:r>
        <w:rPr>
          <w:rStyle w:val="Pendente"/>
        </w:rPr>
        <w:t xml:space="preserve">se nenhum passar.</w:t>
      </w:r>
    </w:p>
    <w:bookmarkEnd w:id="55"/>
    <w:bookmarkStart w:id="56" w:name="frente-linear-versus-frente-macrocíclica"/>
    <w:p>
      <w:pPr>
        <w:pStyle w:val="Heading3"/>
      </w:pPr>
      <w:r>
        <w:t xml:space="preserve">3.10 Frente linear versus frente macrocíclica</w:t>
      </w:r>
    </w:p>
    <w:p>
      <w:pPr>
        <w:pStyle w:val="FirstParagraph"/>
      </w:pPr>
      <w:r>
        <w:rPr>
          <w:rStyle w:val="Pendente"/>
        </w:rPr>
        <w:t xml:space="preserve">PENDENTE: sobreposição dos conjuntos de três melhores das duas frentes, correlação de postos da confiança entre modalidades e diferença na ocupância de S1 entre a forma linear e a cíclica da mesma sequência.</w:t>
      </w:r>
    </w:p>
    <w:p>
      <w:r>
        <w:pict>
          <v:rect style="width:0;height:1.5pt" o:hralign="center" o:hrstd="t" o:hr="t"/>
        </w:pict>
      </w:r>
    </w:p>
    <w:bookmarkEnd w:id="56"/>
    <w:bookmarkEnd w:id="57"/>
    <w:bookmarkStart w:id="63" w:name="discussão"/>
    <w:p>
      <w:pPr>
        <w:pStyle w:val="Heading2"/>
      </w:pPr>
      <w:r>
        <w:t xml:space="preserve">4 Discussão</w:t>
      </w:r>
    </w:p>
    <w:bookmarkStart w:id="58"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bookmarkEnd w:id="58"/>
    <w:bookmarkStart w:id="59"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bookmarkEnd w:id="59"/>
    <w:bookmarkStart w:id="60"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60"/>
    <w:bookmarkStart w:id="61"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Os 22 sistemas de calibração foram simulados por 2 ns a partir de uma única estrutura inicial predita cada, e os ligantes da calibração são muito maiores que os candidatos.</w:t>
      </w:r>
    </w:p>
    <w:bookmarkEnd w:id="61"/>
    <w:bookmarkStart w:id="62"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62"/>
    <w:bookmarkEnd w:id="63"/>
    <w:bookmarkStart w:id="70"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65" name="Picture"/>
            <a:graphic>
              <a:graphicData uri="http://schemas.openxmlformats.org/drawingml/2006/picture">
                <pic:pic>
                  <pic:nvPicPr>
                    <pic:cNvPr descr="figures/pt/figS1_regras_motivo.png" id="66" name="Picture"/>
                    <pic:cNvPicPr>
                      <a:picLocks noChangeArrowheads="1" noChangeAspect="1"/>
                    </pic:cNvPicPr>
                  </pic:nvPicPr>
                  <pic:blipFill>
                    <a:blip r:embed="rId64"/>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583999"/>
            <wp:effectExtent b="0" l="0" r="0" t="0"/>
            <wp:docPr descr="Figura S2. Teste de fumaça da topologia cíclica: RMSD do esqueleto e número de ligações de hidrogênio do sistema durante 50 ps de simulação de um macrociclo de 10 resíduos (GRPGIQAAPI) com um modelo de receptor de A. gemmatalis em pH 10,0. O teste verifica a montagem (C–N de fechamento 1,34 Å, ω −179°) e nada diz sobre estabilidade." title="" id="68" name="Picture"/>
            <a:graphic>
              <a:graphicData uri="http://schemas.openxmlformats.org/drawingml/2006/picture">
                <pic:pic>
                  <pic:nvPicPr>
                    <pic:cNvPr descr="figures/pt/figS2_ciclica_fumaca.png" id="69" name="Picture"/>
                    <pic:cNvPicPr>
                      <a:picLocks noChangeArrowheads="1" noChangeAspect="1"/>
                    </pic:cNvPicPr>
                  </pic:nvPicPr>
                  <pic:blipFill>
                    <a:blip r:embed="rId67"/>
                    <a:stretch>
                      <a:fillRect/>
                    </a:stretch>
                  </pic:blipFill>
                  <pic:spPr bwMode="auto">
                    <a:xfrm>
                      <a:off x="0" y="0"/>
                      <a:ext cx="3959999" cy="158399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Teste de fumaça da topologia cíclica: RMSD do esqueleto e número de ligações de hidrogênio do sistema durante 50 ps de simulação de um macrociclo de 10 resíduos (GRPGIQAAPI) com um modelo de receptor de</w:t>
      </w:r>
      <w:r>
        <w:t xml:space="preserve"> </w:t>
      </w:r>
      <w:r>
        <w:rPr>
          <w:i/>
          <w:iCs/>
        </w:rPr>
        <w:t xml:space="preserve">A. gemmatalis</w:t>
      </w:r>
      <w:r>
        <w:t xml:space="preserve"> </w:t>
      </w:r>
      <w:r>
        <w:t xml:space="preserve">em pH 10,0. O teste verifica a montagem (C–N de fechamento 1,34 Å, ω −179°) e nada diz sobre estabilidade.</w:t>
      </w:r>
    </w:p>
    <w:bookmarkEnd w:id="70"/>
    <w:bookmarkStart w:id="71"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Lindorff-Larsen K, Piana S, Palmo K, Maragakis P, Klepeis JL, Dror RO, et al. (2010). Improved side-chain torsion potentials for the Amber ff99SB protein force field. Proteins: Structure, Function, and Bioinformatics 78, 1950-1958. doi: 10.1002/prot.22711</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71"/>
    <w:bookmarkEnd w:id="72"/>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png"/><Relationship Id="rId39" Type="http://schemas.openxmlformats.org/officeDocument/2006/relationships/image" Target="media/rId39.png"/><Relationship Id="rId14" Type="http://schemas.openxmlformats.org/officeDocument/2006/relationships/image" Target="media/rId14.png"/><Relationship Id="rId23" Type="http://schemas.openxmlformats.org/officeDocument/2006/relationships/image" Target="media/rId23.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64" Type="http://schemas.openxmlformats.org/officeDocument/2006/relationships/image" Target="media/rId64.png"/><Relationship Id="rId67" Type="http://schemas.openxmlformats.org/officeDocument/2006/relationships/image" Target="media/rId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2026-09-30T20:44:07Z</dcterms:created>
  <dcterms:modified xsi:type="dcterms:W3CDTF">2026-09-30T20:44:07Z</dcterms:modified>
</cp:coreProperties>
</file>

<file path=docProps/custom.xml><?xml version="1.0" encoding="utf-8"?>
<Properties xmlns="http://schemas.openxmlformats.org/officeDocument/2006/custom-properties" xmlns:vt="http://schemas.openxmlformats.org/officeDocument/2006/docPropsVTypes"/>
</file>