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8,325 palavras no original em inglês (corpo sem tabelas, títulos e legendas; cada citação contada como uma palavra); tradução: 9,064</w:t>
            </w:r>
          </w:p>
        </w:tc>
        <w:tc>
          <w:tcPr/>
          <w:p>
            <w:pPr>
              <w:pStyle w:val="Compact"/>
              <w:spacing w:line="240" w:lineRule="auto"/>
            </w:pPr>
            <w:r>
              <w:rPr>
                <w:sz w:val="18"/>
              </w:rPr>
              <w:t xml:space="preserve">OK (margem de 3,675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348 palavras no original em inglês (reescrito em 05/10/2026 para caber no limite); tradução: 395</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84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276c565a0ecafafa450f8b4ee3d141ae153cd6b"/>
    <w:p>
      <w:pPr>
        <w:pStyle w:val="Heading2"/>
      </w:pPr>
      <w:r>
        <w:t xml:space="preserve">Estado dos cálculos (08/10/2026, revisão final)</w:t>
      </w:r>
    </w:p>
    <w:p>
      <w:pPr>
        <w:pStyle w:val="FirstParagraph"/>
      </w:pPr>
      <w:r>
        <w:t xml:space="preserve">Todas as análises computacionais previstas estão concluídas e integradas; nenhum job está rodando no servidor.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MD de 10 ns em pH 8,2</w:t>
            </w:r>
          </w:p>
        </w:tc>
        <w:tc>
          <w:tcPr/>
          <w:p>
            <w:pPr>
              <w:pStyle w:val="Compact"/>
              <w:spacing w:line="240" w:lineRule="auto"/>
            </w:pPr>
            <w:r>
              <w:rPr>
                <w:sz w:val="18"/>
              </w:rPr>
              <w:t xml:space="preserve">concluída (48/48)</w:t>
            </w:r>
          </w:p>
        </w:tc>
        <w:tc>
          <w:tcPr/>
          <w:p>
            <w:pPr>
              <w:pStyle w:val="Compact"/>
              <w:spacing w:line="240" w:lineRule="auto"/>
            </w:pPr>
            <w:r>
              <w:rPr>
                <w:sz w:val="18"/>
              </w:rPr>
              <w:t xml:space="preserve">nenhuma métrica pareada difere de pH 10,0 (distância final P = 0,16; ocupância P = 0,88); só NGGRPDAP e GGKPGEP repetem S1 nos dois pH (Seção 3.7, Figura 7)</w:t>
            </w:r>
          </w:p>
        </w:tc>
      </w:tr>
      <w:tr>
        <w:tc>
          <w:tcPr/>
          <w:p>
            <w:pPr>
              <w:pStyle w:val="Compact"/>
              <w:spacing w:line="240" w:lineRule="auto"/>
            </w:pPr>
            <w:r>
              <w:rPr>
                <w:sz w:val="18"/>
              </w:rPr>
              <w:t xml:space="preserve">Execuções repetidas (16 pares)</w:t>
            </w:r>
          </w:p>
        </w:tc>
        <w:tc>
          <w:tcPr/>
          <w:p>
            <w:pPr>
              <w:pStyle w:val="Compact"/>
              <w:spacing w:line="240" w:lineRule="auto"/>
            </w:pPr>
            <w:r>
              <w:rPr>
                <w:sz w:val="18"/>
              </w:rPr>
              <w:t xml:space="preserve">concluídas</w:t>
            </w:r>
          </w:p>
        </w:tc>
        <w:tc>
          <w:tcPr/>
          <w:p>
            <w:pPr>
              <w:pStyle w:val="Compact"/>
              <w:spacing w:line="240" w:lineRule="auto"/>
            </w:pPr>
            <w:r>
              <w:rPr>
                <w:sz w:val="18"/>
              </w:rPr>
              <w:t xml:space="preserve">o ruído entre execuções do mesmo pH é da ordem da diferença entre pH (Seção 3.7)</w:t>
            </w:r>
          </w:p>
        </w:tc>
      </w:tr>
      <w:tr>
        <w:tc>
          <w:tcPr/>
          <w:p>
            <w:pPr>
              <w:pStyle w:val="Compact"/>
              <w:spacing w:line="240" w:lineRule="auto"/>
            </w:pPr>
            <w:r>
              <w:rPr>
                <w:sz w:val="18"/>
              </w:rPr>
              <w:t xml:space="preserve">MM-GBSA e PRODIGY nas trajetórias (pH 8,2 e 10,0) e classificação final</w:t>
            </w:r>
          </w:p>
        </w:tc>
        <w:tc>
          <w:tcPr/>
          <w:p>
            <w:pPr>
              <w:pStyle w:val="Compact"/>
              <w:spacing w:line="240" w:lineRule="auto"/>
            </w:pPr>
            <w:r>
              <w:rPr>
                <w:sz w:val="18"/>
              </w:rPr>
              <w:t xml:space="preserve">concluídos</w:t>
            </w:r>
          </w:p>
        </w:tc>
        <w:tc>
          <w:tcPr/>
          <w:p>
            <w:pPr>
              <w:pStyle w:val="Compact"/>
              <w:spacing w:line="240" w:lineRule="auto"/>
            </w:pPr>
            <w:r>
              <w:rPr>
                <w:sz w:val="18"/>
              </w:rPr>
              <w:t xml:space="preserve">Seções 3.6 e 3.7, Figuras 6, 7 e S10</w:t>
            </w:r>
          </w:p>
        </w:tc>
      </w:tr>
      <w:tr>
        <w:tc>
          <w:tcPr/>
          <w:p>
            <w:pPr>
              <w:pStyle w:val="Compact"/>
              <w:spacing w:line="240" w:lineRule="auto"/>
            </w:pPr>
            <w:r>
              <w:rPr>
                <w:sz w:val="18"/>
              </w:rPr>
              <w:t xml:space="preserve">Geometria de ataque da Ser195</w:t>
            </w:r>
          </w:p>
        </w:tc>
        <w:tc>
          <w:tcPr/>
          <w:p>
            <w:pPr>
              <w:pStyle w:val="Compact"/>
              <w:spacing w:line="240" w:lineRule="auto"/>
            </w:pPr>
            <w:r>
              <w:rPr>
                <w:sz w:val="18"/>
              </w:rPr>
              <w:t xml:space="preserve">concluída</w:t>
            </w:r>
          </w:p>
        </w:tc>
        <w:tc>
          <w:tcPr/>
          <w:p>
            <w:pPr>
              <w:pStyle w:val="Compact"/>
              <w:spacing w:line="240" w:lineRule="auto"/>
            </w:pPr>
            <w:r>
              <w:rPr>
                <w:sz w:val="18"/>
              </w:rPr>
              <w:t xml:space="preserve">1 de 20 execuções com algum quadro quase de ataque; sem linha de base com substrato conhecido (Seção 3.8)</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bookmarkEnd w:id="11"/>
    <w:bookmarkStart w:id="12" w:name="pendências-antes-da-submissão"/>
    <w:p>
      <w:pPr>
        <w:pStyle w:val="Heading2"/>
      </w:pPr>
      <w:r>
        <w:t xml:space="preserve">Pendências antes da submissão</w:t>
      </w:r>
    </w:p>
    <w:p>
      <w:pPr>
        <w:pStyle w:val="Compact"/>
        <w:numPr>
          <w:ilvl w:val="0"/>
          <w:numId w:val="1002"/>
        </w:numPr>
      </w:pPr>
      <w:r>
        <w:rPr>
          <w:b/>
          <w:bCs/>
        </w:rPr>
        <w:t xml:space="preserve">Resolvido:</w:t>
      </w:r>
      <w:r>
        <w:t xml:space="preserve"> </w:t>
      </w:r>
      <w:r>
        <w:t xml:space="preserve">resultados de pH 8,2, MM-GBSA e comparação com pH 10,0 (Seções 3.6 e 3.7, Figura 7), com resumo, 4.1, 4.4 e 5 ajustados.</w:t>
      </w:r>
    </w:p>
    <w:p>
      <w:pPr>
        <w:pStyle w:val="Compact"/>
        <w:numPr>
          <w:ilvl w:val="0"/>
          <w:numId w:val="1002"/>
        </w:numPr>
      </w:pPr>
      <w:r>
        <w:rPr>
          <w:b/>
          <w:bCs/>
        </w:rPr>
        <w:t xml:space="preserve">Parcialmente resolvido:</w:t>
      </w:r>
      <w:r>
        <w:t xml:space="preserve"> </w:t>
      </w:r>
      <w:r>
        <w:t xml:space="preserve">(a) motivo do pH 8,2 (Seção 2.6) conferido no texto completo de Schultz et al. (2026): todos os ensaios cinéticos com os peptídeos usaram Tris-HCl 0,1 M, CaCl</w:t>
      </w:r>
      <w:r>
        <w:rPr>
          <w:vertAlign w:val="subscript"/>
        </w:rPr>
        <w:t xml:space="preserve">2</w:t>
      </w:r>
      <w:r>
        <w:t xml:space="preserve"> </w:t>
      </w:r>
      <w:r>
        <w:t xml:space="preserve">20 mM, pH 8,2; o artigo não justifica a escolha, e a frase da Seção 2.6 apenas registra que as simulações seguem essa condição, cabendo aos autores confirmar se era a intenção; (b)</w:t>
      </w:r>
      <w:r>
        <w:t xml:space="preserve"> </w:t>
      </w:r>
      <w:r>
        <w:rPr>
          <w:b/>
          <w:bCs/>
        </w:rPr>
        <w:t xml:space="preserve">em aberto (decisão dos autores):</w:t>
      </w:r>
      <w:r>
        <w:t xml:space="preserve"> </w:t>
      </w:r>
      <w:r>
        <w:t xml:space="preserve">lista de peptídeos recomendados: o manuscrito apresenta quatro peptídeos selecionados por critérios declarados (Seção 3.8, Tabela 4), e a lista final e os cortes dependem dos autores.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p>
      <w:pPr>
        <w:pStyle w:val="Compact"/>
        <w:numPr>
          <w:ilvl w:val="0"/>
          <w:numId w:val="1002"/>
        </w:numPr>
      </w:pPr>
      <w:r>
        <w:t xml:space="preserve">Opcional: linha de base da geometria de ataque com um inibidor-substrato conhecido (SFTI-1).</w:t>
      </w:r>
    </w:p>
    <w:bookmarkEnd w:id="12"/>
    <w:bookmarkEnd w:id="13"/>
    <w:bookmarkStart w:id="107"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2020a), e o BPTI e o inibidor de Kunitz da soja reduziram a sobrevivência das larvas (de Almeida Barros et al., 2022a). As larvas se adaptam, porém, induzindo proteases insensíveis, regulando várias enzimas digestivas e, em algumas espécies, expandindo famílias gênicas (Jongsma et al., 1995; Jongsma e Bolter, 1997; Kuwar et al., 2015; Lomate et al., 2018; Souza et al., 2016); em</w:t>
      </w:r>
      <w:r>
        <w:t xml:space="preserve"> </w:t>
      </w:r>
      <w:r>
        <w:rPr>
          <w:i/>
          <w:iCs/>
        </w:rPr>
        <w:t xml:space="preserve">A. gemmatalis</w:t>
      </w:r>
      <w:r>
        <w:t xml:space="preserve">, o inibidor de Kunitz da soja induziu serina proteases, enquanto o tripeptídeo GORE-2 reprimiu transcritos de proteases digestivas (Júnior et al., 2026).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2020b),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e seus complexos foram examinados por dinâmica molecular (de Almeida Barros et al., 2022b). Peptídeos inspirados nas alças do BPTI e do inibidor de Kunitz da soja (Paulo et al., 2026) e peptídeos da região pró do tripsinogênio (Mariano et al., 2026) foram desenhados contra proteases tipo tripsina de</w:t>
      </w:r>
      <w:r>
        <w:t xml:space="preserve"> </w:t>
      </w:r>
      <w:r>
        <w:rPr>
          <w:i/>
          <w:iCs/>
        </w:rPr>
        <w:t xml:space="preserve">A. gemmatalis</w:t>
      </w:r>
      <w:r>
        <w:t xml:space="preserve">,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2013; Zhan et al., 2011;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suas saídas de afinidade se correlacionam só fraca a moderadamente com energias livres baseadas em física (Wan et al., 2026), sua confiança ordena poses de peptídeos cíclicos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(UniProt Consortium, 2025). As posições da tríade catalítica e do bolsão S1, com o Asp189 como resíduo de especificidade, foram conferidas em cada modelo por alinhamento global com a tripsina bovina e pelas distâncias de ligação de hidrogênio nas coordenadas do AlphaFold (Tabela S2).</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2013; Zhan et al., 2011;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(pH de triagem, escolhido pelo intestino médio das larvas: extratos de intestino de</w:t>
      </w:r>
      <w:r>
        <w:t xml:space="preserve"> </w:t>
      </w:r>
      <w:r>
        <w:rPr>
          <w:i/>
          <w:iCs/>
        </w:rPr>
        <w:t xml:space="preserve">H. virescens</w:t>
      </w:r>
      <w:r>
        <w:t xml:space="preserve"> </w:t>
      </w:r>
      <w:r>
        <w:t xml:space="preserve">em pH 9,56–10,0 (Karumbaiah et al., 2007); (Dow, 1992)) e em pH 8,2, o pH dos ensaios enzimáticos com os peptídeos GORE (Tris-HCl 0,1 M, CaCl</w:t>
      </w:r>
      <w:r>
        <w:rPr>
          <w:vertAlign w:val="subscript"/>
        </w:rPr>
        <w:t xml:space="preserve">2</w:t>
      </w:r>
      <w:r>
        <w:t xml:space="preserve"> </w:t>
      </w:r>
      <w:r>
        <w:t xml:space="preserve">20 mM (Schultz et al., 2026)). Os dois valores foram escolhidos juntos porque o pH do intestino médio não é o mesmo em todas as lagartas de lepidópteros; um inibidor eficaz ao longo dessa faixa é mais viável contra o complexo de pragas do que um que funcione em um único pH, e o par também corresponde às condições em que um Ki seria medido. A protonação foi atribuída com o PROPKA 3 (Olsson et al., 2011) pelo PDB2PQR (Dolinsky et al., 2007). Os sistemas foram montados com o GROMACS 2025.4 (Abraham et al., 2015), o campo de força CHARMM36 (Huang e MacKerell, 2013) (porte feito com o charmm2gmx (Wacha e Lemkul, 2023)) e água TIP3P Jorgensen et al., 1983, em caixa dodecaédrica (margem de 1,2 nm,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o macrociclo não tem extremidades, e o pdb2gmx forma a ligação cabeça-cauda a partir da geometria do Boltz-2 (o script de montagem para se faltar a ligação de fechamento ou o termo CMAP). Após a minimização, 200 ps de NVT e 500 ps de NPT com restrições de posição (1.000 kJ mol</w:t>
      </w:r>
      <w:r>
        <w:rPr>
          <w:vertAlign w:val="superscript"/>
        </w:rPr>
        <w:t xml:space="preserve">−1</w:t>
      </w:r>
      <w:r>
        <w:t xml:space="preserve"> </w:t>
      </w:r>
      <w:r>
        <w:t xml:space="preserve">nm</w:t>
      </w:r>
      <w:r>
        <w:rPr>
          <w:vertAlign w:val="superscript"/>
        </w:rPr>
        <w:t xml:space="preserve">−2</w:t>
      </w:r>
      <w:r>
        <w:t xml:space="preserve">), a produção durou 10 ns a 300 K e 1 bar (termostato de reescalonamento de velocidades Bussi et al., 2007; barostato de Parrinello–Rahman Parrinello e Rahman, 1981; PME Essmann et al., 1995; cortes de 1,2 nm, van der Waals com</w:t>
      </w:r>
      <w:r>
        <w:t xml:space="preserve"> </w:t>
      </w:r>
      <w:r>
        <w:rPr>
          <w:i/>
          <w:iCs/>
        </w:rPr>
        <w:t xml:space="preserve">force-switch</w:t>
      </w:r>
      <w:r>
        <w:t xml:space="preserve">; LINCS; passo de 2 fs). Cada sistema foi executado uma vez por pH com semente aleatória; quatro candidatos por frente (NGGRPDAP, GQNDS, PTTTQT e GSNIN lineares; GGHSE, GGKPGEP, IYPETG e SGSTDIE cíclicos) foram executados de novo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as análises usaram o MDAnalysis 2.9.0 (Michaud-Agrawal et al., 2011; Gowers et al., 2016). Em cada quadro, a distância de cada resíduo do peptídeo aos oxigênios do carboxilato do equivalente do Asp189 foi a distância mínima entre átomos pesados, e o resíduo de menor distância média foi a âncora (definida a posteriori, sem supor qual seria). A ocupância de S1 é a fração de quadros com distância âncora–Asp189 abaixo de 5 Å (4 e 6 Å também calculados), na trajetória inteira e em cada metade. A distância âncora–Asp189 e o RMSD de Cα do peptídeo após superposição no receptor são dados para uma janela inicial (primeiros 0,4 ns) e uma final (últimos 2 ns). Relatamos ainda a fração de quadros com qualquer átomo do peptídeo a até 4,5 Å do Oγ da Ser ou do Nε2 da His catalíticas ou do receptor e, nos macrociclos, a distância C–N e o ω de fechamento em cada quadro. A triagem declarada de antemão exigia ocupância na segunda metade ≥ 70%, a mesma âncora nas duas metades e, nos macrociclos, anel íntegro (C–N ≤ 1,5 Å, ω ≥ 150° em todos os quadros). Em 2 de outubro de 2026, depois das 16 primeiras simulações, a ocupância passou de portão a descrição (Seção 3.5), uma mudança do procedimento declarado feita depois de ver dados. Com uma execução por candidato, não se faz inferência estatística.</w:t>
      </w:r>
    </w:p>
    <w:p>
      <w:pPr>
        <w:pStyle w:val="BodyText"/>
      </w:pPr>
      <w:r>
        <w:rPr>
          <w:i/>
          <w:iCs/>
        </w:rPr>
        <w:t xml:space="preserve">Geometria de ataque.</w:t>
      </w:r>
      <w:r>
        <w:t xml:space="preserve"> </w:t>
      </w:r>
      <w:r>
        <w:t xml:space="preserve">Na segunda metade de cada execução, para cada ligação peptídica (incluindo a de fechamento; excluído o carboxilato C-terminal) medimos a distância do Oγ da Ser195 ao C da carbonila, o ângulo Oγ···C=O e a distância do O da carbonila ao N do esqueleto da Gly193 e da Ser195 (buraco do oxiânion). Uma conformação quase de ataque exigiu &lt; 3,5 Å, 90–125° e &lt; 3,5 Å (</w:t>
      </w:r>
      <w:r>
        <w:rPr>
          <w:rStyle w:val="VerbatimChar"/>
        </w:rPr>
        <w:t xml:space="preserve">scripts/scissile_geometry.py</w:t>
      </w:r>
      <w:r>
        <w:t xml:space="preserve">). Os limiares foram escolhidos para esta análise; aqui eles são calibrados não contra um substrato conhecido, mas contra um controle interno — as sequências embaralhadas da Seção 3.5, que põem um resíduo básico na S1 sem a prolina seguinte, no protocolo idêntico.</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MM-GBSA usou o gmx_MMPBSA (Valdés-Tresanco et al., 2021) (MMPBSA.py (Miller et al., 2012); Born generalizado igb = 5 (Onufriev et al., 2004); sal 0,150 M; trajetória única; sem entropia) na segunda metade de cada trajetória (126 quadros; receptor cadeia A, peptídeo cadeia B), com erro-padrão sobre cinco blocos de quadros. O PRODIGY (Vangone e Bonvin, 2015), preditor baseado em contatos e sem protonação explícita, foi aplicado à pose inicial (protonada em pH 8,2) e a 30 quadros da segunda metade. Os dois escores crescem com o tamanho da interface, e por isso cada um é dado também por resíduo. Cada etapa ordena os candidatos dentro de uma frente (1 = melhor; empates recebem o posto médio): confiança do Boltz-2 no E2, Δ pareado (E3), RMSD final do peptídeo em pH 8,2, PRODIGY na pose e PRODIGY e MM-GBSA na trajetória de pH 8,2; o agregado é o posto médio nas etapas. A classificação cobre os candidatos que passaram no controle de qualidade de pose, tiveram Δ &gt; 0 e, nos macrociclos, cumpriram o critério estrito do anel; a ocupância de S1 não entra (Seção 3.5). As simulações de pH 8,2 e de pH 10,0 são pareadas (mesma pose e protocolo; diferem na protonação das cadeias laterais, nos contraíons e na semente) e comparadas pela diferença pareada de cada métrica (teste de postos sinalizados de Wilcoxon), pela correlação de postos entre pH e pela concordância de desfechos categóricos, lidas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da tripsina bovina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Em todos os modelos os resíduos equivalentes à His57, ao Asp102 e à Ser195 são His, Asp e Ser, e as distâncias His–Ser e His–Asp (2,92–3,13 Å e 2,70–2,75 Å) são as de uma tríade montada; os resíduos do bolsão Asp189, Cys191, Gly193, Asp194, Gly216 e Gly226 são conservados, ao passo que Ser190, Val213, Trp215 e Gly219 variam entre as espécies (Tabela S2). O painel é, portanto, do tipo tripsina,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os outros dois lineares e um cíclico dos 80 por frente são poli-glicina e não podem ser embaralhados);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que sequências de poli-glicina, sem controle embaralhado, estejam entre as dez melhores pela confiança da primeira predição (E1) nas duas frentes aponta no mesmo sentido, pois um escore que premia um homopolímero não está medindo reconhecimento específico.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Os dois pH foram simulados porque o intestino médio das lagartas de lepidópteros não tem um pH único: o lúmen é fortemente alcalino (Dow, 1992), com extratos de intestino de</w:t>
      </w:r>
      <w:r>
        <w:t xml:space="preserve"> </w:t>
      </w:r>
      <w:r>
        <w:rPr>
          <w:i/>
          <w:iCs/>
        </w:rPr>
        <w:t xml:space="preserve">H. virescens</w:t>
      </w:r>
      <w:r>
        <w:t xml:space="preserve"> </w:t>
      </w:r>
      <w:r>
        <w:t xml:space="preserve">em pH 9,56–10,0 (Karumbaiah et al., 2007), mas o valor difere entre espécies, e o pH 8,2 é também o dos ensaios enzimáticos contra os quais um Ki seria medido (Schultz et al., 2026). Um candidato que mantivesse sua posição em S1 nos dois pH seria eficaz ao longo da faixa encontrada nas espécies-alvo e, portanto, mais viável como agente de controle do que um que se ligasse em apenas um deles; este é o critério aplicado nesta seção, e a comparação pergunta se o resultado em um pH se reproduz no outro, não qual pH é melhor.</w:t>
      </w:r>
    </w:p>
    <w:p>
      <w:pPr>
        <w:pStyle w:val="BodyText"/>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t xml:space="preserve">Lisina ou arginina seguida de prolina é só uma barreira estatística para a tripsina: a clivagem antes de prolina é observada em grandes conjuntos de espectros de peptídeos (Rodriguez et al., 2008) e é mais lenta, não ausente, ao lado de prolina ou de resíduos carregados (Pan et al., 2014). Inibidores que se ligam como substratos também são clivados no sítio reativo, em uma extensão dada pelo equilíbrio entre a forma intacta e a clivada (Song e Markley, 2003), e a tripsina pode tanto clivar quanto refazer a ligação Lys–Ser do sítio reativo de análogos do SFTI-1 (Karna et al., 2015). As simulações, portanto, não podem mostrar que um peptídeo resiste à proteólise, mas podem mostrar se a serina catalítica está posicionada para atacar a ligação K/R–Pro. Nas 20 execuções dos cinco peptídeos analisados (GGKPGEP, NGGRPDAP, PISQIDSGSR, GGHSE e GQNDS, com as repetições nos dois pH), uma conformação quase de ataque de qualquer ligação apareceu em uma única execução (1,6% dos quadros da segunda metade, na ligação Gly3–Arg4 do NGGRPDAP). A distância mediana do Oγ da Ser195 ao carbono da ligação K/R–Pro foi de 5,3–5,4 Å (mínimo 3,8–4,2 Å) para o GGKPGEP em pH 10,0 e 6,7–7,6 Å em pH 8,2, 4,7–5,0 Å (mínimo 4,2–4,4 Å) para o NGGRPDAP em pH 10,0 e 4,7–5,5 Å em pH 8,2, e 9,2–9,5 Å para a ligação Arg10–Pro1 do PISQIDSGSR. Na maioria das execuções a carbonila mais próxima da serina foi a que antecede a âncora (Gly2–Lys3 no GGKPGEP, Gly3–Arg4 no NGGRPDAP, a menos de 4 Å em 19–88% dos quadros do NGGRPDAP e em no máximo 23% dos do GGKPGEP), uma ligação glicina–resíduo básico que não é sítio de tripsina, o que sugere que o registro do peptídeo está deslocado de um resíduo em relação a um substrato canônico. Peptídeos tão curtos e ricos em glicina provavelmente são móveis, e em simulações de QM/MM do SFTI-1 e de análogos a taxa de hidrólise aumentou com a mobilidade do inibidor, ao passo que a cadeia cíclica e as ligações de hidrogênio intramoleculares a reduziram (Wei et al., 2019). Isso é uma propriedade de simulações clássicas de 10 ns que partem de uma pose predita e não mede catálise.</w:t>
      </w:r>
    </w:p>
    <w:p>
      <w:pPr>
        <w:pStyle w:val="BodyText"/>
      </w:pPr>
      <w:r>
        <w:rPr>
          <w:i/>
          <w:iCs/>
        </w:rPr>
        <w:t xml:space="preserve">Uma linha de base interna para a prolina protetora.</w:t>
      </w:r>
      <w:r>
        <w:t xml:space="preserve"> </w:t>
      </w:r>
      <w:r>
        <w:t xml:space="preserve">A pergunta que esses números precisam responder é se uma lisina ou arginina interna é clivada, e um dos controles embaralhados da Seção 3.5 fornece a linha de base. O PGRGDANP tem a composição do NGGRPDAP e foi simulado com o mesmo receptor de</w:t>
      </w:r>
      <w:r>
        <w:t xml:space="preserve"> </w:t>
      </w:r>
      <w:r>
        <w:rPr>
          <w:i/>
          <w:iCs/>
        </w:rPr>
        <w:t xml:space="preserve">A. gemmatalis</w:t>
      </w:r>
      <w:r>
        <w:t xml:space="preserve">, o mesmo campo de força e o mesmo protocolo em pH 10,0; seu Arg3 foi a âncora, a 2,73 Å do carboxilato do Asp189 tanto na janela inicial quanto na final, com ocupância de S1 de 1,00 — a mesma profundidade e a mesma exposição do Arg4 do NGGRPDAP (2,78 e 2,74 Å, ocupância 1,00). Os dois diferem no resíduo que segue o básico: glicina no controle, prolina no candidato. No controle, a ligação Arg3–Gly4 teve distância mediana do Oγ da Ser195 ao carbono de 3,68 Å (mínimo 3,03 Å), ficou a menos de 4 Å em 75,7% dos quadros da segunda metade e atingiu conformação quase de ataque em 8,0% deles. Nas nove execuções que carregam um sítio protegido por prolina — quatro do NGGRPDAP, quatro do GGKPGEP e uma do GGEKPPG, o controle embaralhado do GGKPGEP, em que a lisina também cai antes de uma prolina —, a fração quase de ataque foi de 0,0% sem exceção, e a ligação cindível só chegou a menos de 4 Å em 0,8% dos quadros de uma execução do GGKPGEP (Figura S11). A análise, portanto, registra a geometria de ataque quando o sítio de tripsina está exposto e não registra nenhuma quando há uma prolina em seguida, com a ocupância de S1 pareada.</w:t>
      </w:r>
    </w:p>
    <w:p>
      <w:pPr>
        <w:pStyle w:val="BodyText"/>
      </w:pPr>
      <w:r>
        <w:t xml:space="preserve">Esses controles foram simulados para outra pergunta — se a ocupância de S1 separa sequência de pose inicial —, que não responderam (Seção 3.5); a distância inicial pareada que os tornou inúteis lá é o que os torna uma linha de base válida aqui. A comparação se apoia em um sítio exposto, uma execução e um pH; uma fração quase de ataque não é uma taxa; e o critério é geométrico, não codifica especificidade, e é por isso que a ligação que mais se aproxima da serina nos peptídeos protegidos, a ligação glicina–resíduo básico que antecede a âncora, não é risco de clivagem para uma enzima que exige lisina ou arginina em P1. O resultado também nada diz sobre exopeptidases: o critério duro avalia o resíduo C-terminal, mas não a aminopeptidase N, que processa um N-terminal livre qualquer que seja a sequência interna; vale, portanto, sem ressalva para o macrociclo e, no peptídeo linear, só para as ligações internas. Um ensaio de estabilidade com tripsina e extrato do intestino médio das lagartas continua sendo o teste decisivo.</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Seção 3.8 relata a geometria de ataque nas simulações).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p>
      <w:pPr>
        <w:pStyle w:val="BodyText"/>
      </w:pPr>
      <w:r>
        <w:rPr>
          <w:i/>
          <w:iCs/>
        </w:rPr>
        <w:t xml:space="preserve">Relação com trabalhos anteriores com peptídeos.</w:t>
      </w:r>
      <w:r>
        <w:t xml:space="preserve"> </w:t>
      </w:r>
      <w:r>
        <w:t xml:space="preserve">Os candidatos têm o mesmo porte dos tripeptídeos GORE1 e GORE2 e dos tripeptídeos da alça Pin-II, de potência milimolar (de Almeida Barros et al., 2021; Saikhedkar et al., 2018), assim como os peptídeos da região pró do tripsinogênio (Ki de 0,78–1,80 mM contra enzimas de</w:t>
      </w:r>
      <w:r>
        <w:t xml:space="preserve"> </w:t>
      </w:r>
      <w:r>
        <w:rPr>
          <w:i/>
          <w:iCs/>
        </w:rPr>
        <w:t xml:space="preserve">A. gemmatalis</w:t>
      </w:r>
      <w:r>
        <w:t xml:space="preserve"> </w:t>
      </w:r>
      <w:r>
        <w:t xml:space="preserve">(Mariano et al., 2026)), e são mais curtos que o peptídeo de interface de 11 resíduos proposto para</w:t>
      </w:r>
      <w:r>
        <w:t xml:space="preserve"> </w:t>
      </w:r>
      <w:r>
        <w:rPr>
          <w:i/>
          <w:iCs/>
        </w:rPr>
        <w:t xml:space="preserve">S. frugiperda</w:t>
      </w:r>
      <w:r>
        <w:t xml:space="preserve"> </w:t>
      </w:r>
      <w:r>
        <w:t xml:space="preserve">(Severiche-Castro et al., 2026). O que este trabalho acrescenta é uma exigência explícita, baseada em regras, de não clivabilidade e uma escada de escores calibrada; não acrescenta evidência de afinidade maior. Como há Ki medido para o GORE2 e para peptídeos derivados de alças e da região pró (de Almeida Barros et al., 2021; Paulo et al., 2026; Mariano et al., 2026), o GORE2 é o controle positivo natural: um candidato só interessa se seu Ki, medido nas mesmas condições, ficar abaixo da faixa milimolar desses peptídeos ou se persistir por mais tempo em extrato de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S1–S11 e as Tabelas S1–S2 (legendas e tabelas abaixo) são fornecidas como material suplementar.</w:t>
      </w:r>
    </w:p>
    <w:bookmarkEnd w:id="73"/>
    <w:bookmarkStart w:id="104"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819143"/>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419999"/>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419999"/>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CaptionedFigure"/>
      </w:pPr>
      <w:r>
        <w:drawing>
          <wp:inline>
            <wp:extent cx="4679999" cy="1689204"/>
            <wp:effectExtent b="0" l="0" r="0" t="0"/>
            <wp:docPr descr="Figura S10. 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 title="" id="102" name="Picture"/>
            <a:graphic>
              <a:graphicData uri="http://schemas.openxmlformats.org/drawingml/2006/picture">
                <pic:pic>
                  <pic:nvPicPr>
                    <pic:cNvPr descr="figures/final/FigureS10_energy_trajectories.png" id="103" name="Picture"/>
                    <pic:cNvPicPr>
                      <a:picLocks noChangeArrowheads="1" noChangeAspect="1"/>
                    </pic:cNvPicPr>
                  </pic:nvPicPr>
                  <pic:blipFill>
                    <a:blip r:embed="rId101"/>
                    <a:stretch>
                      <a:fillRect/>
                    </a:stretch>
                  </pic:blipFill>
                  <pic:spPr bwMode="auto">
                    <a:xfrm>
                      <a:off x="0" y="0"/>
                      <a:ext cx="4679999" cy="1689204"/>
                    </a:xfrm>
                    <a:prstGeom prst="rect">
                      <a:avLst/>
                    </a:prstGeom>
                    <a:noFill/>
                    <a:ln w="9525">
                      <a:noFill/>
                      <a:headEnd/>
                      <a:tailEnd/>
                    </a:ln>
                  </pic:spPr>
                </pic:pic>
              </a:graphicData>
            </a:graphic>
          </wp:inline>
        </w:drawing>
      </w:r>
    </w:p>
    <w:p>
      <w:pPr>
        <w:pStyle w:val="ImageCaption"/>
      </w:pP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bookmarkEnd w:id="104"/>
    <w:bookmarkStart w:id="105" w:name="tabelas-suplementares"/>
    <w:p>
      <w:pPr>
        <w:pStyle w:val="Heading2"/>
      </w:pPr>
      <w:r>
        <w:t xml:space="preserve">Tabelas suplementares</w:t>
      </w:r>
    </w:p>
    <w:p>
      <w:pPr>
        <w:pStyle w:val="FirstParagraph"/>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p>
      <w:pPr>
        <w:pStyle w:val="BodyText"/>
      </w:pPr>
      <w:r>
        <w:rPr>
          <w:b/>
          <w:bCs/>
        </w:rPr>
        <w:t xml:space="preserve">Tabela S2.</w:t>
      </w:r>
      <w:r>
        <w:t xml:space="preserve"> </w:t>
      </w:r>
      <w:r>
        <w:t xml:space="preserve">Tríade catalítica e bolsão S1 dos dez receptores (modelos do AlphaFold). As posições estão na numeração do modelo; a coluna da tripsina bovina (P00760) dá a numeração de referência. Negrito: resíduo diferente do da tripsina bovina. O bolsão S1 é o conjunto dos 14 resíduos da tripsina em contato com o P1 em 2PTC e 1SFI (Tabela S1); a His57 e a Ser195 pertencem a ele e aparecem uma só vez, na tríade. O Asp189 é o resíduo de especificidade. Distâncias: NE2 da His à OG da Ser e ND1 da His ao oxigênio do carboxilato do Asp102 mais próximo, no modelo. Dados:</w:t>
      </w:r>
      <w:r>
        <w:t xml:space="preserve"> </w:t>
      </w:r>
      <w:r>
        <w:rPr>
          <w:rStyle w:val="VerbatimChar"/>
        </w:rPr>
        <w:t xml:space="preserve">data-lepidoptera-panel/triad_s1_by_receptor.csv</w:t>
      </w:r>
      <w:r>
        <w:t xml:space="preserve">; script:</w:t>
      </w:r>
      <w:r>
        <w:t xml:space="preserve"> </w:t>
      </w:r>
      <w:r>
        <w:rPr>
          <w:rStyle w:val="VerbatimChar"/>
        </w:rPr>
        <w:t xml:space="preserve">manuscript/make_table_s2.py</w:t>
      </w:r>
      <w:r>
        <w:t xml:space="preserv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Grupo</w:t>
            </w:r>
          </w:p>
        </w:tc>
        <w:tc>
          <w:tcPr/>
          <w:p>
            <w:pPr>
              <w:pStyle w:val="Compact"/>
              <w:spacing w:line="240" w:lineRule="auto"/>
            </w:pPr>
            <w:r>
              <w:rPr>
                <w:b/>
                <w:sz w:val="18"/>
              </w:rPr>
              <w:t xml:space="preserve">Posição</w:t>
            </w:r>
          </w:p>
        </w:tc>
        <w:tc>
          <w:tcPr/>
          <w:p>
            <w:pPr>
              <w:pStyle w:val="Compact"/>
              <w:spacing w:line="240" w:lineRule="auto"/>
            </w:pPr>
            <w:r>
              <w:rPr>
                <w:b/>
                <w:sz w:val="18"/>
              </w:rPr>
              <w:t xml:space="preserve">Tripsina bovina</w:t>
            </w:r>
          </w:p>
        </w:tc>
        <w:tc>
          <w:tcPr/>
          <w:p>
            <w:pPr>
              <w:pStyle w:val="Compact"/>
              <w:spacing w:line="240" w:lineRule="auto"/>
            </w:pPr>
            <w:r>
              <w:rPr>
                <w:b/>
                <w:i/>
                <w:iCs/>
                <w:sz w:val="18"/>
              </w:rPr>
              <w:t xml:space="preserve">S. frugiperda</w:t>
            </w:r>
          </w:p>
        </w:tc>
        <w:tc>
          <w:tcPr/>
          <w:p>
            <w:pPr>
              <w:pStyle w:val="Compact"/>
              <w:spacing w:line="240" w:lineRule="auto"/>
            </w:pPr>
            <w:r>
              <w:rPr>
                <w:b/>
                <w:i/>
                <w:iCs/>
                <w:sz w:val="18"/>
              </w:rPr>
              <w:t xml:space="preserve">S. litura</w:t>
            </w:r>
          </w:p>
        </w:tc>
        <w:tc>
          <w:tcPr/>
          <w:p>
            <w:pPr>
              <w:pStyle w:val="Compact"/>
              <w:spacing w:line="240" w:lineRule="auto"/>
            </w:pPr>
            <w:r>
              <w:rPr>
                <w:b/>
                <w:i/>
                <w:iCs/>
                <w:sz w:val="18"/>
              </w:rPr>
              <w:t xml:space="preserve">O. nubilalis</w:t>
            </w:r>
          </w:p>
        </w:tc>
        <w:tc>
          <w:tcPr/>
          <w:p>
            <w:pPr>
              <w:pStyle w:val="Compact"/>
              <w:spacing w:line="240" w:lineRule="auto"/>
            </w:pPr>
            <w:r>
              <w:rPr>
                <w:b/>
                <w:i/>
                <w:iCs/>
                <w:sz w:val="18"/>
              </w:rPr>
              <w:t xml:space="preserve">D. saccharalis</w:t>
            </w:r>
          </w:p>
        </w:tc>
        <w:tc>
          <w:tcPr/>
          <w:p>
            <w:pPr>
              <w:pStyle w:val="Compact"/>
              <w:spacing w:line="240" w:lineRule="auto"/>
            </w:pPr>
            <w:r>
              <w:rPr>
                <w:b/>
                <w:i/>
                <w:iCs/>
                <w:sz w:val="18"/>
              </w:rPr>
              <w:t xml:space="preserve">C. includens</w:t>
            </w:r>
          </w:p>
        </w:tc>
        <w:tc>
          <w:tcPr/>
          <w:p>
            <w:pPr>
              <w:pStyle w:val="Compact"/>
              <w:spacing w:line="240" w:lineRule="auto"/>
            </w:pPr>
            <w:r>
              <w:rPr>
                <w:b/>
                <w:i/>
                <w:iCs/>
                <w:sz w:val="18"/>
              </w:rPr>
              <w:t xml:space="preserve">H. virescens</w:t>
            </w:r>
          </w:p>
        </w:tc>
        <w:tc>
          <w:tcPr/>
          <w:p>
            <w:pPr>
              <w:pStyle w:val="Compact"/>
              <w:spacing w:line="240" w:lineRule="auto"/>
            </w:pPr>
            <w:r>
              <w:rPr>
                <w:b/>
                <w:i/>
                <w:iCs/>
                <w:sz w:val="18"/>
              </w:rPr>
              <w:t xml:space="preserve">P. xylostella</w:t>
            </w:r>
          </w:p>
        </w:tc>
        <w:tc>
          <w:tcPr/>
          <w:p>
            <w:pPr>
              <w:pStyle w:val="Compact"/>
              <w:spacing w:line="240" w:lineRule="auto"/>
            </w:pPr>
            <w:r>
              <w:rPr>
                <w:b/>
                <w:i/>
                <w:iCs/>
                <w:sz w:val="18"/>
              </w:rPr>
              <w:t xml:space="preserve">A. gemmatalis</w:t>
            </w:r>
          </w:p>
        </w:tc>
        <w:tc>
          <w:tcPr/>
          <w:p>
            <w:pPr>
              <w:pStyle w:val="Compact"/>
              <w:spacing w:line="240" w:lineRule="auto"/>
            </w:pPr>
            <w:r>
              <w:rPr>
                <w:b/>
                <w:i/>
                <w:iCs/>
                <w:sz w:val="18"/>
              </w:rPr>
              <w:t xml:space="preserve">M. sexta</w:t>
            </w:r>
          </w:p>
        </w:tc>
        <w:tc>
          <w:tcPr/>
          <w:p>
            <w:pPr>
              <w:pStyle w:val="Compact"/>
              <w:spacing w:line="240" w:lineRule="auto"/>
            </w:pPr>
            <w:r>
              <w:rPr>
                <w:b/>
                <w:i/>
                <w:iCs/>
                <w:sz w:val="18"/>
              </w:rPr>
              <w:t xml:space="preserve">B. mori</w:t>
            </w:r>
          </w:p>
        </w:tc>
      </w:tr>
      <w:tr>
        <w:tc>
          <w:tcPr/>
          <w:p>
            <w:pPr>
              <w:pStyle w:val="Compact"/>
              <w:spacing w:line="240" w:lineRule="auto"/>
            </w:pPr>
            <w:r>
              <w:rPr>
                <w:sz w:val="18"/>
              </w:rPr>
              <w:t xml:space="preserve">Tríade catalítica</w:t>
            </w:r>
          </w:p>
        </w:tc>
        <w:tc>
          <w:tcPr/>
          <w:p>
            <w:pPr>
              <w:pStyle w:val="Compact"/>
              <w:spacing w:line="240" w:lineRule="auto"/>
            </w:pPr>
            <w:r>
              <w:rPr>
                <w:sz w:val="18"/>
              </w:rPr>
              <w:t xml:space="preserve">His57</w:t>
            </w:r>
          </w:p>
        </w:tc>
        <w:tc>
          <w:tcPr/>
          <w:p>
            <w:pPr>
              <w:pStyle w:val="Compact"/>
              <w:spacing w:line="240" w:lineRule="auto"/>
            </w:pPr>
            <w:r>
              <w:rPr>
                <w:sz w:val="18"/>
              </w:rPr>
              <w:t xml:space="preserve">H57</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H68</w:t>
            </w:r>
          </w:p>
        </w:tc>
        <w:tc>
          <w:tcPr/>
          <w:p>
            <w:pPr>
              <w:pStyle w:val="Compact"/>
              <w:spacing w:line="240" w:lineRule="auto"/>
            </w:pPr>
            <w:r>
              <w:rPr>
                <w:sz w:val="18"/>
              </w:rPr>
              <w:t xml:space="preserve">H70</w:t>
            </w:r>
          </w:p>
        </w:tc>
        <w:tc>
          <w:tcPr/>
          <w:p>
            <w:pPr>
              <w:pStyle w:val="Compact"/>
              <w:spacing w:line="240" w:lineRule="auto"/>
            </w:pPr>
            <w:r>
              <w:rPr>
                <w:sz w:val="18"/>
              </w:rPr>
              <w:t xml:space="preserve">H71</w:t>
            </w:r>
          </w:p>
        </w:tc>
        <w:tc>
          <w:tcPr/>
          <w:p>
            <w:pPr>
              <w:pStyle w:val="Compact"/>
              <w:spacing w:line="240" w:lineRule="auto"/>
            </w:pPr>
            <w:r>
              <w:rPr>
                <w:sz w:val="18"/>
              </w:rPr>
              <w:t xml:space="preserve">H70</w:t>
            </w:r>
          </w:p>
        </w:tc>
        <w:tc>
          <w:tcPr/>
          <w:p>
            <w:pPr>
              <w:pStyle w:val="Compact"/>
              <w:spacing w:line="240" w:lineRule="auto"/>
            </w:pPr>
            <w:r>
              <w:rPr>
                <w:sz w:val="18"/>
              </w:rPr>
              <w:t xml:space="preserve">H70</w:t>
            </w:r>
          </w:p>
        </w:tc>
      </w:tr>
      <w:tr>
        <w:tc>
          <w:tcPr/>
          <w:p>
            <w:pPr>
              <w:pStyle w:val="Compact"/>
              <w:spacing w:line="240" w:lineRule="auto"/>
            </w:pPr>
          </w:p>
        </w:tc>
        <w:tc>
          <w:tcPr/>
          <w:p>
            <w:pPr>
              <w:pStyle w:val="Compact"/>
              <w:spacing w:line="240" w:lineRule="auto"/>
            </w:pPr>
            <w:r>
              <w:rPr>
                <w:sz w:val="18"/>
              </w:rPr>
              <w:t xml:space="preserve">Asp102</w:t>
            </w:r>
          </w:p>
        </w:tc>
        <w:tc>
          <w:tcPr/>
          <w:p>
            <w:pPr>
              <w:pStyle w:val="Compact"/>
              <w:spacing w:line="240" w:lineRule="auto"/>
            </w:pPr>
            <w:r>
              <w:rPr>
                <w:sz w:val="18"/>
              </w:rPr>
              <w:t xml:space="preserve">D102</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D113</w:t>
            </w:r>
          </w:p>
        </w:tc>
        <w:tc>
          <w:tcPr/>
          <w:p>
            <w:pPr>
              <w:pStyle w:val="Compact"/>
              <w:spacing w:line="240" w:lineRule="auto"/>
            </w:pPr>
            <w:r>
              <w:rPr>
                <w:sz w:val="18"/>
              </w:rPr>
              <w:t xml:space="preserve">D116</w:t>
            </w:r>
          </w:p>
        </w:tc>
        <w:tc>
          <w:tcPr/>
          <w:p>
            <w:pPr>
              <w:pStyle w:val="Compact"/>
              <w:spacing w:line="240" w:lineRule="auto"/>
            </w:pPr>
            <w:r>
              <w:rPr>
                <w:sz w:val="18"/>
              </w:rPr>
              <w:t xml:space="preserve">D116</w:t>
            </w:r>
          </w:p>
        </w:tc>
        <w:tc>
          <w:tcPr/>
          <w:p>
            <w:pPr>
              <w:pStyle w:val="Compact"/>
              <w:spacing w:line="240" w:lineRule="auto"/>
            </w:pPr>
            <w:r>
              <w:rPr>
                <w:sz w:val="18"/>
              </w:rPr>
              <w:t xml:space="preserve">D115</w:t>
            </w:r>
          </w:p>
        </w:tc>
        <w:tc>
          <w:tcPr/>
          <w:p>
            <w:pPr>
              <w:pStyle w:val="Compact"/>
              <w:spacing w:line="240" w:lineRule="auto"/>
            </w:pPr>
            <w:r>
              <w:rPr>
                <w:sz w:val="18"/>
              </w:rPr>
              <w:t xml:space="preserve">D115</w:t>
            </w:r>
          </w:p>
        </w:tc>
      </w:tr>
      <w:tr>
        <w:tc>
          <w:tcPr/>
          <w:p>
            <w:pPr>
              <w:pStyle w:val="Compact"/>
              <w:spacing w:line="240" w:lineRule="auto"/>
            </w:pPr>
          </w:p>
        </w:tc>
        <w:tc>
          <w:tcPr/>
          <w:p>
            <w:pPr>
              <w:pStyle w:val="Compact"/>
              <w:spacing w:line="240" w:lineRule="auto"/>
            </w:pPr>
            <w:r>
              <w:rPr>
                <w:sz w:val="18"/>
              </w:rPr>
              <w:t xml:space="preserve">Ser195</w:t>
            </w:r>
          </w:p>
        </w:tc>
        <w:tc>
          <w:tcPr/>
          <w:p>
            <w:pPr>
              <w:pStyle w:val="Compact"/>
              <w:spacing w:line="240" w:lineRule="auto"/>
            </w:pPr>
            <w:r>
              <w:rPr>
                <w:sz w:val="18"/>
              </w:rPr>
              <w:t xml:space="preserve">S195</w:t>
            </w:r>
          </w:p>
        </w:tc>
        <w:tc>
          <w:tcPr/>
          <w:p>
            <w:pPr>
              <w:pStyle w:val="Compact"/>
              <w:spacing w:line="240" w:lineRule="auto"/>
            </w:pPr>
            <w:r>
              <w:rPr>
                <w:sz w:val="18"/>
              </w:rPr>
              <w:t xml:space="preserve">S220</w:t>
            </w:r>
          </w:p>
        </w:tc>
        <w:tc>
          <w:tcPr/>
          <w:p>
            <w:pPr>
              <w:pStyle w:val="Compact"/>
              <w:spacing w:line="240" w:lineRule="auto"/>
            </w:pPr>
            <w:r>
              <w:rPr>
                <w:sz w:val="18"/>
              </w:rPr>
              <w:t xml:space="preserve">S211</w:t>
            </w:r>
          </w:p>
        </w:tc>
        <w:tc>
          <w:tcPr/>
          <w:p>
            <w:pPr>
              <w:pStyle w:val="Compact"/>
              <w:spacing w:line="240" w:lineRule="auto"/>
            </w:pPr>
            <w:r>
              <w:rPr>
                <w:sz w:val="18"/>
              </w:rPr>
              <w:t xml:space="preserve">S213</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c>
          <w:tcPr/>
          <w:p>
            <w:pPr>
              <w:pStyle w:val="Compact"/>
              <w:spacing w:line="240" w:lineRule="auto"/>
            </w:pPr>
            <w:r>
              <w:rPr>
                <w:sz w:val="18"/>
              </w:rPr>
              <w:t xml:space="preserve">S219</w:t>
            </w:r>
          </w:p>
        </w:tc>
        <w:tc>
          <w:tcPr/>
          <w:p>
            <w:pPr>
              <w:pStyle w:val="Compact"/>
              <w:spacing w:line="240" w:lineRule="auto"/>
            </w:pPr>
            <w:r>
              <w:rPr>
                <w:sz w:val="18"/>
              </w:rPr>
              <w:t xml:space="preserve">S211</w:t>
            </w:r>
          </w:p>
        </w:tc>
        <w:tc>
          <w:tcPr/>
          <w:p>
            <w:pPr>
              <w:pStyle w:val="Compact"/>
              <w:spacing w:line="240" w:lineRule="auto"/>
            </w:pPr>
            <w:r>
              <w:rPr>
                <w:sz w:val="18"/>
              </w:rPr>
              <w:t xml:space="preserve">S217</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r>
      <w:tr>
        <w:tc>
          <w:tcPr/>
          <w:p>
            <w:pPr>
              <w:pStyle w:val="Compact"/>
              <w:spacing w:line="240" w:lineRule="auto"/>
            </w:pPr>
            <w:r>
              <w:rPr>
                <w:sz w:val="18"/>
              </w:rPr>
              <w:t xml:space="preserve">Bolsão S1</w:t>
            </w:r>
          </w:p>
        </w:tc>
        <w:tc>
          <w:tcPr/>
          <w:p>
            <w:pPr>
              <w:pStyle w:val="Compact"/>
              <w:spacing w:line="240" w:lineRule="auto"/>
            </w:pPr>
            <w:r>
              <w:rPr>
                <w:sz w:val="18"/>
              </w:rPr>
              <w:t xml:space="preserve">Asp189</w:t>
            </w:r>
          </w:p>
        </w:tc>
        <w:tc>
          <w:tcPr/>
          <w:p>
            <w:pPr>
              <w:pStyle w:val="Compact"/>
              <w:spacing w:line="240" w:lineRule="auto"/>
            </w:pPr>
            <w:r>
              <w:rPr>
                <w:sz w:val="18"/>
              </w:rPr>
              <w:t xml:space="preserve">D189</w:t>
            </w:r>
          </w:p>
        </w:tc>
        <w:tc>
          <w:tcPr/>
          <w:p>
            <w:pPr>
              <w:pStyle w:val="Compact"/>
              <w:spacing w:line="240" w:lineRule="auto"/>
            </w:pPr>
            <w:r>
              <w:rPr>
                <w:sz w:val="18"/>
              </w:rPr>
              <w:t xml:space="preserve">D214</w:t>
            </w:r>
          </w:p>
        </w:tc>
        <w:tc>
          <w:tcPr/>
          <w:p>
            <w:pPr>
              <w:pStyle w:val="Compact"/>
              <w:spacing w:line="240" w:lineRule="auto"/>
            </w:pPr>
            <w:r>
              <w:rPr>
                <w:sz w:val="18"/>
              </w:rPr>
              <w:t xml:space="preserve">D205</w:t>
            </w:r>
          </w:p>
        </w:tc>
        <w:tc>
          <w:tcPr/>
          <w:p>
            <w:pPr>
              <w:pStyle w:val="Compact"/>
              <w:spacing w:line="240" w:lineRule="auto"/>
            </w:pPr>
            <w:r>
              <w:rPr>
                <w:sz w:val="18"/>
              </w:rPr>
              <w:t xml:space="preserve">D207</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c>
          <w:tcPr/>
          <w:p>
            <w:pPr>
              <w:pStyle w:val="Compact"/>
              <w:spacing w:line="240" w:lineRule="auto"/>
            </w:pPr>
            <w:r>
              <w:rPr>
                <w:sz w:val="18"/>
              </w:rPr>
              <w:t xml:space="preserve">D213</w:t>
            </w:r>
          </w:p>
        </w:tc>
        <w:tc>
          <w:tcPr/>
          <w:p>
            <w:pPr>
              <w:pStyle w:val="Compact"/>
              <w:spacing w:line="240" w:lineRule="auto"/>
            </w:pPr>
            <w:r>
              <w:rPr>
                <w:sz w:val="18"/>
              </w:rPr>
              <w:t xml:space="preserve">D205</w:t>
            </w:r>
          </w:p>
        </w:tc>
        <w:tc>
          <w:tcPr/>
          <w:p>
            <w:pPr>
              <w:pStyle w:val="Compact"/>
              <w:spacing w:line="240" w:lineRule="auto"/>
            </w:pPr>
            <w:r>
              <w:rPr>
                <w:sz w:val="18"/>
              </w:rPr>
              <w:t xml:space="preserve">D211</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r>
      <w:tr>
        <w:tc>
          <w:tcPr/>
          <w:p>
            <w:pPr>
              <w:pStyle w:val="Compact"/>
              <w:spacing w:line="240" w:lineRule="auto"/>
            </w:pPr>
          </w:p>
        </w:tc>
        <w:tc>
          <w:tcPr/>
          <w:p>
            <w:pPr>
              <w:pStyle w:val="Compact"/>
              <w:spacing w:line="240" w:lineRule="auto"/>
            </w:pPr>
            <w:r>
              <w:rPr>
                <w:sz w:val="18"/>
              </w:rPr>
              <w:t xml:space="preserve">Ser190</w:t>
            </w:r>
          </w:p>
        </w:tc>
        <w:tc>
          <w:tcPr/>
          <w:p>
            <w:pPr>
              <w:pStyle w:val="Compact"/>
              <w:spacing w:line="240" w:lineRule="auto"/>
            </w:pPr>
            <w:r>
              <w:rPr>
                <w:sz w:val="18"/>
              </w:rPr>
              <w:t xml:space="preserve">S190</w:t>
            </w:r>
          </w:p>
        </w:tc>
        <w:tc>
          <w:tcPr/>
          <w:p>
            <w:pPr>
              <w:pStyle w:val="Compact"/>
              <w:spacing w:line="240" w:lineRule="auto"/>
            </w:pPr>
            <w:r>
              <w:rPr>
                <w:b/>
                <w:bCs/>
                <w:sz w:val="18"/>
              </w:rPr>
              <w:t xml:space="preserve">A215</w:t>
            </w:r>
          </w:p>
        </w:tc>
        <w:tc>
          <w:tcPr/>
          <w:p>
            <w:pPr>
              <w:pStyle w:val="Compact"/>
              <w:spacing w:line="240" w:lineRule="auto"/>
            </w:pPr>
            <w:r>
              <w:rPr>
                <w:b/>
                <w:bCs/>
                <w:sz w:val="18"/>
              </w:rPr>
              <w:t xml:space="preserve">Q206</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Q207</w:t>
            </w:r>
          </w:p>
        </w:tc>
        <w:tc>
          <w:tcPr/>
          <w:p>
            <w:pPr>
              <w:pStyle w:val="Compact"/>
              <w:spacing w:line="240" w:lineRule="auto"/>
            </w:pPr>
            <w:r>
              <w:rPr>
                <w:b/>
                <w:bCs/>
                <w:sz w:val="18"/>
              </w:rPr>
              <w:t xml:space="preserve">A214</w:t>
            </w:r>
          </w:p>
        </w:tc>
        <w:tc>
          <w:tcPr/>
          <w:p>
            <w:pPr>
              <w:pStyle w:val="Compact"/>
              <w:spacing w:line="240" w:lineRule="auto"/>
            </w:pPr>
            <w:r>
              <w:rPr>
                <w:b/>
                <w:bCs/>
                <w:sz w:val="18"/>
              </w:rPr>
              <w:t xml:space="preserve">A206</w:t>
            </w:r>
          </w:p>
        </w:tc>
        <w:tc>
          <w:tcPr/>
          <w:p>
            <w:pPr>
              <w:pStyle w:val="Compact"/>
              <w:spacing w:line="240" w:lineRule="auto"/>
            </w:pPr>
            <w:r>
              <w:rPr>
                <w:b/>
                <w:bCs/>
                <w:sz w:val="18"/>
              </w:rPr>
              <w:t xml:space="preserve">Q212</w:t>
            </w:r>
          </w:p>
        </w:tc>
        <w:tc>
          <w:tcPr/>
          <w:p>
            <w:pPr>
              <w:pStyle w:val="Compact"/>
              <w:spacing w:line="240" w:lineRule="auto"/>
            </w:pPr>
            <w:r>
              <w:rPr>
                <w:b/>
                <w:bCs/>
                <w:sz w:val="18"/>
              </w:rPr>
              <w:t xml:space="preserve">Q208</w:t>
            </w:r>
          </w:p>
        </w:tc>
        <w:tc>
          <w:tcPr/>
          <w:p>
            <w:pPr>
              <w:pStyle w:val="Compact"/>
              <w:spacing w:line="240" w:lineRule="auto"/>
            </w:pPr>
            <w:r>
              <w:rPr>
                <w:sz w:val="18"/>
              </w:rPr>
              <w:t xml:space="preserve">S207</w:t>
            </w:r>
          </w:p>
        </w:tc>
      </w:tr>
      <w:tr>
        <w:tc>
          <w:tcPr/>
          <w:p>
            <w:pPr>
              <w:pStyle w:val="Compact"/>
              <w:spacing w:line="240" w:lineRule="auto"/>
            </w:pPr>
          </w:p>
        </w:tc>
        <w:tc>
          <w:tcPr/>
          <w:p>
            <w:pPr>
              <w:pStyle w:val="Compact"/>
              <w:spacing w:line="240" w:lineRule="auto"/>
            </w:pPr>
            <w:r>
              <w:rPr>
                <w:sz w:val="18"/>
              </w:rPr>
              <w:t xml:space="preserve">Cys191</w:t>
            </w:r>
          </w:p>
        </w:tc>
        <w:tc>
          <w:tcPr/>
          <w:p>
            <w:pPr>
              <w:pStyle w:val="Compact"/>
              <w:spacing w:line="240" w:lineRule="auto"/>
            </w:pPr>
            <w:r>
              <w:rPr>
                <w:sz w:val="18"/>
              </w:rPr>
              <w:t xml:space="preserve">C191</w:t>
            </w:r>
          </w:p>
        </w:tc>
        <w:tc>
          <w:tcPr/>
          <w:p>
            <w:pPr>
              <w:pStyle w:val="Compact"/>
              <w:spacing w:line="240" w:lineRule="auto"/>
            </w:pPr>
            <w:r>
              <w:rPr>
                <w:sz w:val="18"/>
              </w:rPr>
              <w:t xml:space="preserve">C216</w:t>
            </w:r>
          </w:p>
        </w:tc>
        <w:tc>
          <w:tcPr/>
          <w:p>
            <w:pPr>
              <w:pStyle w:val="Compact"/>
              <w:spacing w:line="240" w:lineRule="auto"/>
            </w:pPr>
            <w:r>
              <w:rPr>
                <w:sz w:val="18"/>
              </w:rPr>
              <w:t xml:space="preserve">C207</w:t>
            </w:r>
          </w:p>
        </w:tc>
        <w:tc>
          <w:tcPr/>
          <w:p>
            <w:pPr>
              <w:pStyle w:val="Compact"/>
              <w:spacing w:line="240" w:lineRule="auto"/>
            </w:pPr>
            <w:r>
              <w:rPr>
                <w:sz w:val="18"/>
              </w:rPr>
              <w:t xml:space="preserve">C209</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c>
          <w:tcPr/>
          <w:p>
            <w:pPr>
              <w:pStyle w:val="Compact"/>
              <w:spacing w:line="240" w:lineRule="auto"/>
            </w:pPr>
            <w:r>
              <w:rPr>
                <w:sz w:val="18"/>
              </w:rPr>
              <w:t xml:space="preserve">C215</w:t>
            </w:r>
          </w:p>
        </w:tc>
        <w:tc>
          <w:tcPr/>
          <w:p>
            <w:pPr>
              <w:pStyle w:val="Compact"/>
              <w:spacing w:line="240" w:lineRule="auto"/>
            </w:pPr>
            <w:r>
              <w:rPr>
                <w:sz w:val="18"/>
              </w:rPr>
              <w:t xml:space="preserve">C207</w:t>
            </w:r>
          </w:p>
        </w:tc>
        <w:tc>
          <w:tcPr/>
          <w:p>
            <w:pPr>
              <w:pStyle w:val="Compact"/>
              <w:spacing w:line="240" w:lineRule="auto"/>
            </w:pPr>
            <w:r>
              <w:rPr>
                <w:sz w:val="18"/>
              </w:rPr>
              <w:t xml:space="preserve">C213</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r>
      <w:tr>
        <w:tc>
          <w:tcPr/>
          <w:p>
            <w:pPr>
              <w:pStyle w:val="Compact"/>
              <w:spacing w:line="240" w:lineRule="auto"/>
            </w:pPr>
          </w:p>
        </w:tc>
        <w:tc>
          <w:tcPr/>
          <w:p>
            <w:pPr>
              <w:pStyle w:val="Compact"/>
              <w:spacing w:line="240" w:lineRule="auto"/>
            </w:pPr>
            <w:r>
              <w:rPr>
                <w:sz w:val="18"/>
              </w:rPr>
              <w:t xml:space="preserve">Gln192</w:t>
            </w:r>
          </w:p>
        </w:tc>
        <w:tc>
          <w:tcPr/>
          <w:p>
            <w:pPr>
              <w:pStyle w:val="Compact"/>
              <w:spacing w:line="240" w:lineRule="auto"/>
            </w:pPr>
            <w:r>
              <w:rPr>
                <w:sz w:val="18"/>
              </w:rPr>
              <w:t xml:space="preserve">Q192</w:t>
            </w:r>
          </w:p>
        </w:tc>
        <w:tc>
          <w:tcPr/>
          <w:p>
            <w:pPr>
              <w:pStyle w:val="Compact"/>
              <w:spacing w:line="240" w:lineRule="auto"/>
            </w:pPr>
            <w:r>
              <w:rPr>
                <w:sz w:val="18"/>
              </w:rPr>
              <w:t xml:space="preserve">Q217</w:t>
            </w:r>
          </w:p>
        </w:tc>
        <w:tc>
          <w:tcPr/>
          <w:p>
            <w:pPr>
              <w:pStyle w:val="Compact"/>
              <w:spacing w:line="240" w:lineRule="auto"/>
            </w:pPr>
            <w:r>
              <w:rPr>
                <w:sz w:val="18"/>
              </w:rPr>
              <w:t xml:space="preserve">Q208</w:t>
            </w:r>
          </w:p>
        </w:tc>
        <w:tc>
          <w:tcPr/>
          <w:p>
            <w:pPr>
              <w:pStyle w:val="Compact"/>
              <w:spacing w:line="240" w:lineRule="auto"/>
            </w:pPr>
            <w:r>
              <w:rPr>
                <w:sz w:val="18"/>
              </w:rPr>
              <w:t xml:space="preserve">Q210</w:t>
            </w:r>
          </w:p>
        </w:tc>
        <w:tc>
          <w:tcPr/>
          <w:p>
            <w:pPr>
              <w:pStyle w:val="Compact"/>
              <w:spacing w:line="240" w:lineRule="auto"/>
            </w:pPr>
            <w:r>
              <w:rPr>
                <w:sz w:val="18"/>
              </w:rPr>
              <w:t xml:space="preserve">Q210</w:t>
            </w:r>
          </w:p>
        </w:tc>
        <w:tc>
          <w:tcPr/>
          <w:p>
            <w:pPr>
              <w:pStyle w:val="Compact"/>
              <w:spacing w:line="240" w:lineRule="auto"/>
            </w:pPr>
            <w:r>
              <w:rPr>
                <w:sz w:val="18"/>
              </w:rPr>
              <w:t xml:space="preserve">Q209</w:t>
            </w:r>
          </w:p>
        </w:tc>
        <w:tc>
          <w:tcPr/>
          <w:p>
            <w:pPr>
              <w:pStyle w:val="Compact"/>
              <w:spacing w:line="240" w:lineRule="auto"/>
            </w:pPr>
            <w:r>
              <w:rPr>
                <w:sz w:val="18"/>
              </w:rPr>
              <w:t xml:space="preserve">Q216</w:t>
            </w:r>
          </w:p>
        </w:tc>
        <w:tc>
          <w:tcPr/>
          <w:p>
            <w:pPr>
              <w:pStyle w:val="Compact"/>
              <w:spacing w:line="240" w:lineRule="auto"/>
            </w:pPr>
            <w:r>
              <w:rPr>
                <w:sz w:val="18"/>
              </w:rPr>
              <w:t xml:space="preserve">Q208</w:t>
            </w:r>
          </w:p>
        </w:tc>
        <w:tc>
          <w:tcPr/>
          <w:p>
            <w:pPr>
              <w:pStyle w:val="Compact"/>
              <w:spacing w:line="240" w:lineRule="auto"/>
            </w:pPr>
            <w:r>
              <w:rPr>
                <w:sz w:val="18"/>
              </w:rPr>
              <w:t xml:space="preserve">Q214</w:t>
            </w:r>
          </w:p>
        </w:tc>
        <w:tc>
          <w:tcPr/>
          <w:p>
            <w:pPr>
              <w:pStyle w:val="Compact"/>
              <w:spacing w:line="240" w:lineRule="auto"/>
            </w:pPr>
            <w:r>
              <w:rPr>
                <w:sz w:val="18"/>
              </w:rPr>
              <w:t xml:space="preserve">Q210</w:t>
            </w:r>
          </w:p>
        </w:tc>
        <w:tc>
          <w:tcPr/>
          <w:p>
            <w:pPr>
              <w:pStyle w:val="Compact"/>
              <w:spacing w:line="240" w:lineRule="auto"/>
            </w:pPr>
            <w:r>
              <w:rPr>
                <w:b/>
                <w:bCs/>
                <w:sz w:val="18"/>
              </w:rPr>
              <w:t xml:space="preserve">T209</w:t>
            </w:r>
          </w:p>
        </w:tc>
      </w:tr>
      <w:tr>
        <w:tc>
          <w:tcPr/>
          <w:p>
            <w:pPr>
              <w:pStyle w:val="Compact"/>
              <w:spacing w:line="240" w:lineRule="auto"/>
            </w:pPr>
          </w:p>
        </w:tc>
        <w:tc>
          <w:tcPr/>
          <w:p>
            <w:pPr>
              <w:pStyle w:val="Compact"/>
              <w:spacing w:line="240" w:lineRule="auto"/>
            </w:pPr>
            <w:r>
              <w:rPr>
                <w:sz w:val="18"/>
              </w:rPr>
              <w:t xml:space="preserve">Gly193</w:t>
            </w:r>
          </w:p>
        </w:tc>
        <w:tc>
          <w:tcPr/>
          <w:p>
            <w:pPr>
              <w:pStyle w:val="Compact"/>
              <w:spacing w:line="240" w:lineRule="auto"/>
            </w:pPr>
            <w:r>
              <w:rPr>
                <w:sz w:val="18"/>
              </w:rPr>
              <w:t xml:space="preserve">G193</w:t>
            </w:r>
          </w:p>
        </w:tc>
        <w:tc>
          <w:tcPr/>
          <w:p>
            <w:pPr>
              <w:pStyle w:val="Compact"/>
              <w:spacing w:line="240" w:lineRule="auto"/>
            </w:pPr>
            <w:r>
              <w:rPr>
                <w:sz w:val="18"/>
              </w:rPr>
              <w:t xml:space="preserve">G218</w:t>
            </w:r>
          </w:p>
        </w:tc>
        <w:tc>
          <w:tcPr/>
          <w:p>
            <w:pPr>
              <w:pStyle w:val="Compact"/>
              <w:spacing w:line="240" w:lineRule="auto"/>
            </w:pPr>
            <w:r>
              <w:rPr>
                <w:sz w:val="18"/>
              </w:rPr>
              <w:t xml:space="preserve">G209</w:t>
            </w:r>
          </w:p>
        </w:tc>
        <w:tc>
          <w:tcPr/>
          <w:p>
            <w:pPr>
              <w:pStyle w:val="Compact"/>
              <w:spacing w:line="240" w:lineRule="auto"/>
            </w:pPr>
            <w:r>
              <w:rPr>
                <w:sz w:val="18"/>
              </w:rPr>
              <w:t xml:space="preserve">G211</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c>
          <w:tcPr/>
          <w:p>
            <w:pPr>
              <w:pStyle w:val="Compact"/>
              <w:spacing w:line="240" w:lineRule="auto"/>
            </w:pPr>
            <w:r>
              <w:rPr>
                <w:sz w:val="18"/>
              </w:rPr>
              <w:t xml:space="preserve">G217</w:t>
            </w:r>
          </w:p>
        </w:tc>
        <w:tc>
          <w:tcPr/>
          <w:p>
            <w:pPr>
              <w:pStyle w:val="Compact"/>
              <w:spacing w:line="240" w:lineRule="auto"/>
            </w:pPr>
            <w:r>
              <w:rPr>
                <w:sz w:val="18"/>
              </w:rPr>
              <w:t xml:space="preserve">G209</w:t>
            </w:r>
          </w:p>
        </w:tc>
        <w:tc>
          <w:tcPr/>
          <w:p>
            <w:pPr>
              <w:pStyle w:val="Compact"/>
              <w:spacing w:line="240" w:lineRule="auto"/>
            </w:pPr>
            <w:r>
              <w:rPr>
                <w:sz w:val="18"/>
              </w:rPr>
              <w:t xml:space="preserve">G215</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r>
      <w:tr>
        <w:tc>
          <w:tcPr/>
          <w:p>
            <w:pPr>
              <w:pStyle w:val="Compact"/>
              <w:spacing w:line="240" w:lineRule="auto"/>
            </w:pPr>
          </w:p>
        </w:tc>
        <w:tc>
          <w:tcPr/>
          <w:p>
            <w:pPr>
              <w:pStyle w:val="Compact"/>
              <w:spacing w:line="240" w:lineRule="auto"/>
            </w:pPr>
            <w:r>
              <w:rPr>
                <w:sz w:val="18"/>
              </w:rPr>
              <w:t xml:space="preserve">Asp194</w:t>
            </w:r>
          </w:p>
        </w:tc>
        <w:tc>
          <w:tcPr/>
          <w:p>
            <w:pPr>
              <w:pStyle w:val="Compact"/>
              <w:spacing w:line="240" w:lineRule="auto"/>
            </w:pPr>
            <w:r>
              <w:rPr>
                <w:sz w:val="18"/>
              </w:rPr>
              <w:t xml:space="preserve">D194</w:t>
            </w:r>
          </w:p>
        </w:tc>
        <w:tc>
          <w:tcPr/>
          <w:p>
            <w:pPr>
              <w:pStyle w:val="Compact"/>
              <w:spacing w:line="240" w:lineRule="auto"/>
            </w:pPr>
            <w:r>
              <w:rPr>
                <w:sz w:val="18"/>
              </w:rPr>
              <w:t xml:space="preserve">D219</w:t>
            </w:r>
          </w:p>
        </w:tc>
        <w:tc>
          <w:tcPr/>
          <w:p>
            <w:pPr>
              <w:pStyle w:val="Compact"/>
              <w:spacing w:line="240" w:lineRule="auto"/>
            </w:pPr>
            <w:r>
              <w:rPr>
                <w:sz w:val="18"/>
              </w:rPr>
              <w:t xml:space="preserve">D210</w:t>
            </w:r>
          </w:p>
        </w:tc>
        <w:tc>
          <w:tcPr/>
          <w:p>
            <w:pPr>
              <w:pStyle w:val="Compact"/>
              <w:spacing w:line="240" w:lineRule="auto"/>
            </w:pPr>
            <w:r>
              <w:rPr>
                <w:sz w:val="18"/>
              </w:rPr>
              <w:t xml:space="preserve">D212</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c>
          <w:tcPr/>
          <w:p>
            <w:pPr>
              <w:pStyle w:val="Compact"/>
              <w:spacing w:line="240" w:lineRule="auto"/>
            </w:pPr>
            <w:r>
              <w:rPr>
                <w:sz w:val="18"/>
              </w:rPr>
              <w:t xml:space="preserve">D218</w:t>
            </w:r>
          </w:p>
        </w:tc>
        <w:tc>
          <w:tcPr/>
          <w:p>
            <w:pPr>
              <w:pStyle w:val="Compact"/>
              <w:spacing w:line="240" w:lineRule="auto"/>
            </w:pPr>
            <w:r>
              <w:rPr>
                <w:sz w:val="18"/>
              </w:rPr>
              <w:t xml:space="preserve">D210</w:t>
            </w:r>
          </w:p>
        </w:tc>
        <w:tc>
          <w:tcPr/>
          <w:p>
            <w:pPr>
              <w:pStyle w:val="Compact"/>
              <w:spacing w:line="240" w:lineRule="auto"/>
            </w:pPr>
            <w:r>
              <w:rPr>
                <w:sz w:val="18"/>
              </w:rPr>
              <w:t xml:space="preserve">D216</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r>
      <w:tr>
        <w:tc>
          <w:tcPr/>
          <w:p>
            <w:pPr>
              <w:pStyle w:val="Compact"/>
              <w:spacing w:line="240" w:lineRule="auto"/>
            </w:pPr>
          </w:p>
        </w:tc>
        <w:tc>
          <w:tcPr/>
          <w:p>
            <w:pPr>
              <w:pStyle w:val="Compact"/>
              <w:spacing w:line="240" w:lineRule="auto"/>
            </w:pPr>
            <w:r>
              <w:rPr>
                <w:sz w:val="18"/>
              </w:rPr>
              <w:t xml:space="preserve">Val213</w:t>
            </w:r>
          </w:p>
        </w:tc>
        <w:tc>
          <w:tcPr/>
          <w:p>
            <w:pPr>
              <w:pStyle w:val="Compact"/>
              <w:spacing w:line="240" w:lineRule="auto"/>
            </w:pPr>
            <w:r>
              <w:rPr>
                <w:sz w:val="18"/>
              </w:rPr>
              <w:t xml:space="preserve">V213</w:t>
            </w:r>
          </w:p>
        </w:tc>
        <w:tc>
          <w:tcPr/>
          <w:p>
            <w:pPr>
              <w:pStyle w:val="Compact"/>
              <w:spacing w:line="240" w:lineRule="auto"/>
            </w:pPr>
            <w:r>
              <w:rPr>
                <w:b/>
                <w:bCs/>
                <w:sz w:val="18"/>
              </w:rPr>
              <w:t xml:space="preserve">T235</w:t>
            </w:r>
          </w:p>
        </w:tc>
        <w:tc>
          <w:tcPr/>
          <w:p>
            <w:pPr>
              <w:pStyle w:val="Compact"/>
              <w:spacing w:line="240" w:lineRule="auto"/>
            </w:pPr>
            <w:r>
              <w:rPr>
                <w:b/>
                <w:bCs/>
                <w:sz w:val="18"/>
              </w:rPr>
              <w:t xml:space="preserve">C225</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C226</w:t>
            </w:r>
          </w:p>
        </w:tc>
        <w:tc>
          <w:tcPr/>
          <w:p>
            <w:pPr>
              <w:pStyle w:val="Compact"/>
              <w:spacing w:line="240" w:lineRule="auto"/>
            </w:pPr>
            <w:r>
              <w:rPr>
                <w:sz w:val="18"/>
              </w:rPr>
              <w:t xml:space="preserve">V234</w:t>
            </w:r>
          </w:p>
        </w:tc>
        <w:tc>
          <w:tcPr/>
          <w:p>
            <w:pPr>
              <w:pStyle w:val="Compact"/>
              <w:spacing w:line="240" w:lineRule="auto"/>
            </w:pPr>
            <w:r>
              <w:rPr>
                <w:sz w:val="18"/>
              </w:rPr>
              <w:t xml:space="preserve">V225</w:t>
            </w:r>
          </w:p>
        </w:tc>
        <w:tc>
          <w:tcPr/>
          <w:p>
            <w:pPr>
              <w:pStyle w:val="Compact"/>
              <w:spacing w:line="240" w:lineRule="auto"/>
            </w:pPr>
            <w:r>
              <w:rPr>
                <w:b/>
                <w:bCs/>
                <w:sz w:val="18"/>
              </w:rPr>
              <w:t xml:space="preserve">C231</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S226</w:t>
            </w:r>
          </w:p>
        </w:tc>
      </w:tr>
      <w:tr>
        <w:tc>
          <w:tcPr/>
          <w:p>
            <w:pPr>
              <w:pStyle w:val="Compact"/>
              <w:spacing w:line="240" w:lineRule="auto"/>
            </w:pPr>
          </w:p>
        </w:tc>
        <w:tc>
          <w:tcPr/>
          <w:p>
            <w:pPr>
              <w:pStyle w:val="Compact"/>
              <w:spacing w:line="240" w:lineRule="auto"/>
            </w:pPr>
            <w:r>
              <w:rPr>
                <w:sz w:val="18"/>
              </w:rPr>
              <w:t xml:space="preserve">Ser214</w:t>
            </w:r>
          </w:p>
        </w:tc>
        <w:tc>
          <w:tcPr/>
          <w:p>
            <w:pPr>
              <w:pStyle w:val="Compact"/>
              <w:spacing w:line="240" w:lineRule="auto"/>
            </w:pPr>
            <w:r>
              <w:rPr>
                <w:sz w:val="18"/>
              </w:rPr>
              <w:t xml:space="preserve">S214</w:t>
            </w:r>
          </w:p>
        </w:tc>
        <w:tc>
          <w:tcPr/>
          <w:p>
            <w:pPr>
              <w:pStyle w:val="Compact"/>
              <w:spacing w:line="240" w:lineRule="auto"/>
            </w:pPr>
            <w:r>
              <w:rPr>
                <w:sz w:val="18"/>
              </w:rPr>
              <w:t xml:space="preserve">S236</w:t>
            </w:r>
          </w:p>
        </w:tc>
        <w:tc>
          <w:tcPr/>
          <w:p>
            <w:pPr>
              <w:pStyle w:val="Compact"/>
              <w:spacing w:line="240" w:lineRule="auto"/>
            </w:pPr>
            <w:r>
              <w:rPr>
                <w:sz w:val="18"/>
              </w:rPr>
              <w:t xml:space="preserve">S226</w:t>
            </w:r>
          </w:p>
        </w:tc>
        <w:tc>
          <w:tcPr/>
          <w:p>
            <w:pPr>
              <w:pStyle w:val="Compact"/>
              <w:spacing w:line="240" w:lineRule="auto"/>
            </w:pPr>
            <w:r>
              <w:rPr>
                <w:sz w:val="18"/>
              </w:rPr>
              <w:t xml:space="preserve">S228</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c>
          <w:tcPr/>
          <w:p>
            <w:pPr>
              <w:pStyle w:val="Compact"/>
              <w:spacing w:line="240" w:lineRule="auto"/>
            </w:pPr>
            <w:r>
              <w:rPr>
                <w:sz w:val="18"/>
              </w:rPr>
              <w:t xml:space="preserve">S235</w:t>
            </w:r>
          </w:p>
        </w:tc>
        <w:tc>
          <w:tcPr/>
          <w:p>
            <w:pPr>
              <w:pStyle w:val="Compact"/>
              <w:spacing w:line="240" w:lineRule="auto"/>
            </w:pPr>
            <w:r>
              <w:rPr>
                <w:sz w:val="18"/>
              </w:rPr>
              <w:t xml:space="preserve">S226</w:t>
            </w:r>
          </w:p>
        </w:tc>
        <w:tc>
          <w:tcPr/>
          <w:p>
            <w:pPr>
              <w:pStyle w:val="Compact"/>
              <w:spacing w:line="240" w:lineRule="auto"/>
            </w:pPr>
            <w:r>
              <w:rPr>
                <w:sz w:val="18"/>
              </w:rPr>
              <w:t xml:space="preserve">S232</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r>
      <w:tr>
        <w:tc>
          <w:tcPr/>
          <w:p>
            <w:pPr>
              <w:pStyle w:val="Compact"/>
              <w:spacing w:line="240" w:lineRule="auto"/>
            </w:pPr>
          </w:p>
        </w:tc>
        <w:tc>
          <w:tcPr/>
          <w:p>
            <w:pPr>
              <w:pStyle w:val="Compact"/>
              <w:spacing w:line="240" w:lineRule="auto"/>
            </w:pPr>
            <w:r>
              <w:rPr>
                <w:sz w:val="18"/>
              </w:rPr>
              <w:t xml:space="preserve">Trp215</w:t>
            </w:r>
          </w:p>
        </w:tc>
        <w:tc>
          <w:tcPr/>
          <w:p>
            <w:pPr>
              <w:pStyle w:val="Compact"/>
              <w:spacing w:line="240" w:lineRule="auto"/>
            </w:pPr>
            <w:r>
              <w:rPr>
                <w:sz w:val="18"/>
              </w:rPr>
              <w:t xml:space="preserve">W215</w:t>
            </w:r>
          </w:p>
        </w:tc>
        <w:tc>
          <w:tcPr/>
          <w:p>
            <w:pPr>
              <w:pStyle w:val="Compact"/>
              <w:spacing w:line="240" w:lineRule="auto"/>
            </w:pPr>
            <w:r>
              <w:rPr>
                <w:sz w:val="18"/>
              </w:rPr>
              <w:t xml:space="preserve">W237</w:t>
            </w:r>
          </w:p>
        </w:tc>
        <w:tc>
          <w:tcPr/>
          <w:p>
            <w:pPr>
              <w:pStyle w:val="Compact"/>
              <w:spacing w:line="240" w:lineRule="auto"/>
            </w:pPr>
            <w:r>
              <w:rPr>
                <w:b/>
                <w:bCs/>
                <w:sz w:val="18"/>
              </w:rPr>
              <w:t xml:space="preserve">F227</w:t>
            </w:r>
          </w:p>
        </w:tc>
        <w:tc>
          <w:tcPr/>
          <w:p>
            <w:pPr>
              <w:pStyle w:val="Compact"/>
              <w:spacing w:line="240" w:lineRule="auto"/>
            </w:pPr>
            <w:r>
              <w:rPr>
                <w:sz w:val="18"/>
              </w:rPr>
              <w:t xml:space="preserve">W229</w:t>
            </w:r>
          </w:p>
        </w:tc>
        <w:tc>
          <w:tcPr/>
          <w:p>
            <w:pPr>
              <w:pStyle w:val="Compact"/>
              <w:spacing w:line="240" w:lineRule="auto"/>
            </w:pPr>
            <w:r>
              <w:rPr>
                <w:sz w:val="18"/>
              </w:rPr>
              <w:t xml:space="preserve">W229</w:t>
            </w:r>
          </w:p>
        </w:tc>
        <w:tc>
          <w:tcPr/>
          <w:p>
            <w:pPr>
              <w:pStyle w:val="Compact"/>
              <w:spacing w:line="240" w:lineRule="auto"/>
            </w:pPr>
            <w:r>
              <w:rPr>
                <w:sz w:val="18"/>
              </w:rPr>
              <w:t xml:space="preserve">W228</w:t>
            </w:r>
          </w:p>
        </w:tc>
        <w:tc>
          <w:tcPr/>
          <w:p>
            <w:pPr>
              <w:pStyle w:val="Compact"/>
              <w:spacing w:line="240" w:lineRule="auto"/>
            </w:pPr>
            <w:r>
              <w:rPr>
                <w:sz w:val="18"/>
              </w:rPr>
              <w:t xml:space="preserve">W236</w:t>
            </w:r>
          </w:p>
        </w:tc>
        <w:tc>
          <w:tcPr/>
          <w:p>
            <w:pPr>
              <w:pStyle w:val="Compact"/>
              <w:spacing w:line="240" w:lineRule="auto"/>
            </w:pPr>
            <w:r>
              <w:rPr>
                <w:sz w:val="18"/>
              </w:rPr>
              <w:t xml:space="preserve">W227</w:t>
            </w:r>
          </w:p>
        </w:tc>
        <w:tc>
          <w:tcPr/>
          <w:p>
            <w:pPr>
              <w:pStyle w:val="Compact"/>
              <w:spacing w:line="240" w:lineRule="auto"/>
            </w:pPr>
            <w:r>
              <w:rPr>
                <w:b/>
                <w:bCs/>
                <w:sz w:val="18"/>
              </w:rPr>
              <w:t xml:space="preserve">F233</w:t>
            </w:r>
          </w:p>
        </w:tc>
        <w:tc>
          <w:tcPr/>
          <w:p>
            <w:pPr>
              <w:pStyle w:val="Compact"/>
              <w:spacing w:line="240" w:lineRule="auto"/>
            </w:pPr>
            <w:r>
              <w:rPr>
                <w:sz w:val="18"/>
              </w:rPr>
              <w:t xml:space="preserve">W229</w:t>
            </w:r>
          </w:p>
        </w:tc>
        <w:tc>
          <w:tcPr/>
          <w:p>
            <w:pPr>
              <w:pStyle w:val="Compact"/>
              <w:spacing w:line="240" w:lineRule="auto"/>
            </w:pPr>
            <w:r>
              <w:rPr>
                <w:b/>
                <w:bCs/>
                <w:sz w:val="18"/>
              </w:rPr>
              <w:t xml:space="preserve">F228</w:t>
            </w:r>
          </w:p>
        </w:tc>
      </w:tr>
      <w:tr>
        <w:tc>
          <w:tcPr/>
          <w:p>
            <w:pPr>
              <w:pStyle w:val="Compact"/>
              <w:spacing w:line="240" w:lineRule="auto"/>
            </w:pPr>
          </w:p>
        </w:tc>
        <w:tc>
          <w:tcPr/>
          <w:p>
            <w:pPr>
              <w:pStyle w:val="Compact"/>
              <w:spacing w:line="240" w:lineRule="auto"/>
            </w:pPr>
            <w:r>
              <w:rPr>
                <w:sz w:val="18"/>
              </w:rPr>
              <w:t xml:space="preserve">Gly216</w:t>
            </w:r>
          </w:p>
        </w:tc>
        <w:tc>
          <w:tcPr/>
          <w:p>
            <w:pPr>
              <w:pStyle w:val="Compact"/>
              <w:spacing w:line="240" w:lineRule="auto"/>
            </w:pPr>
            <w:r>
              <w:rPr>
                <w:sz w:val="18"/>
              </w:rPr>
              <w:t xml:space="preserve">G216</w:t>
            </w:r>
          </w:p>
        </w:tc>
        <w:tc>
          <w:tcPr/>
          <w:p>
            <w:pPr>
              <w:pStyle w:val="Compact"/>
              <w:spacing w:line="240" w:lineRule="auto"/>
            </w:pPr>
            <w:r>
              <w:rPr>
                <w:sz w:val="18"/>
              </w:rPr>
              <w:t xml:space="preserve">G238</w:t>
            </w:r>
          </w:p>
        </w:tc>
        <w:tc>
          <w:tcPr/>
          <w:p>
            <w:pPr>
              <w:pStyle w:val="Compact"/>
              <w:spacing w:line="240" w:lineRule="auto"/>
            </w:pPr>
            <w:r>
              <w:rPr>
                <w:sz w:val="18"/>
              </w:rPr>
              <w:t xml:space="preserve">G228</w:t>
            </w:r>
          </w:p>
        </w:tc>
        <w:tc>
          <w:tcPr/>
          <w:p>
            <w:pPr>
              <w:pStyle w:val="Compact"/>
              <w:spacing w:line="240" w:lineRule="auto"/>
            </w:pPr>
            <w:r>
              <w:rPr>
                <w:sz w:val="18"/>
              </w:rPr>
              <w:t xml:space="preserve">G230</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c>
          <w:tcPr/>
          <w:p>
            <w:pPr>
              <w:pStyle w:val="Compact"/>
              <w:spacing w:line="240" w:lineRule="auto"/>
            </w:pPr>
            <w:r>
              <w:rPr>
                <w:sz w:val="18"/>
              </w:rPr>
              <w:t xml:space="preserve">G237</w:t>
            </w:r>
          </w:p>
        </w:tc>
        <w:tc>
          <w:tcPr/>
          <w:p>
            <w:pPr>
              <w:pStyle w:val="Compact"/>
              <w:spacing w:line="240" w:lineRule="auto"/>
            </w:pPr>
            <w:r>
              <w:rPr>
                <w:sz w:val="18"/>
              </w:rPr>
              <w:t xml:space="preserve">G228</w:t>
            </w:r>
          </w:p>
        </w:tc>
        <w:tc>
          <w:tcPr/>
          <w:p>
            <w:pPr>
              <w:pStyle w:val="Compact"/>
              <w:spacing w:line="240" w:lineRule="auto"/>
            </w:pPr>
            <w:r>
              <w:rPr>
                <w:sz w:val="18"/>
              </w:rPr>
              <w:t xml:space="preserve">G234</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r>
      <w:tr>
        <w:tc>
          <w:tcPr/>
          <w:p>
            <w:pPr>
              <w:pStyle w:val="Compact"/>
              <w:spacing w:line="240" w:lineRule="auto"/>
            </w:pPr>
          </w:p>
        </w:tc>
        <w:tc>
          <w:tcPr/>
          <w:p>
            <w:pPr>
              <w:pStyle w:val="Compact"/>
              <w:spacing w:line="240" w:lineRule="auto"/>
            </w:pPr>
            <w:r>
              <w:rPr>
                <w:sz w:val="18"/>
              </w:rPr>
              <w:t xml:space="preserve">Gly219</w:t>
            </w:r>
          </w:p>
        </w:tc>
        <w:tc>
          <w:tcPr/>
          <w:p>
            <w:pPr>
              <w:pStyle w:val="Compact"/>
              <w:spacing w:line="240" w:lineRule="auto"/>
            </w:pPr>
            <w:r>
              <w:rPr>
                <w:sz w:val="18"/>
              </w:rPr>
              <w:t xml:space="preserve">G219</w:t>
            </w:r>
          </w:p>
        </w:tc>
        <w:tc>
          <w:tcPr/>
          <w:p>
            <w:pPr>
              <w:pStyle w:val="Compact"/>
              <w:spacing w:line="240" w:lineRule="auto"/>
            </w:pPr>
            <w:r>
              <w:rPr>
                <w:b/>
                <w:bCs/>
                <w:sz w:val="18"/>
              </w:rPr>
              <w:t xml:space="preserve">E240</w:t>
            </w:r>
          </w:p>
        </w:tc>
        <w:tc>
          <w:tcPr/>
          <w:p>
            <w:pPr>
              <w:pStyle w:val="Compact"/>
              <w:spacing w:line="240" w:lineRule="auto"/>
            </w:pPr>
            <w:r>
              <w:rPr>
                <w:sz w:val="18"/>
              </w:rPr>
              <w:t xml:space="preserve">G230</w:t>
            </w:r>
          </w:p>
        </w:tc>
        <w:tc>
          <w:tcPr/>
          <w:p>
            <w:pPr>
              <w:pStyle w:val="Compact"/>
              <w:spacing w:line="240" w:lineRule="auto"/>
            </w:pPr>
            <w:r>
              <w:rPr>
                <w:sz w:val="18"/>
              </w:rPr>
              <w:t xml:space="preserve">G232</w:t>
            </w:r>
          </w:p>
        </w:tc>
        <w:tc>
          <w:tcPr/>
          <w:p>
            <w:pPr>
              <w:pStyle w:val="Compact"/>
              <w:spacing w:line="240" w:lineRule="auto"/>
            </w:pPr>
            <w:r>
              <w:rPr>
                <w:sz w:val="18"/>
              </w:rPr>
              <w:t xml:space="preserve">G232</w:t>
            </w:r>
          </w:p>
        </w:tc>
        <w:tc>
          <w:tcPr/>
          <w:p>
            <w:pPr>
              <w:pStyle w:val="Compact"/>
              <w:spacing w:line="240" w:lineRule="auto"/>
            </w:pPr>
            <w:r>
              <w:rPr>
                <w:b/>
                <w:bCs/>
                <w:sz w:val="18"/>
              </w:rPr>
              <w:t xml:space="preserve">Q231</w:t>
            </w:r>
          </w:p>
        </w:tc>
        <w:tc>
          <w:tcPr/>
          <w:p>
            <w:pPr>
              <w:pStyle w:val="Compact"/>
              <w:spacing w:line="240" w:lineRule="auto"/>
            </w:pPr>
            <w:r>
              <w:rPr>
                <w:b/>
                <w:bCs/>
                <w:sz w:val="18"/>
              </w:rPr>
              <w:t xml:space="preserve">Q239</w:t>
            </w:r>
          </w:p>
        </w:tc>
        <w:tc>
          <w:tcPr/>
          <w:p>
            <w:pPr>
              <w:pStyle w:val="Compact"/>
              <w:spacing w:line="240" w:lineRule="auto"/>
            </w:pPr>
            <w:r>
              <w:rPr>
                <w:sz w:val="18"/>
              </w:rPr>
              <w:t xml:space="preserve">G230</w:t>
            </w:r>
          </w:p>
        </w:tc>
        <w:tc>
          <w:tcPr/>
          <w:p>
            <w:pPr>
              <w:pStyle w:val="Compact"/>
              <w:spacing w:line="240" w:lineRule="auto"/>
            </w:pPr>
            <w:r>
              <w:rPr>
                <w:sz w:val="18"/>
              </w:rPr>
              <w:t xml:space="preserve">G236</w:t>
            </w:r>
          </w:p>
        </w:tc>
        <w:tc>
          <w:tcPr/>
          <w:p>
            <w:pPr>
              <w:pStyle w:val="Compact"/>
              <w:spacing w:line="240" w:lineRule="auto"/>
            </w:pPr>
            <w:r>
              <w:rPr>
                <w:b/>
                <w:bCs/>
                <w:sz w:val="18"/>
              </w:rPr>
              <w:t xml:space="preserve">E232</w:t>
            </w:r>
          </w:p>
        </w:tc>
        <w:tc>
          <w:tcPr/>
          <w:p>
            <w:pPr>
              <w:pStyle w:val="Compact"/>
              <w:spacing w:line="240" w:lineRule="auto"/>
            </w:pPr>
            <w:r>
              <w:rPr>
                <w:b/>
                <w:bCs/>
                <w:sz w:val="18"/>
              </w:rPr>
              <w:t xml:space="preserve">N231</w:t>
            </w:r>
          </w:p>
        </w:tc>
      </w:tr>
      <w:tr>
        <w:tc>
          <w:tcPr/>
          <w:p>
            <w:pPr>
              <w:pStyle w:val="Compact"/>
              <w:spacing w:line="240" w:lineRule="auto"/>
            </w:pPr>
          </w:p>
        </w:tc>
        <w:tc>
          <w:tcPr/>
          <w:p>
            <w:pPr>
              <w:pStyle w:val="Compact"/>
              <w:spacing w:line="240" w:lineRule="auto"/>
            </w:pPr>
            <w:r>
              <w:rPr>
                <w:sz w:val="18"/>
              </w:rPr>
              <w:t xml:space="preserve">Gly226</w:t>
            </w:r>
          </w:p>
        </w:tc>
        <w:tc>
          <w:tcPr/>
          <w:p>
            <w:pPr>
              <w:pStyle w:val="Compact"/>
              <w:spacing w:line="240" w:lineRule="auto"/>
            </w:pPr>
            <w:r>
              <w:rPr>
                <w:sz w:val="18"/>
              </w:rPr>
              <w:t xml:space="preserve">G226</w:t>
            </w:r>
          </w:p>
        </w:tc>
        <w:tc>
          <w:tcPr/>
          <w:p>
            <w:pPr>
              <w:pStyle w:val="Compact"/>
              <w:spacing w:line="240" w:lineRule="auto"/>
            </w:pPr>
            <w:r>
              <w:rPr>
                <w:sz w:val="18"/>
              </w:rPr>
              <w:t xml:space="preserve">G248</w:t>
            </w:r>
          </w:p>
        </w:tc>
        <w:tc>
          <w:tcPr/>
          <w:p>
            <w:pPr>
              <w:pStyle w:val="Compact"/>
              <w:spacing w:line="240" w:lineRule="auto"/>
            </w:pPr>
            <w:r>
              <w:rPr>
                <w:sz w:val="18"/>
              </w:rPr>
              <w:t xml:space="preserve">G238</w:t>
            </w:r>
          </w:p>
        </w:tc>
        <w:tc>
          <w:tcPr/>
          <w:p>
            <w:pPr>
              <w:pStyle w:val="Compact"/>
              <w:spacing w:line="240" w:lineRule="auto"/>
            </w:pPr>
            <w:r>
              <w:rPr>
                <w:sz w:val="18"/>
              </w:rPr>
              <w:t xml:space="preserve">G240</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c>
          <w:tcPr/>
          <w:p>
            <w:pPr>
              <w:pStyle w:val="Compact"/>
              <w:spacing w:line="240" w:lineRule="auto"/>
            </w:pPr>
            <w:r>
              <w:rPr>
                <w:sz w:val="18"/>
              </w:rPr>
              <w:t xml:space="preserve">G247</w:t>
            </w:r>
          </w:p>
        </w:tc>
        <w:tc>
          <w:tcPr/>
          <w:p>
            <w:pPr>
              <w:pStyle w:val="Compact"/>
              <w:spacing w:line="240" w:lineRule="auto"/>
            </w:pPr>
            <w:r>
              <w:rPr>
                <w:sz w:val="18"/>
              </w:rPr>
              <w:t xml:space="preserve">G238</w:t>
            </w:r>
          </w:p>
        </w:tc>
        <w:tc>
          <w:tcPr/>
          <w:p>
            <w:pPr>
              <w:pStyle w:val="Compact"/>
              <w:spacing w:line="240" w:lineRule="auto"/>
            </w:pPr>
            <w:r>
              <w:rPr>
                <w:sz w:val="18"/>
              </w:rPr>
              <w:t xml:space="preserve">G244</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r>
      <w:tr>
        <w:tc>
          <w:tcPr/>
          <w:p>
            <w:pPr>
              <w:pStyle w:val="Compact"/>
              <w:spacing w:line="240" w:lineRule="auto"/>
            </w:pPr>
            <w:r>
              <w:rPr>
                <w:sz w:val="18"/>
              </w:rPr>
              <w:t xml:space="preserve">Geometry</w:t>
            </w:r>
          </w:p>
        </w:tc>
        <w:tc>
          <w:tcPr/>
          <w:p>
            <w:pPr>
              <w:pStyle w:val="Compact"/>
              <w:spacing w:line="240" w:lineRule="auto"/>
            </w:pPr>
            <w:r>
              <w:rPr>
                <w:sz w:val="18"/>
              </w:rPr>
              <w:t xml:space="preserve">His NE2…Ser OG (Å)</w:t>
            </w:r>
          </w:p>
        </w:tc>
        <w:tc>
          <w:tcPr/>
          <w:p>
            <w:pPr>
              <w:pStyle w:val="Compact"/>
              <w:spacing w:line="240" w:lineRule="auto"/>
            </w:pPr>
            <w:r>
              <w:rPr>
                <w:sz w:val="18"/>
              </w:rPr>
              <w:t xml:space="preserve">–</w:t>
            </w:r>
          </w:p>
        </w:tc>
        <w:tc>
          <w:tcPr/>
          <w:p>
            <w:pPr>
              <w:pStyle w:val="Compact"/>
              <w:spacing w:line="240" w:lineRule="auto"/>
            </w:pPr>
            <w:r>
              <w:rPr>
                <w:sz w:val="18"/>
              </w:rPr>
              <w:t xml:space="preserve">3,12</w:t>
            </w:r>
          </w:p>
        </w:tc>
        <w:tc>
          <w:tcPr/>
          <w:p>
            <w:pPr>
              <w:pStyle w:val="Compact"/>
              <w:spacing w:line="240" w:lineRule="auto"/>
            </w:pPr>
            <w:r>
              <w:rPr>
                <w:sz w:val="18"/>
              </w:rPr>
              <w:t xml:space="preserve">3,00</w:t>
            </w:r>
          </w:p>
        </w:tc>
        <w:tc>
          <w:tcPr/>
          <w:p>
            <w:pPr>
              <w:pStyle w:val="Compact"/>
              <w:spacing w:line="240" w:lineRule="auto"/>
            </w:pPr>
            <w:r>
              <w:rPr>
                <w:sz w:val="18"/>
              </w:rPr>
              <w:t xml:space="preserve">2,95</w:t>
            </w:r>
          </w:p>
        </w:tc>
        <w:tc>
          <w:tcPr/>
          <w:p>
            <w:pPr>
              <w:pStyle w:val="Compact"/>
              <w:spacing w:line="240" w:lineRule="auto"/>
            </w:pPr>
            <w:r>
              <w:rPr>
                <w:sz w:val="18"/>
              </w:rPr>
              <w:t xml:space="preserve">2,92</w:t>
            </w:r>
          </w:p>
        </w:tc>
        <w:tc>
          <w:tcPr/>
          <w:p>
            <w:pPr>
              <w:pStyle w:val="Compact"/>
              <w:spacing w:line="240" w:lineRule="auto"/>
            </w:pPr>
            <w:r>
              <w:rPr>
                <w:sz w:val="18"/>
              </w:rPr>
              <w:t xml:space="preserve">3,00</w:t>
            </w:r>
          </w:p>
        </w:tc>
        <w:tc>
          <w:tcPr/>
          <w:p>
            <w:pPr>
              <w:pStyle w:val="Compact"/>
              <w:spacing w:line="240" w:lineRule="auto"/>
            </w:pPr>
            <w:r>
              <w:rPr>
                <w:sz w:val="18"/>
              </w:rPr>
              <w:t xml:space="preserve">3,13</w:t>
            </w:r>
          </w:p>
        </w:tc>
        <w:tc>
          <w:tcPr/>
          <w:p>
            <w:pPr>
              <w:pStyle w:val="Compact"/>
              <w:spacing w:line="240" w:lineRule="auto"/>
            </w:pPr>
            <w:r>
              <w:rPr>
                <w:sz w:val="18"/>
              </w:rPr>
              <w:t xml:space="preserve">2,98</w:t>
            </w:r>
          </w:p>
        </w:tc>
        <w:tc>
          <w:tcPr/>
          <w:p>
            <w:pPr>
              <w:pStyle w:val="Compact"/>
              <w:spacing w:line="240" w:lineRule="auto"/>
            </w:pPr>
            <w:r>
              <w:rPr>
                <w:sz w:val="18"/>
              </w:rPr>
              <w:t xml:space="preserve">2,95</w:t>
            </w:r>
          </w:p>
        </w:tc>
        <w:tc>
          <w:tcPr/>
          <w:p>
            <w:pPr>
              <w:pStyle w:val="Compact"/>
              <w:spacing w:line="240" w:lineRule="auto"/>
            </w:pPr>
            <w:r>
              <w:rPr>
                <w:sz w:val="18"/>
              </w:rPr>
              <w:t xml:space="preserve">2,95</w:t>
            </w:r>
          </w:p>
        </w:tc>
        <w:tc>
          <w:tcPr/>
          <w:p>
            <w:pPr>
              <w:pStyle w:val="Compact"/>
              <w:spacing w:line="240" w:lineRule="auto"/>
            </w:pPr>
            <w:r>
              <w:rPr>
                <w:sz w:val="18"/>
              </w:rPr>
              <w:t xml:space="preserve">3,00</w:t>
            </w:r>
          </w:p>
        </w:tc>
      </w:tr>
      <w:tr>
        <w:tc>
          <w:tcPr/>
          <w:p>
            <w:pPr>
              <w:pStyle w:val="Compact"/>
              <w:spacing w:line="240" w:lineRule="auto"/>
            </w:pPr>
          </w:p>
        </w:tc>
        <w:tc>
          <w:tcPr/>
          <w:p>
            <w:pPr>
              <w:pStyle w:val="Compact"/>
              <w:spacing w:line="240" w:lineRule="auto"/>
            </w:pPr>
            <w:r>
              <w:rPr>
                <w:sz w:val="18"/>
              </w:rPr>
              <w:t xml:space="preserve">His ND1…Asp102 OD (Å)</w:t>
            </w:r>
          </w:p>
        </w:tc>
        <w:tc>
          <w:tcPr/>
          <w:p>
            <w:pPr>
              <w:pStyle w:val="Compact"/>
              <w:spacing w:line="240" w:lineRule="auto"/>
            </w:pPr>
            <w:r>
              <w:rPr>
                <w:sz w:val="18"/>
              </w:rPr>
              <w:t xml:space="preserve">–</w:t>
            </w:r>
          </w:p>
        </w:tc>
        <w:tc>
          <w:tcPr/>
          <w:p>
            <w:pPr>
              <w:pStyle w:val="Compact"/>
              <w:spacing w:line="240" w:lineRule="auto"/>
            </w:pPr>
            <w:r>
              <w:rPr>
                <w:sz w:val="18"/>
              </w:rPr>
              <w:t xml:space="preserve">2,71</w:t>
            </w:r>
          </w:p>
        </w:tc>
        <w:tc>
          <w:tcPr/>
          <w:p>
            <w:pPr>
              <w:pStyle w:val="Compact"/>
              <w:spacing w:line="240" w:lineRule="auto"/>
            </w:pPr>
            <w:r>
              <w:rPr>
                <w:sz w:val="18"/>
              </w:rPr>
              <w:t xml:space="preserve">2,72</w:t>
            </w:r>
          </w:p>
        </w:tc>
        <w:tc>
          <w:tcPr/>
          <w:p>
            <w:pPr>
              <w:pStyle w:val="Compact"/>
              <w:spacing w:line="240" w:lineRule="auto"/>
            </w:pPr>
            <w:r>
              <w:rPr>
                <w:sz w:val="18"/>
              </w:rPr>
              <w:t xml:space="preserve">2,73</w:t>
            </w:r>
          </w:p>
        </w:tc>
        <w:tc>
          <w:tcPr/>
          <w:p>
            <w:pPr>
              <w:pStyle w:val="Compact"/>
              <w:spacing w:line="240" w:lineRule="auto"/>
            </w:pPr>
            <w:r>
              <w:rPr>
                <w:sz w:val="18"/>
              </w:rPr>
              <w:t xml:space="preserve">2,75</w:t>
            </w:r>
          </w:p>
        </w:tc>
        <w:tc>
          <w:tcPr/>
          <w:p>
            <w:pPr>
              <w:pStyle w:val="Compact"/>
              <w:spacing w:line="240" w:lineRule="auto"/>
            </w:pPr>
            <w:r>
              <w:rPr>
                <w:sz w:val="18"/>
              </w:rPr>
              <w:t xml:space="preserve">2,73</w:t>
            </w:r>
          </w:p>
        </w:tc>
        <w:tc>
          <w:tcPr/>
          <w:p>
            <w:pPr>
              <w:pStyle w:val="Compact"/>
              <w:spacing w:line="240" w:lineRule="auto"/>
            </w:pPr>
            <w:r>
              <w:rPr>
                <w:sz w:val="18"/>
              </w:rPr>
              <w:t xml:space="preserve">2,72</w:t>
            </w:r>
          </w:p>
        </w:tc>
        <w:tc>
          <w:tcPr/>
          <w:p>
            <w:pPr>
              <w:pStyle w:val="Compact"/>
              <w:spacing w:line="240" w:lineRule="auto"/>
            </w:pPr>
            <w:r>
              <w:rPr>
                <w:sz w:val="18"/>
              </w:rPr>
              <w:t xml:space="preserve">2,75</w:t>
            </w:r>
          </w:p>
        </w:tc>
        <w:tc>
          <w:tcPr/>
          <w:p>
            <w:pPr>
              <w:pStyle w:val="Compact"/>
              <w:spacing w:line="240" w:lineRule="auto"/>
            </w:pPr>
            <w:r>
              <w:rPr>
                <w:sz w:val="18"/>
              </w:rPr>
              <w:t xml:space="preserve">2,71</w:t>
            </w:r>
          </w:p>
        </w:tc>
        <w:tc>
          <w:tcPr/>
          <w:p>
            <w:pPr>
              <w:pStyle w:val="Compact"/>
              <w:spacing w:line="240" w:lineRule="auto"/>
            </w:pPr>
            <w:r>
              <w:rPr>
                <w:sz w:val="18"/>
              </w:rPr>
              <w:t xml:space="preserve">2,70</w:t>
            </w:r>
          </w:p>
        </w:tc>
        <w:tc>
          <w:tcPr/>
          <w:p>
            <w:pPr>
              <w:pStyle w:val="Compact"/>
              <w:spacing w:line="240" w:lineRule="auto"/>
            </w:pPr>
            <w:r>
              <w:rPr>
                <w:sz w:val="18"/>
              </w:rPr>
              <w:t xml:space="preserve">2,74</w:t>
            </w:r>
          </w:p>
        </w:tc>
      </w:tr>
    </w:tbl>
    <w:bookmarkEnd w:id="105"/>
    <w:bookmarkStart w:id="106"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6"/>
    <w:bookmarkEnd w:id="107"/>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101" Type="http://schemas.openxmlformats.org/officeDocument/2006/relationships/image" Target="media/rId101.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2026-10-09T19:36:27Z</dcterms:created>
  <dcterms:modified xsi:type="dcterms:W3CDTF">2026-10-09T19:36:27Z</dcterms:modified>
</cp:coreProperties>
</file>

<file path=docProps/custom.xml><?xml version="1.0" encoding="utf-8"?>
<Properties xmlns="http://schemas.openxmlformats.org/officeDocument/2006/custom-properties" xmlns:vt="http://schemas.openxmlformats.org/officeDocument/2006/docPropsVTypes"/>
</file>