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7,982 palavras no original em inglês (corpo sem tabelas, títulos e legendas; cada citação contada como uma palavra); tradução: 8,606</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337 palavras no original em inglês sem o trecho pendente (≈ 346 com ele preenchido); tradução: 382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11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69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f0d5bc329ee1a7cc01bb7b595983dadabf7878f"/>
    <w:p>
      <w:pPr>
        <w:pStyle w:val="Heading2"/>
      </w:pPr>
      <w:r>
        <w:t xml:space="preserve">Estado dos cálculos (01/10/2026, fim da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12/48 concluídas</w:t>
            </w:r>
          </w:p>
        </w:tc>
        <w:tc>
          <w:tcPr/>
          <w:p>
            <w:pPr>
              <w:pStyle w:val="Compact"/>
              <w:spacing w:line="240" w:lineRule="auto"/>
            </w:pPr>
            <w:r>
              <w:rPr>
                <w:sz w:val="18"/>
              </w:rPr>
              <w:t xml:space="preserve">triagem pré-registrada: 1 de 9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Campanha de pH · linear em pH 10 (N-terminal neutro), linear em pH 8,2 e macrociclo em pH 8,2 (72 simulações)</w:t>
            </w:r>
          </w:p>
        </w:tc>
        <w:tc>
          <w:tcPr/>
          <w:p>
            <w:pPr>
              <w:pStyle w:val="Compact"/>
              <w:spacing w:line="240" w:lineRule="auto"/>
            </w:pPr>
            <w:r>
              <w:rPr>
                <w:b/>
                <w:bCs/>
                <w:sz w:val="18"/>
              </w:rPr>
              <w:t xml:space="preserve">agendada</w:t>
            </w:r>
            <w:r>
              <w:rPr>
                <w:sz w:val="18"/>
              </w:rPr>
              <w:t xml:space="preserve"> </w:t>
            </w:r>
            <w:r>
              <w:rPr>
                <w:sz w:val="18"/>
              </w:rPr>
              <w:t xml:space="preserve">(espera o fim do pipeline)</w:t>
            </w:r>
          </w:p>
        </w:tc>
        <w:tc>
          <w:tcPr/>
          <w:p>
            <w:pPr>
              <w:pStyle w:val="Compact"/>
              <w:spacing w:line="240" w:lineRule="auto"/>
            </w:pPr>
            <w:r>
              <w:rPr>
                <w:sz w:val="18"/>
              </w:rPr>
              <w:t xml:space="preserve">comparação pareada e Figura 12 (</w:t>
            </w:r>
            <w:r>
              <w:rPr>
                <w:rStyle w:val="VerbatimChar"/>
                <w:sz w:val="18"/>
              </w:rPr>
              <w:t xml:space="preserve">compare_ph_conditions.py</w:t>
            </w:r>
            <w:r>
              <w:rPr>
                <w:sz w:val="18"/>
              </w:rPr>
              <w:t xml:space="preserve">); N-terminal neutro pela regra pH − 7,7 ≥ 2 (Grimsley 2009)</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w:t>
      </w:r>
      <w:r>
        <w:t xml:space="preserve"> </w:t>
      </w:r>
      <w:r>
        <w:t xml:space="preserve">faltam 36 simulações do E6 (40–55 min cada com a GPU compartilhada), cerca de 25 h; depois E7, E3, matriz 8 × 8, E8/E9 e, por fim, a campanha de pH (72 simulações, 2–3 dias).</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1"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w:t>
      </w:r>
      <w:r>
        <w:t xml:space="preserve"> </w:t>
      </w:r>
      <w:r>
        <w:rPr>
          <w:rStyle w:val="Pendente"/>
        </w:rPr>
        <w:t xml:space="preserve">PENDENTE: controles pareados, controle de qualidade de pose e simulações de 10 ns.</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563328"/>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56332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w:t>
      </w:r>
      <w:r>
        <w:t xml:space="preserve"> </w:t>
      </w:r>
      <w:r>
        <w:rPr>
          <w:rStyle w:val="Pendente"/>
        </w:rPr>
        <w:t xml:space="preserve">PENDENTE: depois das 48 simulações, a frente linear será repetida em pH 10 com N-terminal neutro (NH</w:t>
      </w:r>
      <w:r>
        <w:rPr>
          <w:rStyle w:val="Pendente"/>
          <w:vertAlign w:val="subscript"/>
        </w:rPr>
        <w:t xml:space="preserve">2</w:t>
      </w:r>
      <w:r>
        <w:rPr>
          <w:rStyle w:val="Pendente"/>
        </w:rPr>
        <w:t xml:space="preserve">; pKa 7,7 ± 0,5 em proteínas dobradas, Grimsley et al., 2009) e as duas frentes em pH 8,2 (o pH das outras simulações tripsina–peptídeo do nosso grupo), com a protonação das cadeias laterais recalculada em cada pH; as simulações concluídas (pH 10, NH</w:t>
      </w:r>
      <w:r>
        <w:rPr>
          <w:rStyle w:val="Pendente"/>
          <w:vertAlign w:val="subscript"/>
        </w:rPr>
        <w:t xml:space="preserve">3</w:t>
      </w:r>
      <w:r>
        <w:rPr>
          <w:rStyle w:val="Pendente"/>
          <w:vertAlign w:val="superscript"/>
        </w:rPr>
        <w:t xml:space="preserve">+</w:t>
      </w:r>
      <w:r>
        <w:rPr>
          <w:rStyle w:val="Pendente"/>
        </w:rPr>
        <w:t xml:space="preserve"> </w:t>
      </w:r>
      <w:r>
        <w:rPr>
          <w:rStyle w:val="Pendente"/>
        </w:rPr>
        <w:t xml:space="preserve">na frente linear) são o braço de referência. Acrescentar a frase de método, a comparação (Figura 12) e o texto das Seções 3.9/3.10 ao concluir.</w:t>
      </w:r>
      <w:r>
        <w:t xml:space="preserve"> </w:t>
      </w:r>
      <w:r>
        <w:t xml:space="preserve">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w:t>
      </w:r>
      <w:r>
        <w:t xml:space="preserve"> </w:t>
      </w:r>
      <w:r>
        <w:rPr>
          <w:rStyle w:val="Pendente"/>
        </w:rPr>
        <w:t xml:space="preserve">PENDENTE: distância C–N de fechamento e ω do anel nos 24 sistemas cíclicos quando todos terminarem (a Seção 3.9 e a Figura S2 trazem os três concluídos até agora).</w:t>
      </w:r>
      <w:r>
        <w:t xml:space="preserve"> </w:t>
      </w:r>
      <w:r>
        <w:t xml:space="preserve">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Depois de ver as primeiras trajetórias cíclicas, relatamos também, como descrição secundária pós-dados que não substitui o critério, a fração de quadros com |ω| ≥ 150°.</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0"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1199"/>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9600"/>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539"/>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539"/>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rStyle w:val="Pendente"/>
        </w:rPr>
        <w:t xml:space="preserve">PENDENTE: diferença pareada Δ frente a três controles embaralhados (E3) e matriz cruzada 8 × 8 do melhor candidato de cada espécie (E4); ambos rodam depois das simulações.</w:t>
      </w:r>
    </w:p>
    <w:p>
      <w:pPr>
        <w:pStyle w:val="CaptionedFigure"/>
      </w:pPr>
      <w:r>
        <w:drawing>
          <wp:inline>
            <wp:extent cx="5334000" cy="2414336"/>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336"/>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1749552"/>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1749552"/>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1988127"/>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1988127"/>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rPr>
          <w:rStyle w:val="Pendente"/>
        </w:rPr>
        <w:t xml:space="preserve">PROVISÓRIO, 1º de outubro de 2026: 12 das 48 simulações haviam terminado (linear: os três candidatos de cada uma de</w:t>
      </w:r>
      <w:r>
        <w:rPr>
          <w:rStyle w:val="Pendente"/>
        </w:rPr>
        <w:t xml:space="preserve"> </w:t>
      </w:r>
      <w:r>
        <w:rPr>
          <w:rStyle w:val="Pendente"/>
          <w:i/>
          <w:iCs/>
        </w:rPr>
        <w:t xml:space="preserve">A. gemmatalis</w:t>
      </w:r>
      <w:r>
        <w:rPr>
          <w:rStyle w:val="Pendente"/>
        </w:rPr>
        <w:t xml:space="preserve">,</w:t>
      </w:r>
      <w:r>
        <w:rPr>
          <w:rStyle w:val="Pendente"/>
        </w:rPr>
        <w:t xml:space="preserve"> </w:t>
      </w:r>
      <w:r>
        <w:rPr>
          <w:rStyle w:val="Pendente"/>
          <w:i/>
          <w:iCs/>
        </w:rPr>
        <w:t xml:space="preserve">S. frugiperda</w:t>
      </w:r>
      <w:r>
        <w:rPr>
          <w:rStyle w:val="Pendente"/>
        </w:rPr>
        <w:t xml:space="preserve"> </w:t>
      </w:r>
      <w:r>
        <w:rPr>
          <w:rStyle w:val="Pendente"/>
        </w:rPr>
        <w:t xml:space="preserve">e</w:t>
      </w:r>
      <w:r>
        <w:rPr>
          <w:rStyle w:val="Pendente"/>
        </w:rPr>
        <w:t xml:space="preserve"> </w:t>
      </w:r>
      <w:r>
        <w:rPr>
          <w:rStyle w:val="Pendente"/>
          <w:i/>
          <w:iCs/>
        </w:rPr>
        <w:t xml:space="preserve">S. litura</w:t>
      </w:r>
      <w:r>
        <w:rPr>
          <w:rStyle w:val="Pendente"/>
        </w:rPr>
        <w:t xml:space="preserve">; cíclica: os três de</w:t>
      </w:r>
      <w:r>
        <w:rPr>
          <w:rStyle w:val="Pendente"/>
        </w:rPr>
        <w:t xml:space="preserve"> </w:t>
      </w:r>
      <w:r>
        <w:rPr>
          <w:rStyle w:val="Pendente"/>
          <w:i/>
          <w:iCs/>
        </w:rPr>
        <w:t xml:space="preserve">A. gemmatalis</w:t>
      </w:r>
      <w:r>
        <w:rPr>
          <w:rStyle w:val="Pendente"/>
        </w:rPr>
        <w:t xml:space="preserve">). Esta seção deve ser reescrita quando as 48 terminarem; nenhuma afirmação por espécie ou por frente é final.</w:t>
      </w:r>
    </w:p>
    <w:p>
      <w:pPr>
        <w:pStyle w:val="BodyText"/>
      </w:pPr>
      <w:r>
        <w:t xml:space="preserve">Das nove simulações lineares analisadas, uma passou na triagem (Figura 11C): NGGRPDAP de</w:t>
      </w:r>
      <w:r>
        <w:t xml:space="preserve"> </w:t>
      </w:r>
      <w:r>
        <w:rPr>
          <w:i/>
          <w:iCs/>
        </w:rPr>
        <w:t xml:space="preserve">A. gemmatalis</w:t>
      </w:r>
      <w:r>
        <w:t xml:space="preserve">, com Arg4 como âncora nas duas metades, ocupância de S1 de 1,00 a 5 Å nas duas metades, distância âncora–Asp189 de 2,7 Å do início ao fim e RMSD local do peptídeo de 0,21 nm (Figura 11A,B). GTDEN (</w:t>
      </w:r>
      <w:r>
        <w:rPr>
          <w:i/>
          <w:iCs/>
        </w:rPr>
        <w:t xml:space="preserve">A. gemmatalis</w:t>
      </w:r>
      <w:r>
        <w:t xml:space="preserve">) manteve o Glu4 perto de S1 em 61% e 63% dos quadros das duas metades, com a mesma âncora, e falhou na ocupância. Os outros sete candidatos lineares tiveram ocupância na segunda metade de no máximo 0,07; em GGSQSS, GISGS e QAPDFPTGPNNS a distância âncora–Asp189 subiu de 5,4–9,0 Å no início para 9,0–14,1 Å no fim, e em GISGS a âncora mudou de identidade entre as metades. Nenhum candidato de</w:t>
      </w:r>
      <w:r>
        <w:t xml:space="preserve"> </w:t>
      </w:r>
      <w:r>
        <w:rPr>
          <w:i/>
          <w:iCs/>
        </w:rPr>
        <w:t xml:space="preserve">S. frugiperda</w:t>
      </w:r>
      <w:r>
        <w:t xml:space="preserve"> </w:t>
      </w:r>
      <w:r>
        <w:t xml:space="preserve">ou de</w:t>
      </w:r>
      <w:r>
        <w:t xml:space="preserve"> </w:t>
      </w:r>
      <w:r>
        <w:rPr>
          <w:i/>
          <w:iCs/>
        </w:rPr>
        <w:t xml:space="preserve">S. litura</w:t>
      </w:r>
      <w:r>
        <w:t xml:space="preserve"> </w:t>
      </w:r>
      <w:r>
        <w:t xml:space="preserve">teve a âncora a menos de 5 Å do Asp189 na segunda metade. Nas 12 simulações concluídas, lineares e cíclicas, o peptídeo permaneceu a menos de 4,5 Å do receptor em todos os quadros; sair de S1 não significou dissociar. O contato com a serina catalítica (0,70–1,00 dos quadros) e com a histidina catalítica (0,54–1,00) ocorreu mesmo com a âncora longe de S1, de modo que essas duas medidas não discriminam os candidatos.</w:t>
      </w:r>
    </w:p>
    <w:p>
      <w:pPr>
        <w:pStyle w:val="BodyText"/>
      </w:pPr>
      <w:r>
        <w:t xml:space="preserve">Nenhum dos três candidatos cíclicos de</w:t>
      </w:r>
      <w:r>
        <w:t xml:space="preserve"> </w:t>
      </w:r>
      <w:r>
        <w:rPr>
          <w:i/>
          <w:iCs/>
        </w:rPr>
        <w:t xml:space="preserve">A. gemmatalis</w:t>
      </w:r>
      <w:r>
        <w:t xml:space="preserve"> </w:t>
      </w:r>
      <w:r>
        <w:t xml:space="preserve">passou. GGKPGEP manteve a Lys3 a 2,7 Å do Asp189 em toda a trajetória (ocupância 1,00 nas duas metades) e falhou apenas no critério do anel; GGSQSS (0,17 na primeira metade, 0,00 na segunda) e GGSDHT (0,54; 0,00) saíram do bolso. Nos três anéis a distância C–N de fechamento ficou em no máximo 1,45 Å, mas o ω de fechamento caiu a 144,5°, 147,7° e 149,0° em ao menos um quadro, abaixo dos 150° do critério pré-registrado, que o exige em todos os quadros; o critério foi aplicado como declarado. Descritivamente, |ω| foi de ao menos 150° em 99,6–99,8% dos quadros e nunca ficou abaixo de 140° (Figura S2); o critério permanece como registrado, e a fração de quadros é relatada apenas como descrição pós-dados. Os dois candidatos que permaneceram em S1 são os que têm um resíduo básico como âncora, ambos seguidos de prolina e portanto permitidos pelo critério duro (Seção 2.6), e ambos começaram com o peptídeo a ≤3,5 Å do Asp189; os quatro candidatos que começaram a 4,1–4,3 Å sem resíduo básico terminaram com ocupâncias de 0,00–0,63. Com uma réplica de 10 ns por candidato, são descrições de trajetórias únicas.</w:t>
      </w:r>
    </w:p>
    <w:p>
      <w:pPr>
        <w:pStyle w:val="CaptionedFigure"/>
      </w:pPr>
      <w:r>
        <w:drawing>
          <wp:inline>
            <wp:extent cx="5334000" cy="3243072"/>
            <wp:effectExtent b="0" l="0" r="0" t="0"/>
            <wp:docPr descr="Figura 11. Simulações de triagem de 10 ns (CHARMM36, pH 10, 300 K, uma réplica cada; provisório: 12 de 48 concluídas em 1º de outubro de 2026).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 “ring ✗” marca macrociclos que falharam no critério do anel (C–N ≤ 1,5 Å e ω ≥ 150° em todos os quadros)."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provisório: 12 de 48 concluídas em 1º de outubro de 2026).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w:t>
      </w:r>
      <w:r>
        <w:t xml:space="preserve"> </w:t>
      </w:r>
      <w:r>
        <w:t xml:space="preserve">“ring ✗”</w:t>
      </w:r>
      <w:r>
        <w:t xml:space="preserve"> </w:t>
      </w:r>
      <w:r>
        <w:t xml:space="preserve">marca macrociclos que falharam no critério do anel (C–N ≤ 1,5 Å e ω ≥ 150° em todos os quadros).</w:t>
      </w:r>
    </w:p>
    <w:bookmarkEnd w:id="68"/>
    <w:bookmarkStart w:id="69" w:name="frente-linear-versus-frente-macrocíclica"/>
    <w:p>
      <w:pPr>
        <w:pStyle w:val="Heading3"/>
      </w:pPr>
      <w:r>
        <w:t xml:space="preserve">3.10 Frente linear versus frente macrocíclica</w:t>
      </w:r>
    </w:p>
    <w:p>
      <w:pPr>
        <w:pStyle w:val="FirstParagraph"/>
      </w:pPr>
      <w:r>
        <w:rPr>
          <w:rStyle w:val="Pendente"/>
        </w:rPr>
        <w:t xml:space="preserve">PROVISÓRIO, 1º de outubro de 2026.</w:t>
      </w:r>
      <w:r>
        <w:t xml:space="preserve"> </w:t>
      </w:r>
      <w:r>
        <w:t xml:space="preserve">Dos 24 candidatos finais por frente, três sequências coincidem na mesma espécie: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Só GGSQSS foi simulada nas duas formas até agora, e saiu de S1 nas duas (ocupância na segunda metade de 0,07 na linear e 0,00 na cíclica; âncora Gln4).</w:t>
      </w:r>
      <w:r>
        <w:t xml:space="preserve"> </w:t>
      </w:r>
      <w:r>
        <w:rPr>
          <w:rStyle w:val="Pendente"/>
        </w:rPr>
        <w:t xml:space="preserve">PENDENTE: sobreposição e diferença na ocupância de S1 entre a forma linear e a cíclica da mesma sequência quando as 48 simulações terminarem.</w:t>
      </w:r>
    </w:p>
    <w:p>
      <w:r>
        <w:pict>
          <v:rect style="width:0;height:1.5pt" o:hralign="center" o:hrstd="t" o:hr="t"/>
        </w:pict>
      </w:r>
    </w:p>
    <w:bookmarkEnd w:id="69"/>
    <w:bookmarkEnd w:id="70"/>
    <w:bookmarkStart w:id="76" w:name="discussão"/>
    <w:p>
      <w:pPr>
        <w:pStyle w:val="Heading2"/>
      </w:pPr>
      <w:r>
        <w:t xml:space="preserve">4 Discussão</w:t>
      </w:r>
    </w:p>
    <w:bookmarkStart w:id="71"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w:t>
      </w:r>
      <w:r>
        <w:t xml:space="preserve"> </w:t>
      </w:r>
      <w:r>
        <w:rPr>
          <w:rStyle w:val="Pendente"/>
        </w:rPr>
        <w:t xml:space="preserve">FRASE DEPENDENTE DA MD: resultado da triagem de duas frentes e das simulações de 10 ns, a escrever quando as Seções 3.8–3.10 estiverem completas</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1"/>
    <w:bookmarkStart w:id="72"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2"/>
    <w:bookmarkStart w:id="73"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73"/>
    <w:bookmarkStart w:id="74"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bookmarkEnd w:id="74"/>
    <w:bookmarkStart w:id="75"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75"/>
    <w:bookmarkEnd w:id="76"/>
    <w:bookmarkStart w:id="77"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77"/>
    <w:bookmarkStart w:id="78"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78"/>
    <w:bookmarkStart w:id="79"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79"/>
    <w:bookmarkStart w:id="80" w:name="financiamento"/>
    <w:p>
      <w:pPr>
        <w:pStyle w:val="Heading2"/>
      </w:pPr>
      <w:r>
        <w:t xml:space="preserve">Financiamento</w:t>
      </w:r>
    </w:p>
    <w:p>
      <w:pPr>
        <w:pStyle w:val="FirstParagraph"/>
      </w:pPr>
      <w:r>
        <w:rPr>
          <w:rStyle w:val="Pendente"/>
        </w:rPr>
        <w:t xml:space="preserve">PENDENTE: a completar pelos autores.</w:t>
      </w:r>
    </w:p>
    <w:bookmarkEnd w:id="80"/>
    <w:bookmarkStart w:id="81"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1"/>
    <w:bookmarkStart w:id="82" w:name="conflito-de-interesses"/>
    <w:p>
      <w:pPr>
        <w:pStyle w:val="Heading2"/>
      </w:pPr>
      <w:r>
        <w:t xml:space="preserve">Conflito de interesses</w:t>
      </w:r>
    </w:p>
    <w:p>
      <w:pPr>
        <w:pStyle w:val="FirstParagraph"/>
      </w:pPr>
      <w:r>
        <w:rPr>
          <w:rStyle w:val="Pendente"/>
        </w:rPr>
        <w:t xml:space="preserve">PENDENTE: a completar pelos autores.</w:t>
      </w:r>
    </w:p>
    <w:bookmarkEnd w:id="82"/>
    <w:bookmarkStart w:id="89"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84" name="Picture"/>
            <a:graphic>
              <a:graphicData uri="http://schemas.openxmlformats.org/drawingml/2006/picture">
                <pic:pic>
                  <pic:nvPicPr>
                    <pic:cNvPr descr="figures/pt/figS1_regras_motivo.png" id="85" name="Picture"/>
                    <pic:cNvPicPr>
                      <a:picLocks noChangeArrowheads="1" noChangeAspect="1"/>
                    </pic:cNvPicPr>
                  </pic:nvPicPr>
                  <pic:blipFill>
                    <a:blip r:embed="rId83"/>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140479"/>
            <wp:effectExtent b="0" l="0" r="0" t="0"/>
            <wp:docPr descr="Figura S2. Integridade do anel nas três simulações cíclicas com CHARMM36 concluídas até agora (A. gemmatalis, 10 ns): distância C–N de fechamento, ângulo ω de fechamento em valor absoluto ao longo do tempo e distribuição de ω. Linhas tracejadas: limites pré-registrados (C–N ≤ 1,5 Å, ω ≥ 150°). A versão anterior desta figura usava outro campo de força e foi retirada." title="" id="87" name="Picture"/>
            <a:graphic>
              <a:graphicData uri="http://schemas.openxmlformats.org/drawingml/2006/picture">
                <pic:pic>
                  <pic:nvPicPr>
                    <pic:cNvPr descr="figures/pt/figS2_anel_ciclico_charmm36.png" id="88" name="Picture"/>
                    <pic:cNvPicPr>
                      <a:picLocks noChangeArrowheads="1" noChangeAspect="1"/>
                    </pic:cNvPicPr>
                  </pic:nvPicPr>
                  <pic:blipFill>
                    <a:blip r:embed="rId86"/>
                    <a:stretch>
                      <a:fillRect/>
                    </a:stretch>
                  </pic:blipFill>
                  <pic:spPr bwMode="auto">
                    <a:xfrm>
                      <a:off x="0" y="0"/>
                      <a:ext cx="3959999" cy="1140479"/>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com CHARMM36 concluídas até agora (</w:t>
      </w:r>
      <w:r>
        <w:rPr>
          <w:i/>
          <w:iCs/>
        </w:rPr>
        <w:t xml:space="preserve">A. gemmatalis</w:t>
      </w:r>
      <w:r>
        <w:t xml:space="preserve">, 10 ns): distância C–N de fechamento, ângulo ω de fechamento em valor absoluto ao longo do tempo e distribuição de ω. Linhas tracejadas: limites pré-registrados (C–N ≤ 1,5 Å, ω ≥ 150°). A versão anterior desta figura usava outro campo de força e foi retirada.</w:t>
      </w:r>
    </w:p>
    <w:bookmarkEnd w:id="89"/>
    <w:bookmarkStart w:id="90"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0"/>
    <w:bookmarkEnd w:id="91"/>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83" Type="http://schemas.openxmlformats.org/officeDocument/2006/relationships/image" Target="media/rId83.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2026-10-01T18:49:02Z</dcterms:created>
  <dcterms:modified xsi:type="dcterms:W3CDTF">2026-10-01T18:49:02Z</dcterms:modified>
</cp:coreProperties>
</file>

<file path=docProps/custom.xml><?xml version="1.0" encoding="utf-8"?>
<Properties xmlns="http://schemas.openxmlformats.org/officeDocument/2006/custom-properties" xmlns:vt="http://schemas.openxmlformats.org/officeDocument/2006/docPropsVTypes"/>
</file>