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8,855 palavras no original em inglês (corpo sem tabelas, títulos e legendas; cada citação contada como uma palavra); tradução: 9,504</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 linear em pH 10 (N-terminal neutro), linear em pH 8,2 e macrociclo em pH 8,2 (72 simulações)</w:t>
            </w:r>
          </w:p>
        </w:tc>
        <w:tc>
          <w:tcPr/>
          <w:p>
            <w:pPr>
              <w:pStyle w:val="Compact"/>
              <w:spacing w:line="240" w:lineRule="auto"/>
            </w:pPr>
            <w:r>
              <w:rPr>
                <w:b/>
                <w:bCs/>
                <w:sz w:val="18"/>
              </w:rPr>
              <w:t xml:space="preserve">agendada</w:t>
            </w:r>
            <w:r>
              <w:rPr>
                <w:sz w:val="18"/>
              </w:rPr>
              <w:t xml:space="preserve"> </w:t>
            </w:r>
            <w:r>
              <w:rPr>
                <w:sz w:val="18"/>
              </w:rPr>
              <w:t xml:space="preserve">(espera o fim do pipeline)</w:t>
            </w:r>
          </w:p>
        </w:tc>
        <w:tc>
          <w:tcPr/>
          <w:p>
            <w:pPr>
              <w:pStyle w:val="Compact"/>
              <w:spacing w:line="240" w:lineRule="auto"/>
            </w:pPr>
            <w:r>
              <w:rPr>
                <w:sz w:val="18"/>
              </w:rPr>
              <w:t xml:space="preserve">comparação pareada e Figura 12 (</w:t>
            </w:r>
            <w:r>
              <w:rPr>
                <w:rStyle w:val="VerbatimChar"/>
                <w:sz w:val="18"/>
              </w:rPr>
              <w:t xml:space="preserve">compare_ph_conditions.py</w:t>
            </w:r>
            <w:r>
              <w:rPr>
                <w:sz w:val="18"/>
              </w:rPr>
              <w:t xml:space="preserve">); N-terminal neutro pela regra pH − 7,7 ≥ 2 (Grimsley 2009)</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36 simulações do E6 (40–55 min cada com a GPU compartilhada), cerca de 25 h; depois E7, E3, matriz 8 × 8, E8/E9 e, por fim, a campanha de pH (72 simulações, 2–3 dias).</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6"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depois das 48 simulações, a frente linear será repetida em pH 10 com N-terminal neutro (NH</w:t>
      </w:r>
      <w:r>
        <w:rPr>
          <w:rStyle w:val="Pendente"/>
          <w:vertAlign w:val="subscript"/>
        </w:rPr>
        <w:t xml:space="preserve">2</w:t>
      </w:r>
      <w:r>
        <w:rPr>
          <w:rStyle w:val="Pendente"/>
        </w:rPr>
        <w:t xml:space="preserve">; pKa 7,7 ± 0,5 em proteínas dobradas, Grimsley et al., 2009) e as duas frentes em pH 8,2 (o pH das outras simulações tripsina–peptídeo do nosso grupo), com a protonação das cadeias laterais recalculada em cada pH; as simulações concluídas (pH 10,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na frente linear) são o braço de referência. Acrescentar a frase de método, a comparação (Figura 12) e o texto das Seções 3.9/3.10 ao concluir.</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mesmos critérios, sem limiares novos (Seção 3.12).</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5"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16 das 48 simulações haviam terminado e sido analisadas (13 de 24 lineares, 3 de 24 cíclicas). Esta seção deve ser reescrita quando as 48 terminarem; nenhuma afirmação por espécie ou por frente é final.</w:t>
      </w:r>
    </w:p>
    <w:p>
      <w:pPr>
        <w:pStyle w:val="BodyText"/>
      </w:pPr>
      <w:r>
        <w:t xml:space="preserve">Das treze simulações lineares analisadas, duas passaram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e GQNDS de</w:t>
      </w:r>
      <w:r>
        <w:t xml:space="preserve"> </w:t>
      </w:r>
      <w:r>
        <w:rPr>
          <w:i/>
          <w:iCs/>
        </w:rPr>
        <w:t xml:space="preserve">O. nubilalis</w:t>
      </w:r>
      <w:r>
        <w:t xml:space="preserve">, com Gln2 como âncora nas duas metades e ocupância 1,00 nas duas. GTDEN (</w:t>
      </w:r>
      <w:r>
        <w:rPr>
          <w:i/>
          <w:iCs/>
        </w:rPr>
        <w:t xml:space="preserve">A. gemmatalis</w:t>
      </w:r>
      <w:r>
        <w:t xml:space="preserve">) manteve o Glu4 perto de S1 em 61% e 63% dos quadros das duas metades, com a mesma âncora, e falhou na ocupância. Os outros onze candidatos lineares tiveram ocupância na segunda metade de no máximo 0,63;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16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Com uma réplica de 10 ns por candidato, são descrições de trajetórias únicas.</w:t>
      </w:r>
    </w:p>
    <w:p>
      <w:pPr>
        <w:pStyle w:val="BodyText"/>
      </w:pPr>
      <w:r>
        <w:rPr>
          <w:i/>
          <w:iCs/>
        </w:rPr>
        <w:t xml:space="preserve">Quem decide o resultado é a pose inicial, não a química da âncora.</w:t>
      </w:r>
      <w:r>
        <w:t xml:space="preserve"> </w:t>
      </w:r>
      <w:r>
        <w:t xml:space="preserve">Nas dezesseis simulações concluídas, ocupância de S1 de pelo menos 0,70 na segunda metade ocorreu exatamente nos três sistemas cujo peptídeo partiu a menos de 3,5 Å do carboxilato do Asp189 (2,5, 3,2 e 3,5 Å; ocupância 1,00 nos três) e em nenhum dos treze que partiram de 4,1 Å ou mais (ocupância 0,00–0,63; distância inicial mediana 5,1 Å). A identidade da âncora não os separa: os três são uma glutamina, uma lisina e uma arginina, e aquele com a pose inicial mais próxima, GQNDS, não tem nenhum resíduo básico. Dez nanossegundos, portanto, em boa medida repetem a pose que o Boltz-2 propôs, em vez de acrescentar evidência independente dela: a triagem mede se uma pose que já está em S1 sobrevive, e um candidato colocado a 5 Å não recebe tempo para encontrar o bolso. Isso é uma propriedade do desenho da triagem, aqui declarada, e vale igualmente para os candidatos que não passaram.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estão em execução e serão relatados com as camadas finais.</w:t>
      </w:r>
    </w:p>
    <w:p>
      <w:pPr>
        <w:pStyle w:val="CaptionedFigure"/>
      </w:pPr>
      <w:r>
        <w:drawing>
          <wp:inline>
            <wp:extent cx="5334000" cy="3243072"/>
            <wp:effectExtent b="0" l="0" r="0" t="0"/>
            <wp:docPr descr="Figura 11. Simulações de triagem de 10 ns (CHARMM36, pH 10, 300 K, uma réplica cada; provisório: 16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16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0" w:name="efeito-do-ph-e-da-carga-do-n-terminal"/>
    <w:p>
      <w:pPr>
        <w:pStyle w:val="Heading3"/>
      </w:pPr>
      <w:r>
        <w:t xml:space="preserve">3.11 Efeito do pH e da carga do N-terminal</w:t>
      </w:r>
    </w:p>
    <w:p>
      <w:pPr>
        <w:pStyle w:val="FirstParagraph"/>
      </w:pPr>
      <w:r>
        <w:rPr>
          <w:rStyle w:val="Pendente"/>
        </w:rPr>
        <w:t xml:space="preserve">PENDENTE: comparação pareada das simulações de triagem em pH 10,0 (linear com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e com N-terminal neutro; macrociclo) e em pH 8,2 (linear e macrociclo), com o número de candidatos que passam na triagem, a mudança da ocupância de S1 por candidato e o custo computacional por condição (Figura 12;</w:t>
      </w:r>
      <w:r>
        <w:rPr>
          <w:rStyle w:val="Pendente"/>
        </w:rPr>
        <w:t xml:space="preserve"> </w:t>
      </w:r>
      <w:r>
        <w:rPr>
          <w:rStyle w:val="VerbatimChar"/>
        </w:rPr>
        <w:t xml:space="preserve">compare_ph_conditions.py</w:t>
      </w:r>
      <w:r>
        <w:rPr>
          <w:rStyle w:val="Pendente"/>
        </w:rPr>
        <w:t xml:space="preserve">). Uma réplica de 10 ns por candidato: relatar tendências entre candidatos, não diferenças por candidato.</w:t>
      </w:r>
    </w:p>
    <w:bookmarkEnd w:id="70"/>
    <w:bookmarkStart w:id="74" w:name="peptídeos-candidatos-finais"/>
    <w:p>
      <w:pPr>
        <w:pStyle w:val="Heading3"/>
      </w:pPr>
      <w:r>
        <w:t xml:space="preserve">3.12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apenas os critérios declarados antes das simulações (Seção 2.9): a camada A cumpre todos os critérios disponíveis (ocupância de S1, mesma âncora nas duas metades, controle de qualidade de pose, diferença pareada positiva contra controles embaralhados e, nos macrociclos, o critério estrito do anel); a camada B cumpre o critério de S1 e falha exatamente um dos demais; a camada C não tem ancoragem de S1 confirmada em 10 ns; a camada P aguarda a simulação. Dentro da camada a ordem é a ocupância de S1, depois a diferença pareada, depois a confiança do Boltz-2 (Figura 13). Com 12 das 48 simulações concluídas e o E3 ainda não rodado, um candidato linear (NGGRPDAP,</w:t>
      </w:r>
      <w:r>
        <w:t xml:space="preserve"> </w:t>
      </w:r>
      <w:r>
        <w:rPr>
          <w:i/>
          <w:iCs/>
        </w:rPr>
        <w:t xml:space="preserve">A. gemmatalis</w:t>
      </w:r>
      <w:r>
        <w:t xml:space="preserve">; Arg4 em S1, ocupância 1,00 nas duas metades) está na camada A e um cíclico (GGKPGEP,</w:t>
      </w:r>
      <w:r>
        <w:t xml:space="preserve"> </w:t>
      </w:r>
      <w:r>
        <w:rPr>
          <w:i/>
          <w:iCs/>
        </w:rPr>
        <w:t xml:space="preserve">A. gemmatalis</w:t>
      </w:r>
      <w:r>
        <w:t xml:space="preserve">; Lys3 em S1) está na camada B porque falha só no critério estrito do anel (|ω| ≥ 150° em 99,6% dos quadros); ambos são provisórios até o E3.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897923"/>
            <wp:effectExtent b="0" l="0" r="0" t="0"/>
            <wp:docPr descr="Figura 13. 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2" name="Picture"/>
            <a:graphic>
              <a:graphicData uri="http://schemas.openxmlformats.org/drawingml/2006/picture">
                <pic:pic>
                  <pic:nvPicPr>
                    <pic:cNvPr descr="figures/pt/fig13_candidatos_finais.png" id="73" name="Picture"/>
                    <pic:cNvPicPr>
                      <a:picLocks noChangeArrowheads="1" noChangeAspect="1"/>
                    </pic:cNvPicPr>
                  </pic:nvPicPr>
                  <pic:blipFill>
                    <a:blip r:embed="rId71"/>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4"/>
    <w:bookmarkEnd w:id="75"/>
    <w:bookmarkStart w:id="81" w:name="discussão"/>
    <w:p>
      <w:pPr>
        <w:pStyle w:val="Heading2"/>
      </w:pPr>
      <w:r>
        <w:t xml:space="preserve">4 Discussão</w:t>
      </w:r>
    </w:p>
    <w:bookmarkStart w:id="76"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6"/>
    <w:bookmarkStart w:id="77"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7"/>
    <w:bookmarkStart w:id="78"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8"/>
    <w:bookmarkStart w:id="79"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candidatos que passaram partiram a menos de 3,5 Å do Asp189, enquanto os que partiram a 4,1–4,3 Å não passaram.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9"/>
    <w:bookmarkStart w:id="80"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0"/>
    <w:bookmarkEnd w:id="81"/>
    <w:bookmarkStart w:id="82"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2"/>
    <w:bookmarkStart w:id="83"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3"/>
    <w:bookmarkStart w:id="84"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4"/>
    <w:bookmarkStart w:id="85" w:name="financiamento"/>
    <w:p>
      <w:pPr>
        <w:pStyle w:val="Heading2"/>
      </w:pPr>
      <w:r>
        <w:t xml:space="preserve">Financiamento</w:t>
      </w:r>
    </w:p>
    <w:p>
      <w:pPr>
        <w:pStyle w:val="FirstParagraph"/>
      </w:pPr>
      <w:r>
        <w:rPr>
          <w:rStyle w:val="Pendente"/>
        </w:rPr>
        <w:t xml:space="preserve">PENDENTE: a completar pelos autores.</w:t>
      </w:r>
    </w:p>
    <w:bookmarkEnd w:id="85"/>
    <w:bookmarkStart w:id="86"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6"/>
    <w:bookmarkStart w:id="87" w:name="conflito-de-interesses"/>
    <w:p>
      <w:pPr>
        <w:pStyle w:val="Heading2"/>
      </w:pPr>
      <w:r>
        <w:t xml:space="preserve">Conflito de interesses</w:t>
      </w:r>
    </w:p>
    <w:p>
      <w:pPr>
        <w:pStyle w:val="FirstParagraph"/>
      </w:pPr>
      <w:r>
        <w:rPr>
          <w:rStyle w:val="Pendente"/>
        </w:rPr>
        <w:t xml:space="preserve">PENDENTE: a completar pelos autores.</w:t>
      </w:r>
    </w:p>
    <w:bookmarkEnd w:id="87"/>
    <w:bookmarkStart w:id="94"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9" name="Picture"/>
            <a:graphic>
              <a:graphicData uri="http://schemas.openxmlformats.org/drawingml/2006/picture">
                <pic:pic>
                  <pic:nvPicPr>
                    <pic:cNvPr descr="figures/pt/figS1_regras_motivo.png" id="90" name="Picture"/>
                    <pic:cNvPicPr>
                      <a:picLocks noChangeArrowheads="1" noChangeAspect="1"/>
                    </pic:cNvPicPr>
                  </pic:nvPicPr>
                  <pic:blipFill>
                    <a:blip r:embed="rId8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2" name="Picture"/>
            <a:graphic>
              <a:graphicData uri="http://schemas.openxmlformats.org/drawingml/2006/picture">
                <pic:pic>
                  <pic:nvPicPr>
                    <pic:cNvPr descr="figures/pt/figS2_anel_ciclico_charmm36.png" id="93" name="Picture"/>
                    <pic:cNvPicPr>
                      <a:picLocks noChangeArrowheads="1" noChangeAspect="1"/>
                    </pic:cNvPicPr>
                  </pic:nvPicPr>
                  <pic:blipFill>
                    <a:blip r:embed="rId91"/>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4"/>
    <w:bookmarkStart w:id="95"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5"/>
    <w:bookmarkEnd w:id="96"/>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1" Type="http://schemas.openxmlformats.org/officeDocument/2006/relationships/image" Target="media/rId71.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8" Type="http://schemas.openxmlformats.org/officeDocument/2006/relationships/image" Target="media/rId88.png"/><Relationship Id="rId91" Type="http://schemas.openxmlformats.org/officeDocument/2006/relationships/image" Target="media/rId9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2026-10-02T01:06:11Z</dcterms:created>
  <dcterms:modified xsi:type="dcterms:W3CDTF">2026-10-02T01:06:11Z</dcterms:modified>
</cp:coreProperties>
</file>

<file path=docProps/custom.xml><?xml version="1.0" encoding="utf-8"?>
<Properties xmlns="http://schemas.openxmlformats.org/officeDocument/2006/custom-properties" xmlns:vt="http://schemas.openxmlformats.org/officeDocument/2006/docPropsVTypes"/>
</file>