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8,855 palavras no original em inglês (corpo sem tabelas, títulos e legendas; cada citação contada como uma palavra); tradução: 9,504</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12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69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f0d5bc329ee1a7cc01bb7b595983dadabf7878f"/>
    <w:p>
      <w:pPr>
        <w:pStyle w:val="Heading2"/>
      </w:pPr>
      <w:r>
        <w:t xml:space="preserve">Estado dos cálculos (01/10/2026, fim da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12/48 concluídas</w:t>
            </w:r>
          </w:p>
        </w:tc>
        <w:tc>
          <w:tcPr/>
          <w:p>
            <w:pPr>
              <w:pStyle w:val="Compact"/>
              <w:spacing w:line="240" w:lineRule="auto"/>
            </w:pPr>
            <w:r>
              <w:rPr>
                <w:sz w:val="18"/>
              </w:rPr>
              <w:t xml:space="preserve">triagem pré-registrada: 1 de 9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Campanha de pH · linear em pH 10 (N-terminal neutro), linear em pH 8,2 e macrociclo em pH 8,2 (72 simulações)</w:t>
            </w:r>
          </w:p>
        </w:tc>
        <w:tc>
          <w:tcPr/>
          <w:p>
            <w:pPr>
              <w:pStyle w:val="Compact"/>
              <w:spacing w:line="240" w:lineRule="auto"/>
            </w:pPr>
            <w:r>
              <w:rPr>
                <w:b/>
                <w:bCs/>
                <w:sz w:val="18"/>
              </w:rPr>
              <w:t xml:space="preserve">agendada</w:t>
            </w:r>
            <w:r>
              <w:rPr>
                <w:sz w:val="18"/>
              </w:rPr>
              <w:t xml:space="preserve"> </w:t>
            </w:r>
            <w:r>
              <w:rPr>
                <w:sz w:val="18"/>
              </w:rPr>
              <w:t xml:space="preserve">(espera o fim do pipeline)</w:t>
            </w:r>
          </w:p>
        </w:tc>
        <w:tc>
          <w:tcPr/>
          <w:p>
            <w:pPr>
              <w:pStyle w:val="Compact"/>
              <w:spacing w:line="240" w:lineRule="auto"/>
            </w:pPr>
            <w:r>
              <w:rPr>
                <w:sz w:val="18"/>
              </w:rPr>
              <w:t xml:space="preserve">comparação pareada e Figura 12 (</w:t>
            </w:r>
            <w:r>
              <w:rPr>
                <w:rStyle w:val="VerbatimChar"/>
                <w:sz w:val="18"/>
              </w:rPr>
              <w:t xml:space="preserve">compare_ph_conditions.py</w:t>
            </w:r>
            <w:r>
              <w:rPr>
                <w:sz w:val="18"/>
              </w:rPr>
              <w:t xml:space="preserve">); N-terminal neutro pela regra pH − 7,7 ≥ 2 (Grimsley 2009)</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w:t>
      </w:r>
      <w:r>
        <w:t xml:space="preserve"> </w:t>
      </w:r>
      <w:r>
        <w:t xml:space="preserve">faltam 36 simulações do E6 (40–55 min cada com a GPU compartilhada), cerca de 25 h; depois E7, E3, matriz 8 × 8, E8/E9 e, por fim, a campanha de pH (72 simulações, 2–3 dias).</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6"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w:t>
      </w:r>
      <w:r>
        <w:t xml:space="preserve"> </w:t>
      </w:r>
      <w:r>
        <w:rPr>
          <w:rStyle w:val="Pendente"/>
        </w:rPr>
        <w:t xml:space="preserve">PENDENTE: depois das 48 simulações, a frente linear será repetida em pH 10 com N-terminal neutro (NH</w:t>
      </w:r>
      <w:r>
        <w:rPr>
          <w:rStyle w:val="Pendente"/>
          <w:vertAlign w:val="subscript"/>
        </w:rPr>
        <w:t xml:space="preserve">2</w:t>
      </w:r>
      <w:r>
        <w:rPr>
          <w:rStyle w:val="Pendente"/>
        </w:rPr>
        <w:t xml:space="preserve">; pKa 7,7 ± 0,5 em proteínas dobradas, Grimsley et al., 2009) e as duas frentes em pH 8,2 (o pH das outras simulações tripsina–peptídeo do nosso grupo), com a protonação das cadeias laterais recalculada em cada pH; as simulações concluídas (pH 10, NH</w:t>
      </w:r>
      <w:r>
        <w:rPr>
          <w:rStyle w:val="Pendente"/>
          <w:vertAlign w:val="subscript"/>
        </w:rPr>
        <w:t xml:space="preserve">3</w:t>
      </w:r>
      <w:r>
        <w:rPr>
          <w:rStyle w:val="Pendente"/>
          <w:vertAlign w:val="superscript"/>
        </w:rPr>
        <w:t xml:space="preserve">+</w:t>
      </w:r>
      <w:r>
        <w:rPr>
          <w:rStyle w:val="Pendente"/>
        </w:rPr>
        <w:t xml:space="preserve"> </w:t>
      </w:r>
      <w:r>
        <w:rPr>
          <w:rStyle w:val="Pendente"/>
        </w:rPr>
        <w:t xml:space="preserve">na frente linear) são o braço de referência. Acrescentar a frase de método, a comparação (Figura 12) e o texto das Seções 3.9/3.10 ao concluir.</w:t>
      </w:r>
      <w:r>
        <w:t xml:space="preserve"> </w:t>
      </w:r>
      <w:r>
        <w:t xml:space="preserve">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w:t>
      </w:r>
      <w:r>
        <w:t xml:space="preserve"> </w:t>
      </w:r>
      <w:r>
        <w:rPr>
          <w:rStyle w:val="Pendente"/>
        </w:rPr>
        <w:t xml:space="preserve">PENDENTE: distância C–N de fechamento e ω do anel nos 24 sistemas cíclicos quando todos terminarem (a Seção 3.9 e a Figura S2 trazem os três concluídos até agora).</w:t>
      </w:r>
      <w:r>
        <w:t xml:space="preserve"> </w:t>
      </w:r>
      <w:r>
        <w:t xml:space="preserve">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A distância âncora–Asp189 também é relatada para uma janela inicial (os primeiros 4% da trajetória, 0,4 ns de 10 ns) e uma janela final (os últimos 20%, 2 ns de 10 ns); a mesma janela final é usada no RMSD do peptídeo ao fim da trajetória.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mesmos critérios, sem limiares novos (Seção 3.12).</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5"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rStyle w:val="Pendente"/>
        </w:rPr>
        <w:t xml:space="preserve">PENDENTE: diferença pareada Δ frente a três controles embaralhados (E3) e matriz cruzada 8 × 8 do melhor candidato de cada espécie (E4); ambos rodam depois das simulações.</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1749552"/>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1749552"/>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1988127"/>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1988127"/>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rPr>
          <w:rStyle w:val="Pendente"/>
        </w:rPr>
        <w:t xml:space="preserve">PROVISÓRIO, 1º de outubro de 2026: 16 das 48 simulações haviam terminado e sido analisadas (13 de 24 lineares, 3 de 24 cíclicas). Esta seção deve ser reescrita quando as 48 terminarem; nenhuma afirmação por espécie ou por frente é final.</w:t>
      </w:r>
    </w:p>
    <w:p>
      <w:pPr>
        <w:pStyle w:val="BodyText"/>
      </w:pPr>
      <w:r>
        <w:t xml:space="preserve">Das treze simulações lineares analisadas, duas passaram na triagem (Figura 11C): NGGRPDAP de</w:t>
      </w:r>
      <w:r>
        <w:t xml:space="preserve"> </w:t>
      </w:r>
      <w:r>
        <w:rPr>
          <w:i/>
          <w:iCs/>
        </w:rPr>
        <w:t xml:space="preserve">A. gemmatalis</w:t>
      </w:r>
      <w:r>
        <w:t xml:space="preserve">, com Arg4 como âncora nas duas metades, ocupância de S1 de 1,00 a 5 Å nas duas metades, distância âncora–Asp189 de 2,7 Å do início ao fim e RMSD local do peptídeo de 0,21 nm (Figura 11A,B); e GQNDS de</w:t>
      </w:r>
      <w:r>
        <w:t xml:space="preserve"> </w:t>
      </w:r>
      <w:r>
        <w:rPr>
          <w:i/>
          <w:iCs/>
        </w:rPr>
        <w:t xml:space="preserve">O. nubilalis</w:t>
      </w:r>
      <w:r>
        <w:t xml:space="preserve">, com Gln2 como âncora nas duas metades e ocupância 1,00 nas duas. GTDEN (</w:t>
      </w:r>
      <w:r>
        <w:rPr>
          <w:i/>
          <w:iCs/>
        </w:rPr>
        <w:t xml:space="preserve">A. gemmatalis</w:t>
      </w:r>
      <w:r>
        <w:t xml:space="preserve">) manteve o Glu4 perto de S1 em 61% e 63% dos quadros das duas metades, com a mesma âncora, e falhou na ocupância. Os outros onze candidatos lineares tiveram ocupância na segunda metade de no máximo 0,63; em GGSQSS, GISGS e QAPDFPTGPNNS a distância âncora–Asp189 subiu de 5,4–9,0 Å no início para 9,0–14,1 Å no fim, e em GISGS a âncora mudou de identidade entre as metades. Nenhum candidato de</w:t>
      </w:r>
      <w:r>
        <w:t xml:space="preserve"> </w:t>
      </w:r>
      <w:r>
        <w:rPr>
          <w:i/>
          <w:iCs/>
        </w:rPr>
        <w:t xml:space="preserve">S. frugiperda</w:t>
      </w:r>
      <w:r>
        <w:t xml:space="preserve"> </w:t>
      </w:r>
      <w:r>
        <w:t xml:space="preserve">ou de</w:t>
      </w:r>
      <w:r>
        <w:t xml:space="preserve"> </w:t>
      </w:r>
      <w:r>
        <w:rPr>
          <w:i/>
          <w:iCs/>
        </w:rPr>
        <w:t xml:space="preserve">S. litura</w:t>
      </w:r>
      <w:r>
        <w:t xml:space="preserve"> </w:t>
      </w:r>
      <w:r>
        <w:t xml:space="preserve">teve a âncora a menos de 5 Å do Asp189 na segunda metade. Nas 16 simulações concluídas, lineares e cíclicas, o peptídeo permaneceu a menos de 4,5 Å do receptor em todos os quadros; sair de S1 não significou dissociar. O contato com a serina catalítica (0,70–1,00 dos quadros) e com a histidina catalítica (0,54–1,00) ocorreu mesmo com a âncora longe de S1, de modo que essas duas medidas não discriminam os candidatos.</w:t>
      </w:r>
    </w:p>
    <w:p>
      <w:pPr>
        <w:pStyle w:val="BodyText"/>
      </w:pPr>
      <w:r>
        <w:t xml:space="preserve">Nenhum dos três candidatos cíclicos de</w:t>
      </w:r>
      <w:r>
        <w:t xml:space="preserve"> </w:t>
      </w:r>
      <w:r>
        <w:rPr>
          <w:i/>
          <w:iCs/>
        </w:rPr>
        <w:t xml:space="preserve">A. gemmatalis</w:t>
      </w:r>
      <w:r>
        <w:t xml:space="preserve"> </w:t>
      </w:r>
      <w:r>
        <w:t xml:space="preserve">passou. GGKPGEP manteve a Lys3 a 2,7 Å do Asp189 em toda a trajetória (ocupância 1,00 nas duas metades) e falhou apenas no critério do anel; GGSQSS (0,17 na primeira metade, 0,00 na segunda) e GGSDHT (0,54; 0,00) saíram do bolso. Nos três anéis a distância C–N de fechamento ficou em no máximo 1,45 Å, mas o ω de fechamento caiu a 144,5°, 147,7° e 149,0° em ao menos um quadro, abaixo dos 150° do critério pré-registrado, que o exige em todos os quadros; o critério foi aplicado como declarado. Descritivamente, |ω| foi de ao menos 150° em 99,6–99,8% dos quadros e nunca ficou abaixo de 140° (Figura S2); o critério permanece como registrado, e a fração de quadros é relatada apenas como descrição pós-dados. Com uma réplica de 10 ns por candidato, são descrições de trajetórias únicas.</w:t>
      </w:r>
    </w:p>
    <w:p>
      <w:pPr>
        <w:pStyle w:val="BodyText"/>
      </w:pPr>
      <w:r>
        <w:rPr>
          <w:i/>
          <w:iCs/>
        </w:rPr>
        <w:t xml:space="preserve">Quem decide o resultado é a pose inicial, não a química da âncora.</w:t>
      </w:r>
      <w:r>
        <w:t xml:space="preserve"> </w:t>
      </w:r>
      <w:r>
        <w:t xml:space="preserve">Nas dezesseis simulações concluídas, ocupância de S1 de pelo menos 0,70 na segunda metade ocorreu exatamente nos três sistemas cujo peptídeo partiu a menos de 3,5 Å do carboxilato do Asp189 (2,5, 3,2 e 3,5 Å; ocupância 1,00 nos três) e em nenhum dos treze que partiram de 4,1 Å ou mais (ocupância 0,00–0,63; distância inicial mediana 5,1 Å). A identidade da âncora não os separa: os três são uma glutamina, uma lisina e uma arginina, e aquele com a pose inicial mais próxima, GQNDS, não tem nenhum resíduo básico. Dez nanossegundos, portanto, em boa medida repetem a pose que o Boltz-2 propôs, em vez de acrescentar evidência independente dela: a triagem mede se uma pose que já está em S1 sobrevive, e um candidato colocado a 5 Å não recebe tempo para encontrar o bolso. Isso é uma propriedade do desenho da triagem, aqui declarada, e vale igualmente para os candidatos que não passaram.</w:t>
      </w:r>
    </w:p>
    <w:p>
      <w:pPr>
        <w:pStyle w:val="BodyText"/>
      </w:pPr>
      <w:r>
        <w:rPr>
          <w:i/>
          <w:iCs/>
        </w:rPr>
        <w:t xml:space="preserve">Escala de referência do critério de S1.</w:t>
      </w:r>
      <w:r>
        <w:t xml:space="preserve"> </w:t>
      </w:r>
      <w:r>
        <w:t xml:space="preserve">O limiar de 70% de ocupância foi declarado sem que se soubesse quanto um inibidor real marca na mesma análise; aplicamos então a análise idêntica aos complexos da calibração, que usam o mesmo receptor de</w:t>
      </w:r>
      <w:r>
        <w:t xml:space="preserve"> </w:t>
      </w:r>
      <w:r>
        <w:rPr>
          <w:i/>
          <w:iCs/>
        </w:rPr>
        <w:t xml:space="preserve">S. frugiperda</w:t>
      </w:r>
      <w:r>
        <w:t xml:space="preserve">: seis inibidores naturais e cinco iscas embaralhadas. As cinco iscas alcançaram ocupância 1,00 na segunda metade, assim como quatro dos seis inibidores (os outros dois, ApTI e BBI, ficaram em 0,00 e 0,10); nos onze sistemas a âncora foi uma lisina ou uma arginina. Nesse conjunto de referência o critério, portanto, não tem especificidade: uma sequência embaralhada que contenha um resíduo básico ocupa S1 tanto quanto um inibidor verdadeiro. Esses controles não têm o mesmo protocolo (2 ns, AMBER99SB-ILDN, outro pH) e são inibidores proteicos de 50–180 resíduos, cujos embaralhamentos necessariamente mantêm uma arginina ou uma lisina, ao passo que os candidatos aqui têm 5–12 resíduos e quase todos não têm nenhuma das duas. Ainda assim, delimitam o que o critério sustenta: passar nele significa que a pose prevista não se desfez, não que o peptídeo se liga. Controles pareados por tamanho no mesmo protocolo — os próprios controles embaralhados dos candidatos, simulados por 10 ns — estão em execução e serão relatados com as camadas finais.</w:t>
      </w:r>
    </w:p>
    <w:p>
      <w:pPr>
        <w:pStyle w:val="CaptionedFigure"/>
      </w:pPr>
      <w:r>
        <w:drawing>
          <wp:inline>
            <wp:extent cx="5334000" cy="3243072"/>
            <wp:effectExtent b="0" l="0" r="0" t="0"/>
            <wp:docPr descr="Figura 11. Simulações de triagem de 10 ns (CHARMM36, pH 10, 300 K, uma réplica cada; provisório: 16 de 48 concluídas em 1º de outubro de 2026).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 “ring ✗” marca macrociclos que falharam no critério do anel (C–N ≤ 1,5 Å e ω ≥ 150° em todos os quadros)."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provisório: 16 de 48 concluídas em 1º de outubro de 2026).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w:t>
      </w:r>
      <w:r>
        <w:t xml:space="preserve"> </w:t>
      </w:r>
      <w:r>
        <w:t xml:space="preserve">“ring ✗”</w:t>
      </w:r>
      <w:r>
        <w:t xml:space="preserve"> </w:t>
      </w:r>
      <w:r>
        <w:t xml:space="preserve">marca macrociclos que falharam no critério do anel (C–N ≤ 1,5 Å e ω ≥ 150° em todos os quadros).</w:t>
      </w:r>
    </w:p>
    <w:bookmarkEnd w:id="68"/>
    <w:bookmarkStart w:id="69" w:name="frente-linear-versus-frente-macrocíclica"/>
    <w:p>
      <w:pPr>
        <w:pStyle w:val="Heading3"/>
      </w:pPr>
      <w:r>
        <w:t xml:space="preserve">3.10 Frente linear versus frente macrocíclica</w:t>
      </w:r>
    </w:p>
    <w:p>
      <w:pPr>
        <w:pStyle w:val="FirstParagraph"/>
      </w:pPr>
      <w:r>
        <w:rPr>
          <w:rStyle w:val="Pendente"/>
        </w:rPr>
        <w:t xml:space="preserve">PROVISÓRIO, 1º de outubro de 2026.</w:t>
      </w:r>
      <w:r>
        <w:t xml:space="preserve"> </w:t>
      </w:r>
      <w:r>
        <w:t xml:space="preserve">Dos 24 candidatos finais por frente, três sequências coincidem na mesma espécie: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Só GGSQSS foi simulada nas duas formas até agora, e saiu de S1 nas duas (ocupância na segunda metade de 0,07 na linear e 0,00 na cíclica; âncora Gln4).</w:t>
      </w:r>
      <w:r>
        <w:t xml:space="preserve"> </w:t>
      </w:r>
      <w:r>
        <w:rPr>
          <w:rStyle w:val="Pendente"/>
        </w:rPr>
        <w:t xml:space="preserve">PENDENTE: sobreposição e diferença na ocupância de S1 entre a forma linear e a cíclica da mesma sequência quando as 48 simulações terminarem.</w:t>
      </w:r>
    </w:p>
    <w:bookmarkEnd w:id="69"/>
    <w:bookmarkStart w:id="70" w:name="efeito-do-ph-e-da-carga-do-n-terminal"/>
    <w:p>
      <w:pPr>
        <w:pStyle w:val="Heading3"/>
      </w:pPr>
      <w:r>
        <w:t xml:space="preserve">3.11 Efeito do pH e da carga do N-terminal</w:t>
      </w:r>
    </w:p>
    <w:p>
      <w:pPr>
        <w:pStyle w:val="FirstParagraph"/>
      </w:pPr>
      <w:r>
        <w:rPr>
          <w:rStyle w:val="Pendente"/>
        </w:rPr>
        <w:t xml:space="preserve">PENDENTE: comparação pareada das simulações de triagem em pH 10,0 (linear com NH</w:t>
      </w:r>
      <w:r>
        <w:rPr>
          <w:rStyle w:val="Pendente"/>
          <w:vertAlign w:val="subscript"/>
        </w:rPr>
        <w:t xml:space="preserve">3</w:t>
      </w:r>
      <w:r>
        <w:rPr>
          <w:rStyle w:val="Pendente"/>
          <w:vertAlign w:val="superscript"/>
        </w:rPr>
        <w:t xml:space="preserve">+</w:t>
      </w:r>
      <w:r>
        <w:rPr>
          <w:rStyle w:val="Pendente"/>
        </w:rPr>
        <w:t xml:space="preserve"> </w:t>
      </w:r>
      <w:r>
        <w:rPr>
          <w:rStyle w:val="Pendente"/>
        </w:rPr>
        <w:t xml:space="preserve">e com N-terminal neutro; macrociclo) e em pH 8,2 (linear e macrociclo), com o número de candidatos que passam na triagem, a mudança da ocupância de S1 por candidato e o custo computacional por condição (Figura 12;</w:t>
      </w:r>
      <w:r>
        <w:rPr>
          <w:rStyle w:val="Pendente"/>
        </w:rPr>
        <w:t xml:space="preserve"> </w:t>
      </w:r>
      <w:r>
        <w:rPr>
          <w:rStyle w:val="VerbatimChar"/>
        </w:rPr>
        <w:t xml:space="preserve">compare_ph_conditions.py</w:t>
      </w:r>
      <w:r>
        <w:rPr>
          <w:rStyle w:val="Pendente"/>
        </w:rPr>
        <w:t xml:space="preserve">). Uma réplica de 10 ns por candidato: relatar tendências entre candidatos, não diferenças por candidato.</w:t>
      </w:r>
    </w:p>
    <w:bookmarkEnd w:id="70"/>
    <w:bookmarkStart w:id="74" w:name="peptídeos-candidatos-finais"/>
    <w:p>
      <w:pPr>
        <w:pStyle w:val="Heading3"/>
      </w:pPr>
      <w:r>
        <w:t xml:space="preserve">3.12 Peptídeos candidatos finais</w:t>
      </w:r>
    </w:p>
    <w:p>
      <w:pPr>
        <w:pStyle w:val="FirstParagraph"/>
      </w:pPr>
      <w:r>
        <w:rPr>
          <w:rStyle w:val="Pendente"/>
        </w:rPr>
        <w:t xml:space="preserve">PROVISÓRIO, 1º de outubro de 2026.</w:t>
      </w:r>
      <w:r>
        <w:t xml:space="preserve"> </w:t>
      </w:r>
      <w:r>
        <w:t xml:space="preserve">Os 48 candidatos finais foram ordenados em camadas usando apenas os critérios declarados antes das simulações (Seção 2.9): a camada A cumpre todos os critérios disponíveis (ocupância de S1, mesma âncora nas duas metades, controle de qualidade de pose, diferença pareada positiva contra controles embaralhados e, nos macrociclos, o critério estrito do anel); a camada B cumpre o critério de S1 e falha exatamente um dos demais; a camada C não tem ancoragem de S1 confirmada em 10 ns; a camada P aguarda a simulação. Dentro da camada a ordem é a ocupância de S1, depois a diferença pareada, depois a confiança do Boltz-2 (Figura 13). Com 12 das 48 simulações concluídas e o E3 ainda não rodado, um candidato linear (NGGRPDAP,</w:t>
      </w:r>
      <w:r>
        <w:t xml:space="preserve"> </w:t>
      </w:r>
      <w:r>
        <w:rPr>
          <w:i/>
          <w:iCs/>
        </w:rPr>
        <w:t xml:space="preserve">A. gemmatalis</w:t>
      </w:r>
      <w:r>
        <w:t xml:space="preserve">; Arg4 em S1, ocupância 1,00 nas duas metades) está na camada A e um cíclico (GGKPGEP,</w:t>
      </w:r>
      <w:r>
        <w:t xml:space="preserve"> </w:t>
      </w:r>
      <w:r>
        <w:rPr>
          <w:i/>
          <w:iCs/>
        </w:rPr>
        <w:t xml:space="preserve">A. gemmatalis</w:t>
      </w:r>
      <w:r>
        <w:t xml:space="preserve">; Lys3 em S1) está na camada B porque falha só no critério estrito do anel (|ω| ≥ 150° em 99,6% dos quadros); ambos são provisórios até o E3. Todos os candidatos são não clivaveis pelo critério duro e nenhum carrega afirmação de seletividade. A dinâmica molecular verifica a estabilidade da pose prevista em 10 ns e não é estimativa de afinidade.</w:t>
      </w:r>
      <w:r>
        <w:t xml:space="preserve"> </w:t>
      </w:r>
      <w:r>
        <w:rPr>
          <w:rStyle w:val="Pendente"/>
        </w:rPr>
        <w:t xml:space="preserve">PENDENTE: camadas finais, número de candidatos por camada e por espécie, robustez ao pH e a lista de peptídeos recomendados quando as simulações e o E3 terminarem.</w:t>
      </w:r>
    </w:p>
    <w:p>
      <w:pPr>
        <w:pStyle w:val="CaptionedFigure"/>
      </w:pPr>
      <w:r>
        <w:drawing>
          <wp:inline>
            <wp:extent cx="5334000" cy="3897923"/>
            <wp:effectExtent b="0" l="0" r="0" t="0"/>
            <wp:docPr descr="Figura 13. Matriz de evidências dos 48 candidatos finais (esquerda, linear; direita, macrociclo), ordenados por camada (A, B, C, P) e, dentro da camada, pela ocupância de S1.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 title="" id="72" name="Picture"/>
            <a:graphic>
              <a:graphicData uri="http://schemas.openxmlformats.org/drawingml/2006/picture">
                <pic:pic>
                  <pic:nvPicPr>
                    <pic:cNvPr descr="figures/pt/fig13_candidatos_finais.png" id="73" name="Picture"/>
                    <pic:cNvPicPr>
                      <a:picLocks noChangeArrowheads="1" noChangeAspect="1"/>
                    </pic:cNvPicPr>
                  </pic:nvPicPr>
                  <pic:blipFill>
                    <a:blip r:embed="rId71"/>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rPr>
          <w:b/>
          <w:bCs/>
        </w:rPr>
        <w:t xml:space="preserve">Figura 13.</w:t>
      </w:r>
      <w:r>
        <w:t xml:space="preserve"> </w:t>
      </w:r>
      <w:r>
        <w:t xml:space="preserve">Matriz de evidências dos 48 candidatos finais (esquerda, linear; direita, macrociclo), ordenados por camada (A, B, C, P) e, dentro da camada, pela ocupância de S1.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w:t>
      </w:r>
    </w:p>
    <w:p>
      <w:r>
        <w:pict>
          <v:rect style="width:0;height:1.5pt" o:hralign="center" o:hrstd="t" o:hr="t"/>
        </w:pict>
      </w:r>
    </w:p>
    <w:bookmarkEnd w:id="74"/>
    <w:bookmarkEnd w:id="75"/>
    <w:bookmarkStart w:id="81" w:name="discussão"/>
    <w:p>
      <w:pPr>
        <w:pStyle w:val="Heading2"/>
      </w:pPr>
      <w:r>
        <w:t xml:space="preserve">4 Discussão</w:t>
      </w:r>
    </w:p>
    <w:bookmarkStart w:id="76"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6"/>
    <w:bookmarkStart w:id="77"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7"/>
    <w:bookmarkStart w:id="78"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8"/>
    <w:bookmarkStart w:id="79" w:name="limitações"/>
    <w:p>
      <w:pPr>
        <w:pStyle w:val="Heading3"/>
      </w:pPr>
      <w:r>
        <w:t xml:space="preserve">4.4 Limitações</w:t>
      </w:r>
    </w:p>
    <w:p>
      <w:pPr>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p>
      <w:pPr>
        <w:numPr>
          <w:ilvl w:val="0"/>
          <w:numId w:val="1003"/>
        </w:numPr>
      </w:pPr>
      <w:r>
        <w:t xml:space="preserve">O critério de ocupância de S1 não tem especificidade demonstrada: no único conjunto de referência disponível, todas as iscas embaralhadas o satisfizeram (Seção 3.9). (x) A âncora é definida post hoc como o resíduo do peptídeo de menor distância média ao Asp189, e é a ocupância dela que se mede, o que favorece o valor medido frente a um resíduo fixado de antemão. (xi) Dez nanossegundos a partir do complexo previsto testam se aquela pose é estável, não se o peptídeo consegue encontrar S1: os candidatos que passaram partiram a menos de 3,5 Å do Asp189, enquanto os que partiram a 4,1–4,3 Å não passaram. (xii) Os controles embaralhados do E3 são fracos nos candidatos ricos em glicina, porque embaralhar quase não altera uma sequência dessas: a identidade média entre um candidato e seus próprios controles é 0,35 (linear) e 0,29 (cíclico), cinco candidatos são pelo menos 60% idênticos aos seus controles e seis têm apenas dois controles distintos dos três gerados. (xiii) O critério desses controles, Δ &gt; 0, não tem limiar de incerteza, enquanto o desvio-padrão entre as quinze predições de um mesmo candidato é de cerca de 0,02, de modo que um Δ positivo pequeno está dentro do ruído. (xiv) Dois desvios da prática atual foram encontrados na montagem das simulações e mantidos para que todas compartilhem um só protocolo: a equilibração NPT usou o barostato de Parrinello-Rahman, onde o padrão é um barostato de relaxação, e</w:t>
      </w:r>
      <w:r>
        <w:t xml:space="preserve"> </w:t>
      </w:r>
      <w:r>
        <w:rPr>
          <w:rStyle w:val="VerbatimChar"/>
        </w:rPr>
        <w:t xml:space="preserve">refcoord_scaling</w:t>
      </w:r>
      <w:r>
        <w:t xml:space="preserve"> </w:t>
      </w:r>
      <w:r>
        <w:t xml:space="preserve">não foi definido com restrições de posição sob acoplamento de pressão; medido em três sistemas, a densidade ficou em 1022–1033 kg m</w:t>
      </w:r>
      <w:r>
        <w:rPr>
          <w:vertAlign w:val="superscript"/>
        </w:rPr>
        <w:t xml:space="preserve">−3</w:t>
      </w:r>
      <w:r>
        <w:t xml:space="preserve"> </w:t>
      </w:r>
      <w:r>
        <w:t xml:space="preserve">com flutuação quadrática média de 0,2% e deriva desprezível, de modo que nenhum dos dois produziu artefato detectável.</w:t>
      </w:r>
    </w:p>
    <w:bookmarkEnd w:id="79"/>
    <w:bookmarkStart w:id="80"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80"/>
    <w:bookmarkEnd w:id="81"/>
    <w:bookmarkStart w:id="82"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2"/>
    <w:bookmarkStart w:id="83"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3"/>
    <w:bookmarkStart w:id="84"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84"/>
    <w:bookmarkStart w:id="85" w:name="financiamento"/>
    <w:p>
      <w:pPr>
        <w:pStyle w:val="Heading2"/>
      </w:pPr>
      <w:r>
        <w:t xml:space="preserve">Financiamento</w:t>
      </w:r>
    </w:p>
    <w:p>
      <w:pPr>
        <w:pStyle w:val="FirstParagraph"/>
      </w:pPr>
      <w:r>
        <w:rPr>
          <w:rStyle w:val="Pendente"/>
        </w:rPr>
        <w:t xml:space="preserve">PENDENTE: a completar pelos autores.</w:t>
      </w:r>
    </w:p>
    <w:bookmarkEnd w:id="85"/>
    <w:bookmarkStart w:id="86"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6"/>
    <w:bookmarkStart w:id="87" w:name="conflito-de-interesses"/>
    <w:p>
      <w:pPr>
        <w:pStyle w:val="Heading2"/>
      </w:pPr>
      <w:r>
        <w:t xml:space="preserve">Conflito de interesses</w:t>
      </w:r>
    </w:p>
    <w:p>
      <w:pPr>
        <w:pStyle w:val="FirstParagraph"/>
      </w:pPr>
      <w:r>
        <w:rPr>
          <w:rStyle w:val="Pendente"/>
        </w:rPr>
        <w:t xml:space="preserve">PENDENTE: a completar pelos autores.</w:t>
      </w:r>
    </w:p>
    <w:bookmarkEnd w:id="87"/>
    <w:bookmarkStart w:id="94"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9" name="Picture"/>
            <a:graphic>
              <a:graphicData uri="http://schemas.openxmlformats.org/drawingml/2006/picture">
                <pic:pic>
                  <pic:nvPicPr>
                    <pic:cNvPr descr="figures/pt/figS1_regras_motivo.png" id="90" name="Picture"/>
                    <pic:cNvPicPr>
                      <a:picLocks noChangeArrowheads="1" noChangeAspect="1"/>
                    </pic:cNvPicPr>
                  </pic:nvPicPr>
                  <pic:blipFill>
                    <a:blip r:embed="rId8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140479"/>
            <wp:effectExtent b="0" l="0" r="0" t="0"/>
            <wp:docPr descr="Figura S2. Integridade do anel nas três simulações cíclicas com CHARMM36 concluídas até agora (A. gemmatalis, 10 ns): distância C–N de fechamento, ângulo ω de fechamento em valor absoluto ao longo do tempo e distribuição de ω. Linhas tracejadas: limites pré-registrados (C–N ≤ 1,5 Å, ω ≥ 150°). A versão anterior desta figura usava outro campo de força e foi retirada." title="" id="92" name="Picture"/>
            <a:graphic>
              <a:graphicData uri="http://schemas.openxmlformats.org/drawingml/2006/picture">
                <pic:pic>
                  <pic:nvPicPr>
                    <pic:cNvPr descr="figures/pt/figS2_anel_ciclico_charmm36.png" id="93" name="Picture"/>
                    <pic:cNvPicPr>
                      <a:picLocks noChangeArrowheads="1" noChangeAspect="1"/>
                    </pic:cNvPicPr>
                  </pic:nvPicPr>
                  <pic:blipFill>
                    <a:blip r:embed="rId91"/>
                    <a:stretch>
                      <a:fillRect/>
                    </a:stretch>
                  </pic:blipFill>
                  <pic:spPr bwMode="auto">
                    <a:xfrm>
                      <a:off x="0" y="0"/>
                      <a:ext cx="3959999" cy="114047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com CHARMM36 concluídas até agora (</w:t>
      </w:r>
      <w:r>
        <w:rPr>
          <w:i/>
          <w:iCs/>
        </w:rPr>
        <w:t xml:space="preserve">A. gemmatalis</w:t>
      </w:r>
      <w:r>
        <w:t xml:space="preserve">, 10 ns): distância C–N de fechamento, ângulo ω de fechamento em valor absoluto ao longo do tempo e distribuição de ω. Linhas tracejadas: limites pré-registrados (C–N ≤ 1,5 Å, ω ≥ 150°). A versão anterior desta figura usava outro campo de força e foi retirada.</w:t>
      </w:r>
    </w:p>
    <w:bookmarkEnd w:id="94"/>
    <w:bookmarkStart w:id="95"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5"/>
    <w:bookmarkEnd w:id="96"/>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1" Type="http://schemas.openxmlformats.org/officeDocument/2006/relationships/image" Target="media/rId71.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8" Type="http://schemas.openxmlformats.org/officeDocument/2006/relationships/image" Target="media/rId88.png"/><Relationship Id="rId91" Type="http://schemas.openxmlformats.org/officeDocument/2006/relationships/image" Target="media/rId9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2026-10-02T00:54:47Z</dcterms:created>
  <dcterms:modified xsi:type="dcterms:W3CDTF">2026-10-02T00:54:47Z</dcterms:modified>
</cp:coreProperties>
</file>

<file path=docProps/custom.xml><?xml version="1.0" encoding="utf-8"?>
<Properties xmlns="http://schemas.openxmlformats.org/officeDocument/2006/custom-properties" xmlns:vt="http://schemas.openxmlformats.org/officeDocument/2006/docPropsVTypes"/>
</file>