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9,327 palavras no original em inglês (corpo sem tabelas, títulos e legendas; cada citação contada como uma palavra); tradução: 10,148</w:t>
            </w:r>
          </w:p>
        </w:tc>
        <w:tc>
          <w:tcPr/>
          <w:p>
            <w:pPr>
              <w:pStyle w:val="Compact"/>
              <w:spacing w:line="240" w:lineRule="auto"/>
            </w:pPr>
            <w:r>
              <w:rPr>
                <w:sz w:val="18"/>
              </w:rPr>
              <w:t xml:space="preserve">OK (margem de 2,673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360 palavras no original em inglês (reescrito em 05/10/2026 para caber no limite); tradução: 411</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91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7"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e dinâmica molecular) foi calibrada com seis inibidores e iscas embaralhadas. Desenhamos 22.066 sequências sobre 880 esqueletos (RFdiffusion, ProteinMPNN, sem cisteína), mantivemos as que não têm nenhum resíduo que a atividade do intestino médio do tipo tripsina, quimotripsina/elastase-2 ou elastase-1 assume em P1 (K, R, F, Y, W, L, M, A, V), avaliamos as sobreviventes em duas formas, linear (frente L) e cíclica cabeça-cauda (frente M), co-dobramos com o Boltz-2 e simulamos os três melhores por espécie e frente por 10 ns, ordenando-os com o MM-GBSA e o PRODIGY.</w:t>
      </w:r>
      <w:r>
        <w:t xml:space="preserve"> </w:t>
      </w:r>
      <w:r>
        <w:rPr>
          <w:b/>
          <w:bCs/>
        </w:rPr>
        <w:t xml:space="preserve">Resultados:</w:t>
      </w:r>
      <w:r>
        <w:t xml:space="preserve"> </w:t>
      </w:r>
      <w:r>
        <w:t xml:space="preserve">O Boltz-2 pontuou o inibidor acima de sua isca em 10 de 10 pares.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(frente L) e de 5,1 para 6,1 Å (frente M);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da frente L e 60 de 79 da frente M,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apenas ordenam candidatos contra o mesmo receptor,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quando fechada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e dinâmica molecular) contra seis inibidores naturais e iscas embaralhadas, (iii) geramos esqueletos com o RFdiffusion e sequências com o ProteinMPNN, (iv) aplicamos um critério duro de não clivabilidade, (v) co-dobramos os sobreviventes e os simulamos em duas formas químicas, linear (frente L) e cíclica cabeça-cauda (frente M),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é então aplicado às mesmas sequências em cada uma das duas formas químicas avaliadas, linear (frente L, 527) e cíclica cabeça-cauda (frente M, 543), aninhadas e não uma partição;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é então aplicado às mesmas sequências em cada uma das duas formas químicas avaliadas, linear (frente L, 527) e cíclica cabeça-cauda (frente M, 543), aninhadas e não uma partição;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(UniProt Consortium, 2025). As posições da tríade catalítica e do bolsão S1, com o Asp189 como resíduo de especificidade, foram conferidas em cada modelo por alinhamento global com a tripsina bovina e pelas distâncias de ligação de hidrogênio nas coordenadas do AlphaFold (Tabela S2).</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valor acima do qual duas estruturas são, em sua maioria, do mesmo enovelamento (Xu e Zhang, 2010),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naturalmente um peptídeo bicíclico cabeça-cauda, aqui modelado como a sequência linear de 14 resíduos),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Dois tipos de escore foram comparados: (i) confiança do Boltz-2 (Passaro et al., 2025) (MSA do ColabFold (Mirdita et al., 2022); uma amostra), com o seu ipTM e o pLDDT do complexo;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Os esqueletos peptídicos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com fechamento cabeça-cauda,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p>
      <w:pPr>
        <w:pStyle w:val="BodyText"/>
      </w:pPr>
      <w:r>
        <w:t xml:space="preserve">Três decisões definem esta etapa. (i)</w:t>
      </w:r>
      <w:r>
        <w:t xml:space="preserve"> </w:t>
      </w:r>
      <w:r>
        <w:rPr>
          <w:i/>
          <w:iCs/>
        </w:rPr>
        <w:t xml:space="preserve">Restrição de fechamento na difusão.</w:t>
      </w:r>
      <w:r>
        <w:t xml:space="preserve"> </w:t>
      </w:r>
      <w:r>
        <w:t xml:space="preserve">Os esqueletos foram difundidos com as extremidades unidas, porque a SFTI-1, o menor inibidor natural de tripsina, é ela própria um macrociclo cabeça-cauda (Luckett et al., 1999); a rigidez da alça reativa aumenta a afinidade e a resistência à proteólise (Kelly et al., 2005); peptídeos bicíclicos construídos sobre alças de inibidores foram dez vezes mais potentes contra proteases de</w:t>
      </w:r>
      <w:r>
        <w:t xml:space="preserve"> </w:t>
      </w:r>
      <w:r>
        <w:rPr>
          <w:i/>
          <w:iCs/>
        </w:rPr>
        <w:t xml:space="preserve">H. armigera</w:t>
      </w:r>
      <w:r>
        <w:t xml:space="preserve"> </w:t>
      </w:r>
      <w:r>
        <w:t xml:space="preserve">do que os lineares correspondentes (Saikhedkar et al., 2019); e um anel fechado não tem extremidade livre para as exopeptidases do intestino médio (Valaitis, 1995; Valaitis et al., 1999). A restrição atua sobre a geometria usada no desenho das sequências; se o peptídeo final carrega a ligação de fechamento é a pergunta que as duas frentes abaixo fazem. (ii)</w:t>
      </w:r>
      <w:r>
        <w:t xml:space="preserve"> </w:t>
      </w:r>
      <w:r>
        <w:rPr>
          <w:i/>
          <w:iCs/>
        </w:rPr>
        <w:t xml:space="preserve">Sem cisteína.</w:t>
      </w:r>
      <w:r>
        <w:t xml:space="preserve"> </w:t>
      </w:r>
      <w:r>
        <w:t xml:space="preserve">A outra restrição possível, uma ponte dissulfeto, não pode ser dada como estável neste ambiente: o potencial redox do intestino médio varia entre lagartas, redutor em algumas espécies e oxidante em outras (Appel e Martin, 1990; Johnson e Felton, 1996), de modo que um arcabouço que depende de cistina oxidada não é transferível para todo o complexo de pragas. A cisteína foi então excluída no desenho, de modo que o fechamento do esqueleto é a única restrição conformacional considerada. (iii)</w:t>
      </w:r>
      <w:r>
        <w:t xml:space="preserve"> </w:t>
      </w:r>
      <w:r>
        <w:rPr>
          <w:i/>
          <w:iCs/>
        </w:rPr>
        <w:t xml:space="preserve">Comprimentos de 5 a 20 resíduos.</w:t>
      </w:r>
      <w:r>
        <w:t xml:space="preserve"> </w:t>
      </w:r>
      <w:r>
        <w:t xml:space="preserve">A escada abrange os peptídeos para os quais já se mediu inibição de tripsinas digestivas de Lepidoptera, dos tripeptídeos (de Almeida Barros et al., 2021) à SFTI-1, de 14 resíduos (Luckett et al., 1999).</w:t>
      </w:r>
    </w:p>
    <w:p>
      <w:pPr>
        <w:pStyle w:val="BodyText"/>
      </w:pPr>
      <w:r>
        <w:rPr>
          <w:i/>
          <w:iCs/>
        </w:rPr>
        <w:t xml:space="preserve">As duas frentes.</w:t>
      </w:r>
      <w:r>
        <w:t xml:space="preserve"> </w:t>
      </w:r>
      <w:r>
        <w:t xml:space="preserve">Cada sequência desenhada seguiu em duas formas, e todo o pipeline posterior ao desenho foi rodado nas duas. A frente L trata a sequência como peptídeo linear com extremidades livres; a frente M a trata como peptídeo cíclico cabeça-cauda. A distinção não é uma segunda campanha de desenho, mas uma forma química, declarada antes das triagens e levada pelo critério de não clivabilidade (Seção 2.4), pelo co-dobramento (Seção 2.5) e pelas simulações (Seção 2.6): na frente L a estrutura tridimensional é predita de novo pelo Boltz-2 a partir da sequência e não vem do esqueleto, enquanto na frente M a ligação de fechamento é imposta na predição e acompanhada na trajetória. A frente L é mantida porque é a forma em que os peptídeos inibidores dessas enzimas foram ensaiados (de Almeida Barros et al., 2021; Meriño-Cabrera et al., 2020b; Mariano et al., 2026) e a que não exige química de fechamento de anel, e a frente M porque o fechamento remove as extremidades livres de que as exopeptidases do intestino médio precisam. As duas frentes se aplicam, portanto, a um mesmo conjunto de sequências e não são disjuntas (Seção 3.3).</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e tipo elastase-2), ou A ou V (tipo elastase-1), a menos que o resíduo seguinte fosse prolina. No peptídeo linear o resíduo C-terminal também foi avaliado (não pode pertencer a esse conjunto nem ser isoleucina); na frente M a ligação de fechamento foi avaliada como as demais. A isoleucina foi permitida no interior. A regra foi aplicada às mesmas sequências nas interpretações linear (frente L) e cíclica (frente M).</w:t>
      </w:r>
    </w:p>
    <w:p>
      <w:pPr>
        <w:pStyle w:val="BodyText"/>
      </w:pPr>
      <w:r>
        <w:t xml:space="preserve">Cada cláusula tem base declarada e, onde nenhuma medida em Lepidoptera a sustenta, é declarada conservadora.</w:t>
      </w:r>
      <w:r>
        <w:t xml:space="preserve"> </w:t>
      </w:r>
      <w:r>
        <w:rPr>
          <w:i/>
          <w:iCs/>
        </w:rPr>
        <w:t xml:space="preserve">K e R:</w:t>
      </w:r>
      <w:r>
        <w:t xml:space="preserve"> </w:t>
      </w:r>
      <w:r>
        <w:t xml:space="preserve">as enzimas tipo tripsina são as principais proteases digestivas dessas lagartas (da Silva Júnior et al., 2020; de Almeida Barros et al., 2021; Valaitis, 1995) e exigem lisina ou arginina em P1 (Perona e Craik, 1995; Patarroyo-Vargas et al., 2017).</w:t>
      </w:r>
      <w:r>
        <w:t xml:space="preserve"> </w:t>
      </w:r>
      <w:r>
        <w:rPr>
          <w:i/>
          <w:iCs/>
        </w:rPr>
        <w:t xml:space="preserve">F, Y, W, L e M:</w:t>
      </w:r>
      <w:r>
        <w:t xml:space="preserve"> </w:t>
      </w:r>
      <w:r>
        <w:t xml:space="preserve">a</w:t>
      </w:r>
      <w:r>
        <w:t xml:space="preserve"> </w:t>
      </w:r>
      <w:r>
        <w:t xml:space="preserve">“elastase”</w:t>
      </w:r>
      <w:r>
        <w:t xml:space="preserve"> </w:t>
      </w:r>
      <w:r>
        <w:t xml:space="preserve">luminal purificada de intestino médio de Lepidoptera é do tipo elastase-2, tendo como melhor substrato sintético o Suc-Ala-Ala-Pro-Leu-</w:t>
      </w:r>
      <w:r>
        <w:rPr>
          <w:i/>
          <w:iCs/>
        </w:rPr>
        <w:t xml:space="preserve">p</w:t>
      </w:r>
      <w:r>
        <w:t xml:space="preserve">-nitroanilida, isto é, P1 = Leu (Valaitis, 1995), e a quimotripsina do budworm hidrolisa tanto o substrato com Phe quanto o com Leu (Valaitis et al., 1999); transcritos e atividades tipo quimotripsina são relatados nas próprias espécies-praga (Yang et al., 2013; Zhan et al., 2011; Nakonieczny et al., 2007), de modo que esse conjunto cobre a preferência documentada por P1 hidrofóbico grande.</w:t>
      </w:r>
      <w:r>
        <w:t xml:space="preserve"> </w:t>
      </w:r>
      <w:r>
        <w:rPr>
          <w:i/>
          <w:iCs/>
        </w:rPr>
        <w:t xml:space="preserve">A e V:</w:t>
      </w:r>
      <w:r>
        <w:t xml:space="preserve"> </w:t>
      </w:r>
      <w:r>
        <w:t xml:space="preserve">a especificidade por P1 alifático pequeno das enzimas tipo elastase-1 (Gasteiger et al., 2005; Rawlings et al., 2018), que não foi caracterizada nessas espécies; a cláusula é uma adição conservadora, não um requisito documentado.</w:t>
      </w:r>
      <w:r>
        <w:t xml:space="preserve"> </w:t>
      </w:r>
      <w:r>
        <w:rPr>
          <w:i/>
          <w:iCs/>
        </w:rPr>
        <w:t xml:space="preserve">G e S, que não são proibidos:</w:t>
      </w:r>
      <w:r>
        <w:t xml:space="preserve"> </w:t>
      </w:r>
      <w:r>
        <w:t xml:space="preserve">a regra ampla de elastase da triagem por motivos os conta em P1, mas a atividade de fato caracterizada em intestino médio de Lepidoptera é do tipo elastase-2 (P1 = Leu, já excluído), e proibi-los deixa 13 dos 527 candidatos da frente L e 14 dos 543 da frente M (4 e 5 se a treonina for incluída). Foram mantidos, com a consequência declarada: os peptídeos sobreviventes são ricos em glicina (Seção 3.3) e seguem expostos a qualquer atividade de P1 pequeno, o que um ensaio enzimático de estabilidade, e não uma regra de motivo, tem de resolver.</w:t>
      </w:r>
      <w:r>
        <w:t xml:space="preserve"> </w:t>
      </w:r>
      <w:r>
        <w:rPr>
          <w:i/>
          <w:iCs/>
        </w:rPr>
        <w:t xml:space="preserve">A exceção da prolina:</w:t>
      </w:r>
      <w:r>
        <w:t xml:space="preserve"> </w:t>
      </w:r>
      <w:r>
        <w:t xml:space="preserve">P1′ = Pro bloqueia ou retarda a clivagem nas regras compiladas para essas enzimas (Gasteiger et al., 2005; Rawlings et al., 2018), mas a barreira é estatística e não absoluta (Rodriguez et al., 2008; Pan et al., 2014), razão pela qual a geometria de ataque das ligações K/R–Pro é examinada explicitamente (Seções 2.7 e 3.8).</w:t>
      </w:r>
      <w:r>
        <w:t xml:space="preserve"> </w:t>
      </w:r>
      <w:r>
        <w:rPr>
          <w:i/>
          <w:iCs/>
        </w:rPr>
        <w:t xml:space="preserve">A cláusula C-terminal:</w:t>
      </w:r>
      <w:r>
        <w:t xml:space="preserve"> </w:t>
      </w:r>
      <w:r>
        <w:t xml:space="preserve">a atividade de carboxipeptidase A predomina em extratos de intestino médio de Lepidoptera, com carboxipeptidase B em nível mais baixo, e é induzida pela ingestão do inibidor Kunitz de soja (Bown et al., 1998); a atividade de carboxipeptidase também é alta em larvas coletadas no campo de outra espécie (Valaitis et al., 1999); a carboxipeptidase A remove resíduos C-terminais aromáticos e alifáticos ramificados e a carboxipeptidase B, os básicos (Rawlings et al., 2018), de modo que o conjunto proibido mais a isoleucina foi aplicado ao C-terminal livre do peptídeo linear. A frente M não tem extremidade e não é triada para exopeptidases, ao passo que as aminopeptidases da borda em escova, purificadas de intestino médio de Lepidoptera como leucina aminopeptidase e como aminopeptidase N (Valaitis, 1995; Valaitis et al., 1999), atuam no N-terminal livre de um peptídeo linear qualquer que seja a sequência e não são excluídas por nenhuma regra. Os dois cortes do escore de motivos (0,3 e 0,5) são operacionais e foram fixados antes da triagem; não têm base na literatura.</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na frente M).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da frente L e 543 da frente M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na frente M, C–N de fechamento ≤ 1,5 Å e ω de fechamento ≥ 150°. O melhor candidato de cada espécie também foi co-dobrado com os sete outros receptores (matriz cruzada 8 × 8). Os três candidatos por espécie e frente com maior confiança média no E2 entre as sequências distintas (24 por frente)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Os dois valores foram escolhidos juntos porque o pH do intestino médio não é o mesmo em todas as lagartas de lepidópteros; um inibidor eficaz ao longo dessa faixa é mais viável contra o complexo de pragas do que um que funcione em um único pH, e o par também corresponde às condições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na frente M não há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na frente M, a distância C–N e o ω de fechamento em cada quadro. A triagem declarada de antemão exigia ocupância na segunda metade ≥ 70%, a mesma âncora nas duas metades e, na frente M,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w:t>
      </w:r>
      <w:r>
        <w:rPr>
          <w:rStyle w:val="VerbatimChar"/>
        </w:rPr>
        <w:t xml:space="preserve">scripts/scissile_geometry.py</w:t>
      </w:r>
      <w:r>
        <w:t xml:space="preserve">). O critério segue a descrição da catálise por confôrmeros quase de ataque, em que a fração reativa dos confôrmeros do estado fundamental governa a velocidade (Hur e Bruice, 2003), e a janela angular abrange a trajetória de Bürgi–Dunitz de adição nucleofílica a uma carbonila (Bürgi et al., 1973); os cortes numéricos são operacionais nesta análise e aqui são calibrados não contra um substrato conhecido, mas contra um controle interno — as sequências embaralhadas da Seção 3.5, que põem um resíduo básico na S1 sem a prolina seguinte, no protocolo idêntico.</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nenhum foi calibrado como discriminador entre inibidores reais e iscas embaralhadas, e ambos ordenam candidatos contra o mesmo receptor sem serem lidos como afinidades.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na frente M,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da tripsina bovina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Em todos os modelos os resíduos equivalentes à His57, ao Asp102 e à Ser195 são His, Asp e Ser, e as distâncias His–Ser e His–Asp (2,92–3,13 Å e 2,70–2,75 Å) são as de uma tríade montada; os resíduos do bolsão Asp189, Cys191, Gly193, Asp194, Gly216 e Gly226 são conservados, ao passo que Ser190, Val213, Trp215 e Gly219 variam entre as espécies (Tabela S2). O painel é, portanto, do tipo tripsina,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2A–C, Tabela 2). O RMSD do ligante foi menor para o inibidor real em 9 de 10 pares (a exceção foi</w:t>
      </w:r>
      <w:r>
        <w:t xml:space="preserve"> </w:t>
      </w:r>
      <w:r>
        <w:rPr>
          <w:i/>
          <w:iCs/>
        </w:rPr>
        <w:t xml:space="preserve">S. frugiperda</w:t>
      </w:r>
      <w:r>
        <w:t xml:space="preserve">–EcTI, 0,366 contra 0,347 nm; Figura 2D). Os escores do Boltz-2 são, portanto, usados adiante para comparar cada candidato com controles pareados contra o mesmo receptor, e não como medida absoluta de ligação.</w:t>
      </w:r>
    </w:p>
    <w:p>
      <w:pPr>
        <w:pStyle w:val="BodyText"/>
      </w:pPr>
      <w:r>
        <w:rPr>
          <w:b/>
          <w:bCs/>
        </w:rPr>
        <w:t xml:space="preserve">Tabela 2.</w:t>
      </w:r>
      <w:r>
        <w:t xml:space="preserve"> </w:t>
      </w:r>
      <w:r>
        <w:t xml:space="preserve">Pares de calibração (inibidor real / isca embaralhada). Conf.: confiança do Boltz-2. ipTM e pLDDT: escore de interface e pLDDT do complexo do Boltz-2. RMSD: RMSD do ligante após superposição no receptor (nm, último terço de 2 ns). Negrito marca o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ipTM</w:t>
            </w:r>
          </w:p>
        </w:tc>
        <w:tc>
          <w:tcPr/>
          <w:p>
            <w:pPr>
              <w:pStyle w:val="Compact"/>
              <w:spacing w:line="240" w:lineRule="auto"/>
            </w:pPr>
            <w:r>
              <w:rPr>
                <w:b/>
                <w:sz w:val="18"/>
              </w:rPr>
              <w:t xml:space="preserve">pLDDT</w:t>
            </w:r>
          </w:p>
        </w:tc>
        <w:tc>
          <w:tcPr/>
          <w:p>
            <w:pPr>
              <w:pStyle w:val="Compact"/>
              <w:spacing w:line="240" w:lineRule="auto"/>
            </w:pPr>
            <w:r>
              <w:rPr>
                <w:b/>
                <w:sz w:val="18"/>
              </w:rPr>
              <w:t xml:space="preserve">RMSD (nm)</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0,981 / 0,891</w:t>
            </w:r>
          </w:p>
        </w:tc>
        <w:tc>
          <w:tcPr/>
          <w:p>
            <w:pPr>
              <w:pStyle w:val="Compact"/>
              <w:spacing w:line="240" w:lineRule="auto"/>
            </w:pPr>
            <w:r>
              <w:rPr>
                <w:sz w:val="18"/>
              </w:rPr>
              <w:t xml:space="preserve">0,987 / 0,957</w:t>
            </w:r>
          </w:p>
        </w:tc>
        <w:tc>
          <w:tcPr/>
          <w:p>
            <w:pPr>
              <w:pStyle w:val="Compact"/>
              <w:spacing w:line="240" w:lineRule="auto"/>
            </w:pPr>
            <w:r>
              <w:rPr>
                <w:sz w:val="18"/>
              </w:rPr>
              <w:t xml:space="preserve">0,084 / 0,206</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0,853 / 0,716</w:t>
            </w:r>
          </w:p>
        </w:tc>
        <w:tc>
          <w:tcPr/>
          <w:p>
            <w:pPr>
              <w:pStyle w:val="Compact"/>
              <w:spacing w:line="240" w:lineRule="auto"/>
            </w:pPr>
            <w:r>
              <w:rPr>
                <w:sz w:val="18"/>
              </w:rPr>
              <w:t xml:space="preserve">0,950 / 0,813</w:t>
            </w:r>
          </w:p>
        </w:tc>
        <w:tc>
          <w:tcPr/>
          <w:p>
            <w:pPr>
              <w:pStyle w:val="Compact"/>
              <w:spacing w:line="240" w:lineRule="auto"/>
            </w:pPr>
            <w:r>
              <w:rPr>
                <w:sz w:val="18"/>
              </w:rPr>
              <w:t xml:space="preserve">0,372 / 0,452</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0,961 / 0,653</w:t>
            </w:r>
          </w:p>
        </w:tc>
        <w:tc>
          <w:tcPr/>
          <w:p>
            <w:pPr>
              <w:pStyle w:val="Compact"/>
              <w:spacing w:line="240" w:lineRule="auto"/>
            </w:pPr>
            <w:r>
              <w:rPr>
                <w:sz w:val="18"/>
              </w:rPr>
              <w:t xml:space="preserve">0,962 / 0,832</w:t>
            </w:r>
          </w:p>
        </w:tc>
        <w:tc>
          <w:tcPr/>
          <w:p>
            <w:pPr>
              <w:pStyle w:val="Compact"/>
              <w:spacing w:line="240" w:lineRule="auto"/>
            </w:pPr>
            <w:r>
              <w:rPr>
                <w:sz w:val="18"/>
              </w:rPr>
              <w:t xml:space="preserve">0,380 / 0,643</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0,936 / 0,775</w:t>
            </w:r>
          </w:p>
        </w:tc>
        <w:tc>
          <w:tcPr/>
          <w:p>
            <w:pPr>
              <w:pStyle w:val="Compact"/>
              <w:spacing w:line="240" w:lineRule="auto"/>
            </w:pPr>
            <w:r>
              <w:rPr>
                <w:sz w:val="18"/>
              </w:rPr>
              <w:t xml:space="preserve">0,933 / 0,665</w:t>
            </w:r>
          </w:p>
        </w:tc>
        <w:tc>
          <w:tcPr/>
          <w:p>
            <w:pPr>
              <w:pStyle w:val="Compact"/>
              <w:spacing w:line="240" w:lineRule="auto"/>
            </w:pPr>
            <w:r>
              <w:rPr>
                <w:sz w:val="18"/>
              </w:rPr>
              <w:t xml:space="preserve">0,181 / 0,537</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0,963 / 0,844</w:t>
            </w:r>
          </w:p>
        </w:tc>
        <w:tc>
          <w:tcPr/>
          <w:p>
            <w:pPr>
              <w:pStyle w:val="Compact"/>
              <w:spacing w:line="240" w:lineRule="auto"/>
            </w:pPr>
            <w:r>
              <w:rPr>
                <w:sz w:val="18"/>
              </w:rPr>
              <w:t xml:space="preserve">0,951 / 0,639</w:t>
            </w:r>
          </w:p>
        </w:tc>
        <w:tc>
          <w:tcPr/>
          <w:p>
            <w:pPr>
              <w:pStyle w:val="Compact"/>
              <w:spacing w:line="240" w:lineRule="auto"/>
            </w:pPr>
            <w:r>
              <w:rPr>
                <w:sz w:val="18"/>
              </w:rPr>
              <w:t xml:space="preserve">0,275 / 0,364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0,906 / 0,688</w:t>
            </w:r>
          </w:p>
        </w:tc>
        <w:tc>
          <w:tcPr/>
          <w:p>
            <w:pPr>
              <w:pStyle w:val="Compact"/>
              <w:spacing w:line="240" w:lineRule="auto"/>
            </w:pPr>
            <w:r>
              <w:rPr>
                <w:sz w:val="18"/>
              </w:rPr>
              <w:t xml:space="preserve">0,940 / 0,914</w:t>
            </w:r>
          </w:p>
        </w:tc>
        <w:tc>
          <w:tcPr/>
          <w:p>
            <w:pPr>
              <w:pStyle w:val="Compact"/>
              <w:spacing w:line="240" w:lineRule="auto"/>
            </w:pPr>
            <w:r>
              <w:rPr>
                <w:sz w:val="18"/>
              </w:rPr>
              <w:t xml:space="preserve">0,129 / 0,274</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0,717 / 0,318</w:t>
            </w:r>
          </w:p>
        </w:tc>
        <w:tc>
          <w:tcPr/>
          <w:p>
            <w:pPr>
              <w:pStyle w:val="Compact"/>
              <w:spacing w:line="240" w:lineRule="auto"/>
            </w:pPr>
            <w:r>
              <w:rPr>
                <w:sz w:val="18"/>
              </w:rPr>
              <w:t xml:space="preserve">0,899 / 0,732</w:t>
            </w:r>
          </w:p>
        </w:tc>
        <w:tc>
          <w:tcPr/>
          <w:p>
            <w:pPr>
              <w:pStyle w:val="Compact"/>
              <w:spacing w:line="240" w:lineRule="auto"/>
            </w:pPr>
            <w:r>
              <w:rPr>
                <w:sz w:val="18"/>
              </w:rPr>
              <w:t xml:space="preserve">0,349 / 1,167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0,918 / 0,643</w:t>
            </w:r>
          </w:p>
        </w:tc>
        <w:tc>
          <w:tcPr/>
          <w:p>
            <w:pPr>
              <w:pStyle w:val="Compact"/>
              <w:spacing w:line="240" w:lineRule="auto"/>
            </w:pPr>
            <w:r>
              <w:rPr>
                <w:sz w:val="18"/>
              </w:rPr>
              <w:t xml:space="preserve">0,867 / 0,783</w:t>
            </w:r>
          </w:p>
        </w:tc>
        <w:tc>
          <w:tcPr/>
          <w:p>
            <w:pPr>
              <w:pStyle w:val="Compact"/>
              <w:spacing w:line="240" w:lineRule="auto"/>
            </w:pPr>
            <w:r>
              <w:rPr>
                <w:sz w:val="18"/>
              </w:rPr>
              <w:t xml:space="preserve">0,317 / 0,342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sz w:val="18"/>
              </w:rPr>
              <w:t xml:space="preserve">0,866 / 0,607</w:t>
            </w:r>
          </w:p>
        </w:tc>
        <w:tc>
          <w:tcPr/>
          <w:p>
            <w:pPr>
              <w:pStyle w:val="Compact"/>
              <w:spacing w:line="240" w:lineRule="auto"/>
            </w:pPr>
            <w:r>
              <w:rPr>
                <w:sz w:val="18"/>
              </w:rPr>
              <w:t xml:space="preserve">0,868 / 0,645</w:t>
            </w:r>
          </w:p>
        </w:tc>
        <w:tc>
          <w:tcPr/>
          <w:p>
            <w:pPr>
              <w:pStyle w:val="Compact"/>
              <w:spacing w:line="240" w:lineRule="auto"/>
            </w:pPr>
            <w:r>
              <w:rPr>
                <w:b/>
                <w:bCs/>
                <w:sz w:val="18"/>
              </w:rPr>
              <w:t xml:space="preserve">0,366 / 0,347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0,711 / 0,706</w:t>
            </w:r>
          </w:p>
        </w:tc>
        <w:tc>
          <w:tcPr/>
          <w:p>
            <w:pPr>
              <w:pStyle w:val="Compact"/>
              <w:spacing w:line="240" w:lineRule="auto"/>
            </w:pPr>
            <w:r>
              <w:rPr>
                <w:sz w:val="18"/>
              </w:rPr>
              <w:t xml:space="preserve">0,889 / 0,608</w:t>
            </w:r>
          </w:p>
        </w:tc>
        <w:tc>
          <w:tcPr/>
          <w:p>
            <w:pPr>
              <w:pStyle w:val="Compact"/>
              <w:spacing w:line="240" w:lineRule="auto"/>
            </w:pPr>
            <w:r>
              <w:rPr>
                <w:sz w:val="18"/>
              </w:rPr>
              <w:t xml:space="preserve">0,200 / 0,466</w:t>
            </w:r>
          </w:p>
        </w:tc>
      </w:tr>
    </w:tbl>
    <w:p>
      <w:pPr>
        <w:pStyle w:val="CaptionedFigure"/>
      </w:pPr>
      <w:r>
        <w:drawing>
          <wp:inline>
            <wp:extent cx="5334000" cy="3556836"/>
            <wp:effectExtent b="0" l="0" r="0" t="0"/>
            <wp:docPr descr="Figura 2. Calibração da escada de escores com seis inibidores naturais e iscas embaralhadas (22 sistemas; Bt: tripsina bovina, Sf: S. frugiperda). Inibidor real (cheio) e isca embaralhada (vazado) para (A) confiança do Boltz-2, (B) ipTM do Boltz-2, (C) pLDDT do complexo e (D) RMSD do esqueleto do ligante após superposição no receptor (2 ns, último terço); o conector é vermelho quando a isca teve escore melhor, e o número de pares (de 10) em que o inibidor teve o melhor escore está em cada painel."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556836"/>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Inibidor real (cheio) e isca embaralhada (vazado) para (A) confiança do Boltz-2, (B) ipTM do Boltz-2, (C) pLDDT do complexo e (D) RMSD do esqueleto do ligante após superposição no receptor (2 ns, último terço); o conector é vermelho quando a isca teve escore melhor, e o número de pares (de 10) em que o inibidor teve o melhor escore está em cada painel.</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na frente L e 543 (2,5%) na frente M, 41–86 e 41–87 por espécie (Figura 3); como as sequências foram reunidas dentro de cada espécie e não entre espécies, essas contagens são pares sequência–alvo e correspondem a 445 e 461 sequências distintas. As 527 da frente L estão também na frente M; das 16 que passam só na frente M, 14 terminam em um resíduo proibido seguido, pelo fechamento, de uma prolina que também é o primeiro resíduo, e duas terminam em isoleucina. As duas frentes são, portanto, aninhadas e não uma partição do conjunto. O conjunto duro e o conjunto do escore de motivos, ao contrário, não se aninham (396 dos 543 candidatos da frente M, 73%, também eram RESISTENTE), e a divergência tem uma causa única: a regra de elastase do escore de motivos conta glicina e serina em P1, o que o critério duro não proíbe (Seção 2.4), de modo que os 147 candidatos que o escore de motivos não chama de RESISTENTE são justamente os ricos em glicina (85,9% de glicina e comprimento médio de 10,1 resíduos, contra 27,9% e 6,8 nos 396 aceitos pelas duas triagens). O conjunto duro é curto e rico em glicina (Figura S3): comprimento médio de 7,7 resíduos, 430 das 527 sequências da frente L (81,6%) com 8 resíduos ou menos, e glicina em 49,4% dos 4.060 resíduos, seguida de serina (11,7%), prolina (9,8%), treonina (9,0%) e aspartato (5,8%). Lisina ou arginina somaram nove resíduos (0,22%), cada um seguido de prolina (seis Arg–Pro, três Lys–Pro). O critério é sensível a onde se traça sua fronteira: proibir também a isoleucina no interior deixa 393 sequências da frente L, proibir a glicina deixa 49, proibir glicina e serina deixa 13, e acrescentar a treonina deixa 4.</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e pelo critério duro em cada uma das duas frentes;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e pelo critério duro em cada uma das duas frentes;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da frente L e 543 da frente M foram todos preditos (E1; confiança média de 0,874 e 0,862). Prever 442 candidatos uma segunda vez com entrada idêntica deu correlação de postos de apenas 0,57 entre execuções (diferença absoluta média 0,028; 0,21–0,69 por espécie), e as duas frentes da mesma sequência (n = 527) se correlacionaram em 0,50 (Figura 4). A concordância entre as duas formas é, portanto, próxima da concordância entre duas execuções de uma delas, e uma única predição não separa um efeito da forma do ruído de amostragem. No E2, os dez melhores candidatos por espécie e frente foram re-preditos (15 predições cada): a confiança média caiu de 0,922 para 0,900 (frente L) e de 0,911 para 0,888 (frente M),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da frente L e 18 das 24 da frente M. Só três dos 48 contêm lisina ou arginina (NGGRPDAP na frente L; PISQIDSGSR e GGKPGEP na frente M).</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na frente L, 0,29 na frente M);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preditos na primeira rodada e de novo na triagem de duas frentes, com entrada idêntica. (B) As mesmas 527 sequências preditas em cada uma das duas frent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preditos na primeira rodada e de novo na triagem de duas frentes, com entrada idêntica. (B) As mesmas 527 sequências preditas em cada uma das duas frentes.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frente L (em cima) e frente M (embaixo): ocupância na segunda metade, contato com a serina catalítica e qualquer contato com o receptor; ✗ marca candidatos da frente M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frente L (em cima) e frente M (embaixo): ocupância na segunda metade, contato com a serina catalítica e qualquer contato com o receptor; ✗ marca candidatos da frente M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candidatos mais longos da frente M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na frente L, 10 na frente M),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na frente L, 10 na frente M),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Os dois pH foram simulados porque o intestino médio das lagartas de lepidópteros não tem um pH único: o lúmen é fortemente alcalino (Dow, 1992), com extratos de intestino de</w:t>
      </w:r>
      <w:r>
        <w:t xml:space="preserve"> </w:t>
      </w:r>
      <w:r>
        <w:rPr>
          <w:i/>
          <w:iCs/>
        </w:rPr>
        <w:t xml:space="preserve">H. virescens</w:t>
      </w:r>
      <w:r>
        <w:t xml:space="preserve"> </w:t>
      </w:r>
      <w:r>
        <w:t xml:space="preserve">em pH 9,56–10,0 (Karumbaiah et al., 2007), mas o valor difere entre espécies, e o pH 8,2 é também o dos ensaios enzimáticos contra os quais um Ki seria medido (Schultz et al., 2026). Um candidato que mantivesse sua posição em S1 nos dois pH seria eficaz ao longo da faixa encontrada nas espécies-alvo e, portanto, mais viável como agente de controle do que um que se ligasse em apenas um deles; este é o critério aplicado nesta seção, e a comparação pergunta se o resultado em um pH se reproduz no outro, não qual pH é melhor.</w:t>
      </w:r>
    </w:p>
    <w:p>
      <w:pPr>
        <w:pStyle w:val="BodyText"/>
      </w:pPr>
      <w:r>
        <w:t xml:space="preserve">As 48 simulações de pH 8,2 (24 por frente)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candidatos da frente M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candidato da frente M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frente L; verde-azulado: frente M;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frente L; verde-azulado: frente M;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a frente M e, na frente L,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não como limiar absoluto.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fechamento cabeça-cauda é a única restrição mantida, e só na frente M.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sem entropia e o PRODIGY, treinado em complexos proteína–proteína (Vangone e Bonvin, 2015), são sensíveis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os nove resíduos que as três especificidades primárias documentadas assumem em P1, ele deixa peptídeos com quase metade de glicina e só nove resíduos básicos, cada um protegido por uma prolina seguinte, uma exceção tirada da especificidade geral das enzimas e aproximada para cada espécie. O critério não proíbe todo P1 concebível: glicina e serina, que regras amplas de elastase também listam, foram mantidas, porque a enzima de Lepidoptera caracterizada até aqui é do tipo elastase-2, com P1 = Leu, e porque excluí-las deixa 13 dos 527 candidatos (Seções 2.4 e 3.3). A seleção troca, assim, um risco por outro — remove os sítios das enzimas que foram medidas nesses intestinos e enriquece peptídeos cujas posições P1 são resíduos pequenos que não foram — e o enriquecimento é consequência da regra, não evidência de estabilidade.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esqueleto fechado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Fechar o esqueleto remove as extremidades expostas, mas não os sítios internos (a frente M ganhou só 16 sequências sobre a frente L), e a aminopeptidase N, que precisa de um N-terminal livre, não é tratada na frente L.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e só oito dos 15 resíduos de ponto quente chegaram ao RFdiffusion. A difusão foi feita com as extremidades do esqueleto unidas, de modo que a frente L toma o mesmo conjunto de sequências com extremidades livres e o redobra com o Boltz-2, em vez de se apoiar numa campanha difundida para a forma aberta; um esqueleto difundido como peptídeo linear poderia dar sequências diferentes, e nenhuma comparação feita aqui separa o efeito da forma do dessa assimetria. (v) O critério de não clivabilidade é uma previsão em nível de motivo: cobre os resíduos P1 das atividades tipo tripsina e tipo quimotripsina/elastase-2 medidas em intestino médio de Lepidoptera, acrescenta Ala e Val por uma especificidade tipo elastase-1 não caracterizada nessas espécies e deixa glicina e serina sem exclusão, de modo que atividade de P1 pequeno e de oligopeptidases não é tratada; a exceção K/R–Pro é estatística e a aminopeptidase N não é excluída na frente L.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apenas ordenam candidatos contra o mesmo receptor;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S1–S11 e as Tabelas S1–S3 (legendas e tabelas abaixo) são fornecidas como material suplementar.</w:t>
      </w:r>
    </w:p>
    <w:bookmarkEnd w:id="73"/>
    <w:bookmarkStart w:id="104"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a ligação de fechamento nas simulações da frente M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da ligação de fechamento nas simulações da frente M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as 1.829 sequências resistente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das 1.829 sequências resistentes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2" name="Picture"/>
            <a:graphic>
              <a:graphicData uri="http://schemas.openxmlformats.org/drawingml/2006/picture">
                <pic:pic>
                  <pic:nvPicPr>
                    <pic:cNvPr descr="figures/final/FigureS10_energy_trajectories.png" id="103" name="Picture"/>
                    <pic:cNvPicPr>
                      <a:picLocks noChangeArrowheads="1" noChangeAspect="1"/>
                    </pic:cNvPicPr>
                  </pic:nvPicPr>
                  <pic:blipFill>
                    <a:blip r:embed="rId101"/>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4"/>
    <w:bookmarkStart w:id="105" w:name="tabelas-suplementares"/>
    <w:p>
      <w:pPr>
        <w:pStyle w:val="Heading2"/>
      </w:pPr>
      <w:r>
        <w:t xml:space="preserve">Tabelas suplementares</w:t>
      </w:r>
    </w:p>
    <w:p>
      <w:pPr>
        <w:pStyle w:val="FirstParagraph"/>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p>
      <w:pPr>
        <w:pStyle w:val="BodyText"/>
      </w:pPr>
      <w:r>
        <w:rPr>
          <w:b/>
          <w:bCs/>
        </w:rPr>
        <w:t xml:space="preserve">Tabela S2.</w:t>
      </w:r>
      <w:r>
        <w:t xml:space="preserve"> </w:t>
      </w:r>
      <w:r>
        <w:t xml:space="preserve">Tríade catalítica e bolsão S1 dos dez receptores (modelos do AlphaFold). As posições estão na numeração do modelo; a coluna da tripsina bovina (P00760) dá a numeração de referência. Negrito: resíduo diferente do da tripsina bovina. O bolsão S1 é o conjunto dos 14 resíduos da tripsina em contato com o P1 em 2PTC e 1SFI (Tabela S1); a His57 e a Ser195 pertencem a ele e aparecem uma só vez, na tríade. O Asp189 é o resíduo de especificidade. Distâncias: NE2 da His à OG da Ser e ND1 da His ao oxigênio do carboxilato do Asp102 mais próximo, no modelo. Dados:</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Grupo</w:t>
            </w:r>
          </w:p>
        </w:tc>
        <w:tc>
          <w:tcPr/>
          <w:p>
            <w:pPr>
              <w:pStyle w:val="Compact"/>
              <w:spacing w:line="240" w:lineRule="auto"/>
            </w:pPr>
            <w:r>
              <w:rPr>
                <w:b/>
                <w:sz w:val="18"/>
              </w:rPr>
              <w:t xml:space="preserve">Posição</w:t>
            </w:r>
          </w:p>
        </w:tc>
        <w:tc>
          <w:tcPr/>
          <w:p>
            <w:pPr>
              <w:pStyle w:val="Compact"/>
              <w:spacing w:line="240" w:lineRule="auto"/>
            </w:pPr>
            <w:r>
              <w:rPr>
                <w:b/>
                <w:sz w:val="18"/>
              </w:rPr>
              <w:t xml:space="preserve">Tripsina bovina</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Tríade catalítica</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Bolsão S1</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p>
      <w:pPr>
        <w:pStyle w:val="BodyText"/>
      </w:pPr>
      <w:r>
        <w:rPr>
          <w:b/>
          <w:bCs/>
        </w:rPr>
        <w:t xml:space="preserve">Tabela S3.</w:t>
      </w:r>
      <w:r>
        <w:t xml:space="preserve"> </w:t>
      </w:r>
      <w:r>
        <w:t xml:space="preserve">Cada filtro e limiar do fluxo, com sua base.</w:t>
      </w:r>
      <w:r>
        <w:t xml:space="preserve"> </w:t>
      </w:r>
      <w:r>
        <w:t xml:space="preserve">“Operacional”</w:t>
      </w:r>
      <w:r>
        <w:t xml:space="preserve"> </w:t>
      </w:r>
      <w:r>
        <w:t xml:space="preserve">quer dizer que o valor foi fixado antes de a etapa ser executada e não tem base na literatura; ele é informado para que o efeito da escolha possa ser julgado.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Decisão</w:t>
            </w:r>
          </w:p>
        </w:tc>
        <w:tc>
          <w:tcPr/>
          <w:p>
            <w:pPr>
              <w:pStyle w:val="Compact"/>
              <w:spacing w:line="240" w:lineRule="auto"/>
            </w:pPr>
            <w:r>
              <w:rPr>
                <w:b/>
                <w:sz w:val="18"/>
              </w:rPr>
              <w:t xml:space="preserve">Base</w:t>
            </w:r>
          </w:p>
        </w:tc>
      </w:tr>
      <w:tr>
        <w:tc>
          <w:tcPr/>
          <w:p>
            <w:pPr>
              <w:pStyle w:val="Compact"/>
              <w:spacing w:line="240" w:lineRule="auto"/>
            </w:pPr>
            <w:r>
              <w:rPr>
                <w:sz w:val="18"/>
              </w:rPr>
              <w:t xml:space="preserve">Receptores (2.1)</w:t>
            </w:r>
          </w:p>
        </w:tc>
        <w:tc>
          <w:tcPr/>
          <w:p>
            <w:pPr>
              <w:pStyle w:val="Compact"/>
              <w:spacing w:line="240" w:lineRule="auto"/>
            </w:pPr>
            <w:r>
              <w:rPr>
                <w:sz w:val="18"/>
              </w:rPr>
              <w:t xml:space="preserve">Resíduo de especificidade seis posições antes da serina catalítica, motivo G[DN]SGG[PT]</w:t>
            </w:r>
          </w:p>
        </w:tc>
        <w:tc>
          <w:tcPr/>
          <w:p>
            <w:pPr>
              <w:pStyle w:val="Compact"/>
              <w:spacing w:line="240" w:lineRule="auto"/>
            </w:pPr>
            <w:r>
              <w:rPr>
                <w:sz w:val="18"/>
              </w:rPr>
              <w:t xml:space="preserve">Deslocamento calibrado na tripsina bovina (UniProt Consortium, 2025); S1 definido pelo Asp189 (Perona e Craik, 1995; Hedstrom, 2002)</w:t>
            </w:r>
          </w:p>
        </w:tc>
      </w:tr>
      <w:tr>
        <w:tc>
          <w:tcPr/>
          <w:p>
            <w:pPr>
              <w:pStyle w:val="Compact"/>
              <w:spacing w:line="240" w:lineRule="auto"/>
            </w:pPr>
            <w:r>
              <w:rPr>
                <w:sz w:val="18"/>
              </w:rPr>
              <w:t xml:space="preserve">Transferência de subsítios (2.1)</w:t>
            </w:r>
          </w:p>
        </w:tc>
        <w:tc>
          <w:tcPr/>
          <w:p>
            <w:pPr>
              <w:pStyle w:val="Compact"/>
              <w:spacing w:line="240" w:lineRule="auto"/>
            </w:pPr>
            <w:r>
              <w:rPr>
                <w:sz w:val="18"/>
              </w:rPr>
              <w:t xml:space="preserve">Contato a 4,5 Å; TM-score ≥ 0,5; RMSD ≤ 3,0 Å</w:t>
            </w:r>
          </w:p>
        </w:tc>
        <w:tc>
          <w:tcPr/>
          <w:p>
            <w:pPr>
              <w:pStyle w:val="Compact"/>
              <w:spacing w:line="240" w:lineRule="auto"/>
            </w:pPr>
            <w:r>
              <w:rPr>
                <w:sz w:val="18"/>
              </w:rPr>
              <w:t xml:space="preserve">Nomenclatura dos subsítios (Schechter e Berger, 1967); TM-score 0,5 como fronteira de enovelamento (Xu e Zhang, 2010); distância de contato e limite de RMSD operacionais</w:t>
            </w:r>
          </w:p>
        </w:tc>
      </w:tr>
      <w:tr>
        <w:tc>
          <w:tcPr/>
          <w:p>
            <w:pPr>
              <w:pStyle w:val="Compact"/>
              <w:spacing w:line="240" w:lineRule="auto"/>
            </w:pPr>
            <w:r>
              <w:rPr>
                <w:sz w:val="18"/>
              </w:rPr>
              <w:t xml:space="preserve">Calibração (2.2)</w:t>
            </w:r>
          </w:p>
        </w:tc>
        <w:tc>
          <w:tcPr/>
          <w:p>
            <w:pPr>
              <w:pStyle w:val="Compact"/>
              <w:spacing w:line="240" w:lineRule="auto"/>
            </w:pPr>
            <w:r>
              <w:rPr>
                <w:sz w:val="18"/>
              </w:rPr>
              <w:t xml:space="preserve">O inibidor real tem de pontuar acima de sua isca embaralhada, com direção fixada de antemão; seis inibidores, dois receptores</w:t>
            </w:r>
          </w:p>
        </w:tc>
        <w:tc>
          <w:tcPr/>
          <w:p>
            <w:pPr>
              <w:pStyle w:val="Compact"/>
              <w:spacing w:line="240" w:lineRule="auto"/>
            </w:pPr>
            <w:r>
              <w:rPr>
                <w:sz w:val="18"/>
              </w:rPr>
              <w:t xml:space="preserve">Só comparação pareada, porque a confiança de modelos de aprendizado profundo é medida absoluta fraca de afinidade (Wan et al., 2026; Li et al., 2026)</w:t>
            </w:r>
          </w:p>
        </w:tc>
      </w:tr>
      <w:tr>
        <w:tc>
          <w:tcPr/>
          <w:p>
            <w:pPr>
              <w:pStyle w:val="Compact"/>
              <w:spacing w:line="240" w:lineRule="auto"/>
            </w:pPr>
            <w:r>
              <w:rPr>
                <w:sz w:val="18"/>
              </w:rPr>
              <w:t xml:space="preserve">Esqueleto (2.3)</w:t>
            </w:r>
          </w:p>
        </w:tc>
        <w:tc>
          <w:tcPr/>
          <w:p>
            <w:pPr>
              <w:pStyle w:val="Compact"/>
              <w:spacing w:line="240" w:lineRule="auto"/>
            </w:pPr>
            <w:r>
              <w:rPr>
                <w:sz w:val="18"/>
              </w:rPr>
              <w:t xml:space="preserve">Difusão com as extremidades unidas (fechamento cabeça-cauda) nos 880 esqueletos; as duas formas químicas são então avaliadas como frentes L e M</w:t>
            </w:r>
          </w:p>
        </w:tc>
        <w:tc>
          <w:tcPr/>
          <w:p>
            <w:pPr>
              <w:pStyle w:val="Compact"/>
              <w:spacing w:line="240" w:lineRule="auto"/>
            </w:pPr>
            <w:r>
              <w:rPr>
                <w:sz w:val="18"/>
              </w:rPr>
              <w:t xml:space="preserve">A SFTI-1 é um macrociclo cabeça-cauda natural (Luckett et al., 1999); a rigidez da alça aumenta afinidade e resistência à proteólise (Kelly et al., 2005); peptídeos bicíclicos de alças de inibidores foram dez vezes mais potentes que os lineares (Saikhedkar et al., 2019)</w:t>
            </w:r>
          </w:p>
        </w:tc>
      </w:tr>
      <w:tr>
        <w:tc>
          <w:tcPr/>
          <w:p>
            <w:pPr>
              <w:pStyle w:val="Compact"/>
              <w:spacing w:line="240" w:lineRule="auto"/>
            </w:pPr>
            <w:r>
              <w:rPr>
                <w:sz w:val="18"/>
              </w:rPr>
              <w:t xml:space="preserve">Desenho de sequências (2.3)</w:t>
            </w:r>
          </w:p>
        </w:tc>
        <w:tc>
          <w:tcPr/>
          <w:p>
            <w:pPr>
              <w:pStyle w:val="Compact"/>
              <w:spacing w:line="240" w:lineRule="auto"/>
            </w:pPr>
            <w:r>
              <w:rPr>
                <w:sz w:val="18"/>
              </w:rPr>
              <w:t xml:space="preserve">Cisteína excluída</w:t>
            </w:r>
          </w:p>
        </w:tc>
        <w:tc>
          <w:tcPr/>
          <w:p>
            <w:pPr>
              <w:pStyle w:val="Compact"/>
              <w:spacing w:line="240" w:lineRule="auto"/>
            </w:pPr>
            <w:r>
              <w:rPr>
                <w:sz w:val="18"/>
              </w:rPr>
              <w:t xml:space="preserve">O potencial redox do intestino médio varia entre lagartas, redutor em algumas espécies e oxidante em outras (Appel e Martin, 1990; Johnson e Felton, 1996), de modo que uma ponte dissulfeto não é restrição transferível</w:t>
            </w:r>
          </w:p>
        </w:tc>
      </w:tr>
      <w:tr>
        <w:tc>
          <w:tcPr/>
          <w:p>
            <w:pPr>
              <w:pStyle w:val="Compact"/>
              <w:spacing w:line="240" w:lineRule="auto"/>
            </w:pPr>
            <w:r>
              <w:rPr>
                <w:sz w:val="18"/>
              </w:rPr>
              <w:t xml:space="preserve">Desenho de sequências (2.3)</w:t>
            </w:r>
          </w:p>
        </w:tc>
        <w:tc>
          <w:tcPr/>
          <w:p>
            <w:pPr>
              <w:pStyle w:val="Compact"/>
              <w:spacing w:line="240" w:lineRule="auto"/>
            </w:pPr>
            <w:r>
              <w:rPr>
                <w:sz w:val="18"/>
              </w:rPr>
              <w:t xml:space="preserve">Comprimentos de 5 a 20 resíduos</w:t>
            </w:r>
          </w:p>
        </w:tc>
        <w:tc>
          <w:tcPr/>
          <w:p>
            <w:pPr>
              <w:pStyle w:val="Compact"/>
              <w:spacing w:line="240" w:lineRule="auto"/>
            </w:pPr>
            <w:r>
              <w:rPr>
                <w:sz w:val="18"/>
              </w:rPr>
              <w:t xml:space="preserve">Abrange os peptídeos ensaiados contra tripsinas de Lepidoptera, dos tripeptídeos (de Almeida Barros et al., 2021) à SFTI-1, de 14 resíduos (Luckett et al., 1999)</w:t>
            </w:r>
          </w:p>
        </w:tc>
      </w:tr>
      <w:tr>
        <w:tc>
          <w:tcPr/>
          <w:p>
            <w:pPr>
              <w:pStyle w:val="Compact"/>
              <w:spacing w:line="240" w:lineRule="auto"/>
            </w:pPr>
            <w:r>
              <w:rPr>
                <w:sz w:val="18"/>
              </w:rPr>
              <w:t xml:space="preserve">Triagem por motivos (2.4)</w:t>
            </w:r>
          </w:p>
        </w:tc>
        <w:tc>
          <w:tcPr/>
          <w:p>
            <w:pPr>
              <w:pStyle w:val="Compact"/>
              <w:spacing w:line="240" w:lineRule="auto"/>
            </w:pPr>
            <w:r>
              <w:rPr>
                <w:sz w:val="18"/>
              </w:rPr>
              <w:t xml:space="preserve">Sete regras de motivo P1, varredura circular; RESISTENTE abaixo de 0,3, MARGINAL abaixo de 0,5</w:t>
            </w:r>
          </w:p>
        </w:tc>
        <w:tc>
          <w:tcPr/>
          <w:p>
            <w:pPr>
              <w:pStyle w:val="Compact"/>
              <w:spacing w:line="240" w:lineRule="auto"/>
            </w:pPr>
            <w:r>
              <w:rPr>
                <w:sz w:val="18"/>
              </w:rPr>
              <w:t xml:space="preserve">Conjunto de regras do PeptideCutter (Gasteiger et al., 2005); os dois cortes são operacionais</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K e R proibidos</w:t>
            </w:r>
          </w:p>
        </w:tc>
        <w:tc>
          <w:tcPr/>
          <w:p>
            <w:pPr>
              <w:pStyle w:val="Compact"/>
              <w:spacing w:line="240" w:lineRule="auto"/>
            </w:pPr>
            <w:r>
              <w:rPr>
                <w:sz w:val="18"/>
              </w:rPr>
              <w:t xml:space="preserve">As enzimas tipo tripsina são as principais proteases digestivas (da Silva Júnior et al., 2020; de Almeida Barros et al., 2021; Valaitis, 1995) e exigem K/R em P1 (Perona e Craik, 1995; Patarroyo-Vargas et al., 2017)</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F, Y, W, L e M proibidos</w:t>
            </w:r>
          </w:p>
        </w:tc>
        <w:tc>
          <w:tcPr/>
          <w:p>
            <w:pPr>
              <w:pStyle w:val="Compact"/>
              <w:spacing w:line="240" w:lineRule="auto"/>
            </w:pPr>
            <w:r>
              <w:rPr>
                <w:sz w:val="18"/>
              </w:rPr>
              <w:t xml:space="preserve">Enzima tipo elastase-2 com P1 = Leu (Valaitis, 1995); quimotripsina que hidrolisa os substratos com Phe e com Leu (Valaitis et al., 1999); enzimas tipo quimotripsina das espécies-praga (Yang et al., 2013; Zhan et al., 2011; Nakonieczny et al., 2007)</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A e V proibidos</w:t>
            </w:r>
          </w:p>
        </w:tc>
        <w:tc>
          <w:tcPr/>
          <w:p>
            <w:pPr>
              <w:pStyle w:val="Compact"/>
              <w:spacing w:line="240" w:lineRule="auto"/>
            </w:pPr>
            <w:r>
              <w:rPr>
                <w:sz w:val="18"/>
              </w:rPr>
              <w:t xml:space="preserve">P1 alifático pequeno das enzimas tipo elastase-1 (Gasteiger et al., 2005; Rawlings et al., 2018); conservador, não caracterizado nessas espécies</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G e S permitidos</w:t>
            </w:r>
          </w:p>
        </w:tc>
        <w:tc>
          <w:tcPr/>
          <w:p>
            <w:pPr>
              <w:pStyle w:val="Compact"/>
              <w:spacing w:line="240" w:lineRule="auto"/>
            </w:pPr>
            <w:r>
              <w:rPr>
                <w:sz w:val="18"/>
              </w:rPr>
              <w:t xml:space="preserve">A atividade caracterizada em Lepidoptera é do tipo elastase-2; excluí-los deixa 13 dos 527 candidatos (3.3). Risco residual declarado</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Exceção quando P1′ = prolina</w:t>
            </w:r>
          </w:p>
        </w:tc>
        <w:tc>
          <w:tcPr/>
          <w:p>
            <w:pPr>
              <w:pStyle w:val="Compact"/>
              <w:spacing w:line="240" w:lineRule="auto"/>
            </w:pPr>
            <w:r>
              <w:rPr>
                <w:sz w:val="18"/>
              </w:rPr>
              <w:t xml:space="preserve">A prolina bloqueia ou retarda a clivagem nas regras compiladas (Gasteiger et al., 2005; Rawlings et al., 2018); estatística, não absoluta (Rodriguez et al., 2008; Pan et al., 2014)</w:t>
            </w:r>
          </w:p>
        </w:tc>
      </w:tr>
      <w:tr>
        <w:tc>
          <w:tcPr/>
          <w:p>
            <w:pPr>
              <w:pStyle w:val="Compact"/>
              <w:spacing w:line="240" w:lineRule="auto"/>
            </w:pPr>
            <w:r>
              <w:rPr>
                <w:sz w:val="18"/>
              </w:rPr>
              <w:t xml:space="preserve">Critério duro (2.4)</w:t>
            </w:r>
          </w:p>
        </w:tc>
        <w:tc>
          <w:tcPr/>
          <w:p>
            <w:pPr>
              <w:pStyle w:val="Compact"/>
              <w:spacing w:line="240" w:lineRule="auto"/>
            </w:pPr>
            <w:r>
              <w:rPr>
                <w:sz w:val="18"/>
              </w:rPr>
              <w:t xml:space="preserve">C-terminal livre também triado, isoleucina incluída</w:t>
            </w:r>
          </w:p>
        </w:tc>
        <w:tc>
          <w:tcPr/>
          <w:p>
            <w:pPr>
              <w:pStyle w:val="Compact"/>
              <w:spacing w:line="240" w:lineRule="auto"/>
            </w:pPr>
            <w:r>
              <w:rPr>
                <w:sz w:val="18"/>
              </w:rPr>
              <w:t xml:space="preserve">A carboxipeptidase A predomina no intestino médio de Lepidoptera, com carboxipeptidase B em nível mais baixo (Bown et al., 1998; Valaitis et al., 1999); especificidades por resíduos C-terminais hidrofóbicos e básicos (Rawlings et al., 2018)</w:t>
            </w:r>
          </w:p>
        </w:tc>
      </w:tr>
      <w:tr>
        <w:tc>
          <w:tcPr/>
          <w:p>
            <w:pPr>
              <w:pStyle w:val="Compact"/>
              <w:spacing w:line="240" w:lineRule="auto"/>
            </w:pPr>
            <w:r>
              <w:rPr>
                <w:sz w:val="18"/>
              </w:rPr>
              <w:t xml:space="preserve">Co-dobramento (2.5)</w:t>
            </w:r>
          </w:p>
        </w:tc>
        <w:tc>
          <w:tcPr/>
          <w:p>
            <w:pPr>
              <w:pStyle w:val="Compact"/>
              <w:spacing w:line="240" w:lineRule="auto"/>
            </w:pPr>
            <w:r>
              <w:rPr>
                <w:sz w:val="18"/>
              </w:rPr>
              <w:t xml:space="preserve">Usada a confiança do Boltz-2; a saída de afinidade não foi usada</w:t>
            </w:r>
          </w:p>
        </w:tc>
        <w:tc>
          <w:tcPr/>
          <w:p>
            <w:pPr>
              <w:pStyle w:val="Compact"/>
              <w:spacing w:line="240" w:lineRule="auto"/>
            </w:pPr>
            <w:r>
              <w:rPr>
                <w:sz w:val="18"/>
              </w:rPr>
              <w:t xml:space="preserve">As predições de afinidade não têm resolução energética para este uso (Wan et al., 2026)</w:t>
            </w:r>
          </w:p>
        </w:tc>
      </w:tr>
      <w:tr>
        <w:tc>
          <w:tcPr/>
          <w:p>
            <w:pPr>
              <w:pStyle w:val="Compact"/>
              <w:spacing w:line="240" w:lineRule="auto"/>
            </w:pPr>
            <w:r>
              <w:rPr>
                <w:sz w:val="18"/>
              </w:rPr>
              <w:t xml:space="preserve">Qualidade de pose, E4 (2.5)</w:t>
            </w:r>
          </w:p>
        </w:tc>
        <w:tc>
          <w:tcPr/>
          <w:p>
            <w:pPr>
              <w:pStyle w:val="Compact"/>
              <w:spacing w:line="240" w:lineRule="auto"/>
            </w:pPr>
            <w:r>
              <w:rPr>
                <w:sz w:val="18"/>
              </w:rPr>
              <w:t xml:space="preserve">Contato ≥ 2,2 Å; |ω| ≥ 150°; quiralidade L; His57–Ser195 ≤ 3,8 Å; C–N de fechamento ≤ 1,5 Å</w:t>
            </w:r>
          </w:p>
        </w:tc>
        <w:tc>
          <w:tcPr/>
          <w:p>
            <w:pPr>
              <w:pStyle w:val="Compact"/>
              <w:spacing w:line="240" w:lineRule="auto"/>
            </w:pPr>
            <w:r>
              <w:rPr>
                <w:sz w:val="18"/>
              </w:rPr>
              <w:t xml:space="preserve">Operacional, fixado antes da etapa; a distância da tríade confere se o sítio catalítico está montado, como no painel de receptores (3.1)</w:t>
            </w:r>
          </w:p>
        </w:tc>
      </w:tr>
      <w:tr>
        <w:tc>
          <w:tcPr/>
          <w:p>
            <w:pPr>
              <w:pStyle w:val="Compact"/>
              <w:spacing w:line="240" w:lineRule="auto"/>
            </w:pPr>
            <w:r>
              <w:rPr>
                <w:sz w:val="18"/>
              </w:rPr>
              <w:t xml:space="preserve">Seleção para a DM (2.5)</w:t>
            </w:r>
          </w:p>
        </w:tc>
        <w:tc>
          <w:tcPr/>
          <w:p>
            <w:pPr>
              <w:pStyle w:val="Compact"/>
              <w:spacing w:line="240" w:lineRule="auto"/>
            </w:pPr>
            <w:r>
              <w:rPr>
                <w:sz w:val="18"/>
              </w:rPr>
              <w:t xml:space="preserve">Três candidatos por espécie e frente pela confiança média do E2; Δ não usado</w:t>
            </w:r>
          </w:p>
        </w:tc>
        <w:tc>
          <w:tcPr/>
          <w:p>
            <w:pPr>
              <w:pStyle w:val="Compact"/>
              <w:spacing w:line="240" w:lineRule="auto"/>
            </w:pPr>
            <w:r>
              <w:rPr>
                <w:sz w:val="18"/>
              </w:rPr>
              <w:t xml:space="preserve">Operacional; o Δ se apoia em três controles e é da ordem do ruído de predição (3.4)</w:t>
            </w:r>
          </w:p>
        </w:tc>
      </w:tr>
      <w:tr>
        <w:tc>
          <w:tcPr/>
          <w:p>
            <w:pPr>
              <w:pStyle w:val="Compact"/>
              <w:spacing w:line="240" w:lineRule="auto"/>
            </w:pPr>
            <w:r>
              <w:rPr>
                <w:sz w:val="18"/>
              </w:rPr>
              <w:t xml:space="preserve">Simulação (2.6)</w:t>
            </w:r>
          </w:p>
        </w:tc>
        <w:tc>
          <w:tcPr/>
          <w:p>
            <w:pPr>
              <w:pStyle w:val="Compact"/>
              <w:spacing w:line="240" w:lineRule="auto"/>
            </w:pPr>
            <w:r>
              <w:rPr>
                <w:sz w:val="18"/>
              </w:rPr>
              <w:t xml:space="preserve">pH 10,0 e pH 8,2</w:t>
            </w:r>
          </w:p>
        </w:tc>
        <w:tc>
          <w:tcPr/>
          <w:p>
            <w:pPr>
              <w:pStyle w:val="Compact"/>
              <w:spacing w:line="240" w:lineRule="auto"/>
            </w:pPr>
            <w:r>
              <w:rPr>
                <w:sz w:val="18"/>
              </w:rPr>
              <w:t xml:space="preserve">Intestino médio fortemente alcalino (Dow, 1992), extratos intestinais em pH 9,56–10,0 (Karumbaiah et al., 2007); o pH 8,2 é o do ensaio em que um</w:t>
            </w:r>
            <w:r>
              <w:rPr>
                <w:sz w:val="18"/>
              </w:rPr>
              <w:t xml:space="preserve"> </w:t>
            </w:r>
            <w:r>
              <w:rPr>
                <w:i/>
                <w:iCs/>
                <w:sz w:val="18"/>
              </w:rPr>
              <w:t xml:space="preserve">K</w:t>
            </w:r>
            <w:r>
              <w:rPr>
                <w:sz w:val="18"/>
                <w:vertAlign w:val="subscript"/>
              </w:rPr>
              <w:t xml:space="preserve">i</w:t>
            </w:r>
            <w:r>
              <w:rPr>
                <w:sz w:val="18"/>
              </w:rPr>
              <w:t xml:space="preserve"> </w:t>
            </w:r>
            <w:r>
              <w:rPr>
                <w:sz w:val="18"/>
              </w:rPr>
              <w:t xml:space="preserve">seria medido (Schultz et al., 2026)</w:t>
            </w:r>
          </w:p>
        </w:tc>
      </w:tr>
      <w:tr>
        <w:tc>
          <w:tcPr/>
          <w:p>
            <w:pPr>
              <w:pStyle w:val="Compact"/>
              <w:spacing w:line="240" w:lineRule="auto"/>
            </w:pPr>
            <w:r>
              <w:rPr>
                <w:sz w:val="18"/>
              </w:rPr>
              <w:t xml:space="preserve">Análise (2.7)</w:t>
            </w:r>
          </w:p>
        </w:tc>
        <w:tc>
          <w:tcPr/>
          <w:p>
            <w:pPr>
              <w:pStyle w:val="Compact"/>
              <w:spacing w:line="240" w:lineRule="auto"/>
            </w:pPr>
            <w:r>
              <w:rPr>
                <w:sz w:val="18"/>
              </w:rPr>
              <w:t xml:space="preserve">Ocupância de S1 a 5 Å; ocupância da segunda metade ≥ 70% (rebaixada a descrição em 2 de outubro de 2026)</w:t>
            </w:r>
          </w:p>
        </w:tc>
        <w:tc>
          <w:tcPr/>
          <w:p>
            <w:pPr>
              <w:pStyle w:val="Compact"/>
              <w:spacing w:line="240" w:lineRule="auto"/>
            </w:pPr>
            <w:r>
              <w:rPr>
                <w:sz w:val="18"/>
              </w:rPr>
              <w:t xml:space="preserve">Operacional; rebaixada porque o desfecho segue a pose inicial e toda isca a satisfaz (3.5)</w:t>
            </w:r>
          </w:p>
        </w:tc>
      </w:tr>
      <w:tr>
        <w:tc>
          <w:tcPr/>
          <w:p>
            <w:pPr>
              <w:pStyle w:val="Compact"/>
              <w:spacing w:line="240" w:lineRule="auto"/>
            </w:pPr>
            <w:r>
              <w:rPr>
                <w:sz w:val="18"/>
              </w:rPr>
              <w:t xml:space="preserve">Geometria de ataque (2.7)</w:t>
            </w:r>
          </w:p>
        </w:tc>
        <w:tc>
          <w:tcPr/>
          <w:p>
            <w:pPr>
              <w:pStyle w:val="Compact"/>
              <w:spacing w:line="240" w:lineRule="auto"/>
            </w:pPr>
            <w:r>
              <w:rPr>
                <w:sz w:val="18"/>
              </w:rPr>
              <w:t xml:space="preserve">Oγ–C &lt; 3,5 Å, ângulo 90–125°, oxiânion 3,5 Å</w:t>
            </w:r>
          </w:p>
        </w:tc>
        <w:tc>
          <w:tcPr/>
          <w:p>
            <w:pPr>
              <w:pStyle w:val="Compact"/>
              <w:spacing w:line="240" w:lineRule="auto"/>
            </w:pPr>
            <w:r>
              <w:rPr>
                <w:sz w:val="18"/>
              </w:rPr>
              <w:t xml:space="preserve">Descrição da catálise por confôrmeros quase de ataque (Hur e Bruice, 2003); trajetória de Bürgi–Dunitz para o ângulo (Bürgi et al., 1973); cortes operacionais e referidos a um controle interno (3.8)</w:t>
            </w:r>
          </w:p>
        </w:tc>
      </w:tr>
      <w:tr>
        <w:tc>
          <w:tcPr/>
          <w:p>
            <w:pPr>
              <w:pStyle w:val="Compact"/>
              <w:spacing w:line="240" w:lineRule="auto"/>
            </w:pPr>
            <w:r>
              <w:rPr>
                <w:sz w:val="18"/>
              </w:rPr>
              <w:t xml:space="preserve">Energia (2.8)</w:t>
            </w:r>
          </w:p>
        </w:tc>
        <w:tc>
          <w:tcPr/>
          <w:p>
            <w:pPr>
              <w:pStyle w:val="Compact"/>
              <w:spacing w:line="240" w:lineRule="auto"/>
            </w:pPr>
            <w:r>
              <w:rPr>
                <w:sz w:val="18"/>
              </w:rPr>
              <w:t xml:space="preserve">MM-GBSA de trajetória única, sem entropia; PRODIGY; classificação só dentro de uma frente</w:t>
            </w:r>
          </w:p>
        </w:tc>
        <w:tc>
          <w:tcPr/>
          <w:p>
            <w:pPr>
              <w:pStyle w:val="Compact"/>
              <w:spacing w:line="240" w:lineRule="auto"/>
            </w:pPr>
            <w:r>
              <w:rPr>
                <w:sz w:val="18"/>
              </w:rPr>
              <w:t xml:space="preserve">Os dois escores dependem da amostragem e do tipo de sistema (Hou et al., 2011; Genheden e Ryde, 2015; Xu et al., 2025); o PRODIGY foi treinado em interfaces proteína–proteína (Vangone e Bonvin, 2015)</w:t>
            </w:r>
          </w:p>
        </w:tc>
      </w:tr>
    </w:tbl>
    <w:bookmarkEnd w:id="105"/>
    <w:bookmarkStart w:id="10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Appel HM, Martin MM (1990). Gut redox conditions in herbivorous lepidopteran larvae. Journal of Chemical Ecology 16, 3277-3290. doi: 10.1007/BF00982098</w:t>
      </w:r>
    </w:p>
    <w:p>
      <w:pPr>
        <w:pStyle w:val="BodyText"/>
      </w:pPr>
      <w:r>
        <w:t xml:space="preserve">Berman HM, Westbrook J, Feng Z, Gilliland G, Bhat TN, Weissig H, et al. (2000). The Protein Data Bank. Nucleic Acids Research 28, 235-242. doi: 10.1093/nar/28.1.235</w:t>
      </w:r>
    </w:p>
    <w:p>
      <w:pPr>
        <w:pStyle w:val="BodyText"/>
      </w:pPr>
      <w:r>
        <w:t xml:space="preserve">Bown DP, Wilkinson HS, Gatehouse JA (1998). Midgut carboxypeptidase from Helicoverpa armigera (Lepidoptera: Noctuidae) larvae: enzyme characterisation, cDNA cloning and expression. Insect Biochemistry and Molecular Biology 28, 739-749. doi: 10.1016/S0965-1748(98)00067-8</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Bürgi HB, Dunitz JD, Shefter E (1973). Geometrical reaction coordinates. II. Nucleophilic addition to a carbonyl group. Journal of the American Chemical Society 95, 5065-5067. doi: 10.1021/ja00796a058</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Hur S, Bruice TC (2003). The near attack conformation approach to the study of the chorismate to prephenate reaction. Proceedings of the National Academy of Sciences 100, 12015-12020. doi: 10.1073/pnas.1534873100</w:t>
      </w:r>
    </w:p>
    <w:p>
      <w:pPr>
        <w:pStyle w:val="BodyText"/>
      </w:pPr>
      <w:r>
        <w:t xml:space="preserve">Johnson KS, Felton GW (1996). Physiological and dietary influences on midgut redox conditions in generalist lepidopteran larvae. Journal of Insect Physiology 42, 191-198. doi: 10.1016/0022-1910(95)00096-8</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Rawlings ND, Barrett AJ, Thomas PD, Huang X, Bateman A, Finn RD (2018). The MEROPS database of proteolytic enzymes, their substrates and inhibitors in 2017 and a comparison with peptidases in the PANTHER database. Nucleic Acids Research 46, D624-D632. doi: 10.1093/nar/gkx1134</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J, Zhang Y (2010). How significant is a protein structure similarity with TM-score = 0.5? Bioinformatics 26, 889-895. doi: 10.1093/bioinformatics/btq066</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6"/>
    <w:bookmarkEnd w:id="10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101" Type="http://schemas.openxmlformats.org/officeDocument/2006/relationships/image" Target="media/rId101.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2026-10-12T23:04:36Z</dcterms:created>
  <dcterms:modified xsi:type="dcterms:W3CDTF">2026-10-12T23:04:36Z</dcterms:modified>
</cp:coreProperties>
</file>

<file path=docProps/custom.xml><?xml version="1.0" encoding="utf-8"?>
<Properties xmlns="http://schemas.openxmlformats.org/officeDocument/2006/custom-properties" xmlns:vt="http://schemas.openxmlformats.org/officeDocument/2006/docPropsVTypes"/>
</file>