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9,296 palavras no original em inglês (corpo sem tabelas, títulos e legendas; cada citação contada como uma palavra); tradução: 9,950</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16 das 48 simulações haviam terminado e sido analisadas (13 de 24 lineares, 3 de 24 cíclicas). Esta seção deve ser reescrita quando as 48 terminarem; nenhuma afirmação por espécie ou por frente é final.</w:t>
      </w:r>
    </w:p>
    <w:p>
      <w:pPr>
        <w:pStyle w:val="BodyText"/>
      </w:pPr>
      <w:r>
        <w:t xml:space="preserve">Das treze simulações lineares analisadas, duas passaram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e GQNDS de</w:t>
      </w:r>
      <w:r>
        <w:t xml:space="preserve"> </w:t>
      </w:r>
      <w:r>
        <w:rPr>
          <w:i/>
          <w:iCs/>
        </w:rPr>
        <w:t xml:space="preserve">O. nubilalis</w:t>
      </w:r>
      <w:r>
        <w:t xml:space="preserve">, com Gln2 como âncora nas duas metades e ocupância 1,00 nas duas. GTDEN (</w:t>
      </w:r>
      <w:r>
        <w:rPr>
          <w:i/>
          <w:iCs/>
        </w:rPr>
        <w:t xml:space="preserve">A. gemmatalis</w:t>
      </w:r>
      <w:r>
        <w:t xml:space="preserve">) manteve o Glu4 perto de S1 em 61% e 63% dos quadros das duas metades, com a mesma âncora, e falhou na ocupância. Os outros onze candidatos lineares tiveram ocupância na segunda metade de no máximo 0,63;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16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Com uma réplica de 10 ns por candidato, são descrições de trajetórias únicas.</w:t>
      </w:r>
    </w:p>
    <w:p>
      <w:pPr>
        <w:pStyle w:val="BodyText"/>
      </w:pPr>
      <w:r>
        <w:rPr>
          <w:i/>
          <w:iCs/>
        </w:rPr>
        <w:t xml:space="preserve">Quem decide o resultado é a pose inicial, não a química da âncora.</w:t>
      </w:r>
      <w:r>
        <w:t xml:space="preserve"> </w:t>
      </w:r>
      <w:r>
        <w:t xml:space="preserve">Nas dezesseis simulações concluídas, ocupância de S1 de pelo menos 0,70 na segunda metade ocorreu exatamente nos três sistemas cujo peptídeo partiu a menos de 3,5 Å do carboxilato do Asp189 (2,5, 3,2 e 3,5 Å; ocupância 1,00 nos três) e em nenhum dos treze que partiram de 4,1 Å ou mais (ocupância 0,00–0,63; distância inicial mediana 5,1 Å). A identidade da âncora não os separa: os três são uma glutamina, uma lisina e uma arginina, e aquele com a pose inicial mais próxima, GQNDS, não tem nenhum resíduo básico. Dez nanossegundos, portanto, em boa medida repetem a pose que o Boltz-2 propôs, em vez de acrescentar evidência independente dela: a triagem mede se uma pose que já está em S1 sobrevive, e um candidato colocado a 5 Å não recebe tempo para encontrar o bolso. Isso é uma propriedade do desenho da triagem, aqui declarada, e vale igualmente para os candidatos que não passaram.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rStyle w:val="Pendente"/>
        </w:rPr>
        <w:t xml:space="preserve">PENDENTE: controle negativo. Para cada candidato cuja ocupância na segunda metade não seja menor que a de seu próprio controle embaralhado, o resíduo da âncora será trocado por Asp (ionizado em pH 10, repelido pelo Asp189) e por Leu (não cognato, apolar), mantendo a pose inicial, e simulado no mesmo protocolo. Leitura: distância âncora–Asp189 e perda da ponte salina, não MM-GBSA, que não separou inibidores de iscas na calibração (Seção 3.3). Regra de decisão, fixada antes das rodadas: se nenhuma das variantes sair de S1 em 10 ns, ou se os controles embaralhados não se separarem dos candidatos, o controle não traz informação e é retirado das análises, das camadas e das figuras deste artigo, em vez de relatado como confirmação; o resultado da calibração acima, que já é dado, permanece.</w:t>
      </w:r>
    </w:p>
    <w:p>
      <w:pPr>
        <w:pStyle w:val="CaptionedFigure"/>
      </w:pPr>
      <w:r>
        <w:drawing>
          <wp:inline>
            <wp:extent cx="5334000" cy="5037806"/>
            <wp:effectExtent b="0" l="0" r="0" t="0"/>
            <wp:docPr descr="Figura 11. Simulações de triagem de 10 ns (CHARMM36, pH 10, 300 K, uma réplica cada; provisório: 16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037806"/>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16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3" w:name="peptídeos-candidatos-finais"/>
    <w:p>
      <w:pPr>
        <w:pStyle w:val="Heading3"/>
      </w:pPr>
      <w:r>
        <w:t xml:space="preserve">3.11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os critérios da Seção 2.9, com a ocupância rebaixada em 2 de outubro: a camada A cumpre todos os critérios disponíveis (controle de qualidade de pose, diferença pareada positiva contra controles embaralhados e, nos macrociclos, o critério estrito do anel); a camada B falha exatamente um deles; a camada C falha dois ou mais; a camada P aguarda a simulação. A ocupância de S1 e a âncora aparecem na Figura 12, mas não definem a camada, porque a ocupância acompanha a pose inicial (Seção 3.9). Dentro da camada a ordem é a diferença pareada, depois a confiança do Boltz-2, depois a ocupância de S1 (Figura 12). Com 12 das 48 simulações concluídas e o E3 ainda não rodado, as camadas das simulações concluídas são provisórias até o E3 estar disponível, e a atribuição sob o critério rebaixado é</w:t>
      </w:r>
      <w:r>
        <w:t xml:space="preserve"> </w:t>
      </w:r>
      <w:r>
        <w:rPr>
          <w:rStyle w:val="Pendente"/>
        </w:rPr>
        <w:t xml:space="preserve">PENDENTE: recalcular com</w:t>
      </w:r>
      <w:r>
        <w:rPr>
          <w:rStyle w:val="Pendente"/>
        </w:rPr>
        <w:t xml:space="preserve"> </w:t>
      </w:r>
      <w:r>
        <w:rPr>
          <w:rStyle w:val="VerbatimChar"/>
        </w:rPr>
        <w:t xml:space="preserve">scripts/rank_final_candidates.py</w:t>
      </w:r>
      <w:r>
        <w:rPr>
          <w:rStyle w:val="Pendente"/>
        </w:rPr>
        <w:t xml:space="preserve"> </w:t>
      </w:r>
      <w:r>
        <w:rPr>
          <w:rStyle w:val="Pendente"/>
        </w:rPr>
        <w:t xml:space="preserve">quando o E3 tiver rodado</w:t>
      </w:r>
      <w:r>
        <w:t xml:space="preserve">.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por isso a ocupância foi rebaixada de critério a descrição, depois de vistas as 16 primeiras simulações (Seção 2.9).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2026-10-02T12:36:00Z</dcterms:created>
  <dcterms:modified xsi:type="dcterms:W3CDTF">2026-10-02T12:36:00Z</dcterms:modified>
</cp:coreProperties>
</file>

<file path=docProps/custom.xml><?xml version="1.0" encoding="utf-8"?>
<Properties xmlns="http://schemas.openxmlformats.org/officeDocument/2006/custom-properties" xmlns:vt="http://schemas.openxmlformats.org/officeDocument/2006/docPropsVTypes"/>
</file>