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7,174 palavras no original em inglês (corpo sem tabelas, títulos e legendas; cada citação contada como uma palavra); tradução: 7,833</w:t>
            </w:r>
          </w:p>
        </w:tc>
        <w:tc>
          <w:tcPr/>
          <w:p>
            <w:pPr>
              <w:pStyle w:val="Compact"/>
              <w:spacing w:line="240" w:lineRule="auto"/>
            </w:pPr>
            <w:r>
              <w:rPr>
                <w:sz w:val="18"/>
              </w:rPr>
              <w:t xml:space="preserve">OK (margem de 4,826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348 palavras no original em inglês (reescrito em 05/10/2026 para caber no limite); tradução: 395</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77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6102026-manhã"/>
    <w:p>
      <w:pPr>
        <w:pStyle w:val="Heading2"/>
      </w:pPr>
      <w:r>
        <w:t xml:space="preserve">Estado dos cálculos (06/10/2026, manhã)</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PRODIGY nas 48 poses</w:t>
            </w:r>
          </w:p>
        </w:tc>
        <w:tc>
          <w:tcPr/>
          <w:p>
            <w:pPr>
              <w:pStyle w:val="Compact"/>
              <w:spacing w:line="240" w:lineRule="auto"/>
            </w:pPr>
            <w:r>
              <w:rPr>
                <w:sz w:val="18"/>
              </w:rPr>
              <w:t xml:space="preserve">concluído</w:t>
            </w:r>
          </w:p>
        </w:tc>
        <w:tc>
          <w:tcPr/>
          <w:p>
            <w:pPr>
              <w:pStyle w:val="Compact"/>
              <w:spacing w:line="240" w:lineRule="auto"/>
            </w:pPr>
            <w:r>
              <w:rPr>
                <w:sz w:val="18"/>
              </w:rPr>
              <w:t xml:space="preserve">ΔG −12,2 a −7,1 kcal/mol; acompanha o comprimento (Seção 3.6, Figura 6)</w:t>
            </w:r>
          </w:p>
        </w:tc>
      </w:tr>
      <w:tr>
        <w:tc>
          <w:tcPr/>
          <w:p>
            <w:pPr>
              <w:pStyle w:val="Compact"/>
              <w:spacing w:line="240" w:lineRule="auto"/>
            </w:pPr>
            <w:r>
              <w:rPr>
                <w:sz w:val="18"/>
              </w:rPr>
              <w:t xml:space="preserve">MD de 10 ns em pH 8,2 (48) e execuções repetidas (16)</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md82-*</w:t>
            </w:r>
            <w:r>
              <w:rPr>
                <w:sz w:val="18"/>
              </w:rPr>
              <w:t xml:space="preserve">,</w:t>
            </w:r>
            <w:r>
              <w:rPr>
                <w:sz w:val="18"/>
              </w:rPr>
              <w:t xml:space="preserve"> </w:t>
            </w:r>
            <w:r>
              <w:rPr>
                <w:rStyle w:val="VerbatimChar"/>
                <w:sz w:val="18"/>
              </w:rPr>
              <w:t xml:space="preserve">md82rest-*</w:t>
            </w:r>
            <w:r>
              <w:rPr>
                <w:sz w:val="18"/>
              </w:rPr>
              <w:t xml:space="preserve">,</w:t>
            </w:r>
            <w:r>
              <w:rPr>
                <w:sz w:val="18"/>
              </w:rPr>
              <w:t xml:space="preserve"> </w:t>
            </w:r>
            <w:r>
              <w:rPr>
                <w:rStyle w:val="VerbatimChar"/>
                <w:sz w:val="18"/>
              </w:rPr>
              <w:t xml:space="preserve">noise-*</w:t>
            </w:r>
            <w:r>
              <w:rPr>
                <w:sz w:val="18"/>
              </w:rPr>
              <w:t xml:space="preserve">); 17 das 48 concluídas em 06/10, 17:15 (8 L e 9 M; as frentes terminam o 1º lote em horários diferentes)</w:t>
            </w:r>
          </w:p>
        </w:tc>
        <w:tc>
          <w:tcPr/>
          <w:p>
            <w:pPr>
              <w:pStyle w:val="Compact"/>
              <w:spacing w:line="240" w:lineRule="auto"/>
            </w:pPr>
            <w:r>
              <w:rPr>
                <w:sz w:val="18"/>
              </w:rPr>
              <w:t xml:space="preserve">48 MDs: fim previsto entre a noite de 07/10 e a manhã de 08/10; repetidas: ≈ 09/10 (extrapolação do ritmo medido)</w:t>
            </w:r>
          </w:p>
        </w:tc>
      </w:tr>
      <w:tr>
        <w:tc>
          <w:tcPr/>
          <w:p>
            <w:pPr>
              <w:pStyle w:val="Compact"/>
              <w:spacing w:line="240" w:lineRule="auto"/>
            </w:pPr>
            <w:r>
              <w:rPr>
                <w:sz w:val="18"/>
              </w:rPr>
              <w:t xml:space="preserve">MM-GBSA e PRODIGY nas trajetórias (pH 8,2 e pH 10,0) e classificação final</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energy-queue</w:t>
            </w:r>
            <w:r>
              <w:rPr>
                <w:sz w:val="18"/>
              </w:rPr>
              <w:t xml:space="preserve">,</w:t>
            </w:r>
            <w:r>
              <w:rPr>
                <w:sz w:val="18"/>
              </w:rPr>
              <w:t xml:space="preserve"> </w:t>
            </w:r>
            <w:r>
              <w:rPr>
                <w:rStyle w:val="VerbatimChar"/>
                <w:sz w:val="18"/>
              </w:rPr>
              <w:t xml:space="preserve">mmgbsa-md10</w:t>
            </w:r>
            <w:r>
              <w:rPr>
                <w:sz w:val="18"/>
              </w:rPr>
              <w:t xml:space="preserve">)</w:t>
            </w:r>
          </w:p>
        </w:tc>
        <w:tc>
          <w:tcPr/>
          <w:p>
            <w:pPr>
              <w:pStyle w:val="Compact"/>
              <w:spacing w:line="240" w:lineRule="auto"/>
            </w:pPr>
            <w:r>
              <w:rPr>
                <w:sz w:val="18"/>
              </w:rPr>
              <w:t xml:space="preserve">pendente (Seções 3.6 e 3.7)</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Fila de cálculo:</w:t>
      </w:r>
      <w:r>
        <w:t xml:space="preserve"> </w:t>
      </w:r>
      <w:r>
        <w:t xml:space="preserve">o ritmo medido em 06/10 é de 1,3 a 2,7 h por MD (média ≈ 2,1 h) com as duas frentes juntas e a GPU compartilhada; a previsão do conjunto é extrapolação, não medida (a estimativa anterior, de 75 min por MD, vinha dos primeiros 14 min e estava otimista).</w:t>
      </w:r>
    </w:p>
    <w:bookmarkEnd w:id="11"/>
    <w:bookmarkStart w:id="12" w:name="pendências-antes-da-submissão"/>
    <w:p>
      <w:pPr>
        <w:pStyle w:val="Heading2"/>
      </w:pPr>
      <w:r>
        <w:t xml:space="preserve">Pendências antes da submissão</w:t>
      </w:r>
    </w:p>
    <w:p>
      <w:pPr>
        <w:pStyle w:val="Compact"/>
        <w:numPr>
          <w:ilvl w:val="0"/>
          <w:numId w:val="1002"/>
        </w:numPr>
      </w:pPr>
      <w:r>
        <w:t xml:space="preserve">Resultados de pH 8,2, MM-GBSA e comparação com pH 10,0 (Seções 3.6 e 3.7, Figura 7); depois ajustar resumo, 4.1, 4.4 e 5.</w:t>
      </w:r>
    </w:p>
    <w:p>
      <w:pPr>
        <w:pStyle w:val="Compact"/>
        <w:numPr>
          <w:ilvl w:val="0"/>
          <w:numId w:val="1002"/>
        </w:numPr>
      </w:pPr>
      <w:r>
        <w:t xml:space="preserve">Motivo do pH 8,2 (Seção 2.6) e lista de peptídeos recomendados.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bookmarkEnd w:id="12"/>
    <w:bookmarkEnd w:id="13"/>
    <w:bookmarkStart w:id="103"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 e o BPTI e o inibidor de Kunitz da soja reduziram a sobrevivência das larvas (de Almeida Barros et al., 2022). As larvas se adaptam, porém, induzindo proteases insensíveis, regulando várias enzimas digestivas e, em algumas espécies, expandindo famílias gênicas (Jongsma et al., 1995; Jongsma e Bolter, 1997; Kuwar et al., 2015; Lomate et al., 2018; Souza et al., 2016).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(seus complexos foram examinados por dinâmica molecular (de Almeida Barros et al., 2022)), peptídeos inspirados nas alças do BPTI e do inibidor de Kunitz da soja inibem proteases tipo tripsina de</w:t>
      </w:r>
      <w:r>
        <w:t xml:space="preserve"> </w:t>
      </w:r>
      <w:r>
        <w:rPr>
          <w:i/>
          <w:iCs/>
        </w:rPr>
        <w:t xml:space="preserve">A. gemmatalis</w:t>
      </w:r>
      <w:r>
        <w:t xml:space="preserve"> </w:t>
      </w:r>
      <w:r>
        <w:t xml:space="preserve">(Paulo et al., 2026),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2012; Zhan et al., 2010;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a confiança de um modelo de co-dobramento não é uma afinidade (Wan et al., 2026), ordena poses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2012; Zhan et al., 2010;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(a triagem, escolhido pelo intestino médio das larvas: extratos do intestino em pH 9,56–10,0 (Karumbaiah et al., 2007); (Dow, 1992)) e em pH 8,2</w:t>
      </w:r>
      <w:r>
        <w:t xml:space="preserve"> </w:t>
      </w:r>
      <w:r>
        <w:rPr>
          <w:rStyle w:val="Pendente"/>
        </w:rPr>
        <w:t xml:space="preserve">PENDENTE: os autores indicarem e confirmarem o motivo do pH 8,2; uma possibilidade achada na literatura do projeto é que os ensaios cinéticos com os peptídeos usaram Tris-HCl 0,1 M, CaCl</w:t>
      </w:r>
      <w:r>
        <w:rPr>
          <w:rStyle w:val="Pendente"/>
          <w:vertAlign w:val="subscript"/>
        </w:rPr>
        <w:t xml:space="preserve">2</w:t>
      </w:r>
      <w:r>
        <w:rPr>
          <w:rStyle w:val="Pendente"/>
        </w:rPr>
        <w:t xml:space="preserve"> </w:t>
      </w:r>
      <w:r>
        <w:rPr>
          <w:rStyle w:val="Pendente"/>
        </w:rPr>
        <w:t xml:space="preserve">20 mM em pH 8,2 (Schultz et al., 2026)</w:t>
      </w:r>
      <w:r>
        <w:t xml:space="preserve">. A protonação das cadeias laterais foi atribuída com o PROPKA 3 (Olsson et al., 2011) pelo PDB2PQR 3.6.2 (Dolinsky et al., 2007). Os sistemas foram montados com o GROMACS 2025.4 (Abraham et al., 2015), o campo de força aditivo CHARMM36 (Huang e MacKerell, 2013) (porte de fevereiro de 2026 feito com o charmm2gmx (Wacha e Lemkul, 2023)) e água TIP3P Jorgensen et al., 1983, em caixa dodecaédrica com 1,2 nm de margem e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(em pH 8,2 cerca de três quartos dos grupos α-amino estariam neutros no equilíbrio, e em pH 10 quase todos; isso afeta só a frente linear). O macrociclo não tem extremidades: o pdb2gmx forma a ligação cabeça-cauda a partir da geometria do Boltz-2 e gera seus termos CHARMM36, e o script de montagem para se faltar a ligação de fechamento ou o termo CMAP (maior distância C–N de fechamento por trajetória de 1,415–1,462 Å nos 24 sistemas cíclicos em pH 10,0). O protocolo foi: minimização por</w:t>
      </w:r>
      <w:r>
        <w:t xml:space="preserve"> </w:t>
      </w:r>
      <w:r>
        <w:rPr>
          <w:i/>
          <w:iCs/>
        </w:rPr>
        <w:t xml:space="preserve">steepest descent</w:t>
      </w:r>
      <w:r>
        <w:t xml:space="preserve">; 200 ps de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10 ns de produção a 300 K e 1 bar com o termostato de reescalonamento de velocidades Bussi et al., 2007 e o barostato de Parrinello–Rahman Parrinello e Rahman, 1981, eletrostática PME Essmann et al., 1995, corte de Coulomb de 1,2 nm, van der Waals com</w:t>
      </w:r>
      <w:r>
        <w:t xml:space="preserve"> </w:t>
      </w:r>
      <w:r>
        <w:rPr>
          <w:i/>
          <w:iCs/>
        </w:rPr>
        <w:t xml:space="preserve">force-switch</w:t>
      </w:r>
      <w:r>
        <w:t xml:space="preserve"> </w:t>
      </w:r>
      <w:r>
        <w:t xml:space="preserve">entre 1,0 e 1,2 nm, vínculos LINCS nas ligações com hidrogênio e passo de 2 fs. Cada sistema foi executado uma vez por pH com semente aleatória de velocidades; quatro candidatos por frente (NGGRPDAP, GQNDS, PTTTQT e GSNIN lineares; GGHSE, GGKPGEP, IYPETG e SGSTDIE cíclicos) foram executados uma segunda vez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(em uma trajetória não corrigida de uma rodada anterior de 50 ns, a distância entre os centros de massa de receptor e peptídeo chegou a 94,8 Å numa caixa de 116 Å, embora estivessem em contato). As análises usaram o MDAnalysis 2.9.0 (Michaud-Agrawal et al., 2011; Gowers et al., 2016). Em cada quadro, a distância de cada resíduo do peptídeo aos oxigênios do carboxilato do equivalente do Asp189 foi a distância mínima entre átomos pesados; o resíduo de menor distância média foi a âncora, sem supor qual seria. A ocupância de S1 é a fração de quadros com distância âncora–Asp189 abaixo de 4, 5 ou 6 Å, na trajetória inteira e em cada metade. A distância âncora–Asp189 é dada para uma janela inicial (primeiros 4%, 0,4 ns) e uma janela final (últimos 20%, 2 ns), esta também para o RMSD de Cα do peptídeo após superposição no receptor (peptídeo inteiro, imagem mais próxima do aspartato de S1). Relatamos ainda as frações de quadros com qualquer átomo do peptídeo a até 4,5 Å do Oγ da Ser ou do Nε2 da His catalíticas e com qualquer contato com o receptor, e, nos macrociclos, a distância C–N e o ω de fechamento em cada quadro. Um candidato passou na triagem declarada de antemão quando a ocupância a 5 Å na segunda metade foi de pelo menos 70%, a âncora foi a mesma nas duas metades e, nos macrociclos, o anel permaneceu íntegro (C–N ≤ 1,5 Å e ω ≥ 150° em todos os quadros). Em 2 de outubro de 2026, depois de analisadas as 16 primeiras simulações, a ocupância passou de portão a descrição (Seção 3.5), uma mudança do procedimento declarado feita depois de ver dados. Com uma execução por candidato, não se faz inferência estatística.</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PRODIGY (Vangone e Bonvin, 2015) prevê a afinidade a partir do número de contatos intermoleculares entre classes de resíduos (carregados, polares, apolares) e da composição dos resíduos fora da interface; não tem protonação explícita. O MM-GBSA usou o gmx_MMPBSA (Valdés-Tresanco et al., 2021) (motor MMPBSA.py (Miller et al., 2012); Born generalizado igb = 5 (Onufriev et al., 2004); sal 0,150 M; trajetória única; sem entropia) na segunda metade de cada trajetória (126 quadros com espaçamento de 40 ps; receptor cadeia A, peptídeo cadeia B), com erro-padrão sobre cinco blocos de quadros; o PRODIGY foi aplicado à pose inicial (protonada em pH 8,2) e a 30 quadros da segunda metade. Os dois escores crescem com o tamanho da interface, e por isso cada um é dado também por resíduo do peptídeo. Cada etapa ordena os candidatos dentro de uma frente (1 = melhor; empates recebem o posto médio): confiança do Boltz-2 no E2, Δ pareado (E3), RMSD final do peptídeo na simulação de pH 8,2, PRODIGY na pose e PRODIGY e MM-GBSA na trajetória de pH 8,2. O escore agregado é o posto médio nas etapas disponíveis. A classificação cobre os candidatos que passaram no controle de qualidade de pose, tiveram Δ &gt; 0 e, nos macrociclos, cumpriram o critério estrito do anel; a ocupância de S1 não entra (Seção 3.5). As simulações de pH 8,2 e de pH 10,0 são pareadas (mesma pose e protocolo; o N-terminal é NH</w:t>
      </w:r>
      <w:r>
        <w:rPr>
          <w:vertAlign w:val="subscript"/>
        </w:rPr>
        <w:t xml:space="preserve">3</w:t>
      </w:r>
      <w:r>
        <w:rPr>
          <w:vertAlign w:val="superscript"/>
        </w:rPr>
        <w:t xml:space="preserve">+</w:t>
      </w:r>
      <w:r>
        <w:t xml:space="preserve"> </w:t>
      </w:r>
      <w:r>
        <w:t xml:space="preserve">nos dois): diferem na protonação das cadeias laterais, nos contraíons e na semente. São comparadas pela diferença pareada de cada métrica (mediana; teste de postos sinalizados de Wilcoxon), pela correlação de postos entre pH e pela concordância de desfechos categóricos, e a diferença de pH é lida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w:t>
      </w:r>
    </w:p>
    <w:bookmarkEnd w:id="49"/>
    <w:bookmarkStart w:id="53" w:name="ph-82-versus-ph-100"/>
    <w:p>
      <w:pPr>
        <w:pStyle w:val="Heading3"/>
      </w:pPr>
      <w:r>
        <w:t xml:space="preserve">3.7 pH 8,2 versus pH 10,0</w:t>
      </w:r>
    </w:p>
    <w:p>
      <w:pPr>
        <w:pStyle w:val="FirstParagraph"/>
      </w:pPr>
      <w:r>
        <w:t xml:space="preserve">As 48 simulações de pH 8,2 (24 lineares, 24 macrocíclicas)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macrociclos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macrociclo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Para estimar o piso de variação entre execuções, oito candidatos da lista curta (quatro por frente: GSNIN, GQNDS, PTTTQT e NGGRPDAP; GGHSE, IYPETG, SGSTDIE e GGKPGEP) foram simulados uma segunda vez em cada pH com outra semente (15 pares: 8 em pH 8,2 e 7 em pH 10,0; a execução do NGGRPDAP em pH 10,0 ainda estava em andamento em 8 de outubro de 2026 e não entra). Eles não são uma amostra aleatória. A diferença absoluta mediana entre as duas execuções do mesmo pH foi de 0,31 Å (pH 10,0) e 1,37 Å (pH 8,2) na distância final âncora–Asp189, 0,05 nos dois pH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15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em uma execução e a manteve na repetição (ocupância 0,00 e 0,88; Seção 3.7). O GQNDS (</w:t>
      </w:r>
      <w:r>
        <w:rPr>
          <w:i/>
          <w:iCs/>
        </w:rPr>
        <w:t xml:space="preserve">O. nubilalis</w:t>
      </w:r>
      <w:r>
        <w:t xml:space="preserve">, linear) chegou a ocupância de 1,00 com âncora Gln em pH 10,0, mas em pH 8,2 ocupou S1 só na primeira metade de uma execução e em 0,73 da segunda metade de sua repetição.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repetir oito candidatos no mesmo pH mudou a ocupância da segunda metade em mais de 0,5 em três de 15 pares, de modo que uma execução não decide se um peptídeo mantém S1.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15 pares.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S1–S10 e a Tabela S1 (legendas e tabela abaixo) são fornecidas como material suplementar.</w:t>
      </w:r>
    </w:p>
    <w:bookmarkEnd w:id="73"/>
    <w:bookmarkStart w:id="101"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508611"/>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508611"/>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250672"/>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250672"/>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BodyText"/>
      </w:pPr>
      <w:r>
        <w:t xml:space="preserve">![</w:t>
      </w: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p>
      <w:pPr>
        <w:pStyle w:val="BodyText"/>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101"/>
    <w:bookmarkStart w:id="102"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2"/>
    <w:bookmarkEnd w:id="103"/>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2026-10-08T20:16:20Z</dcterms:created>
  <dcterms:modified xsi:type="dcterms:W3CDTF">2026-10-08T20:16:20Z</dcterms:modified>
</cp:coreProperties>
</file>

<file path=docProps/custom.xml><?xml version="1.0" encoding="utf-8"?>
<Properties xmlns="http://schemas.openxmlformats.org/officeDocument/2006/custom-properties" xmlns:vt="http://schemas.openxmlformats.org/officeDocument/2006/docPropsVTypes"/>
</file>