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6,642 palavras no original em inglês (corpo sem tabelas, títulos e legendas; cada citação contada como uma palavra); tradução: 7,286</w:t>
            </w:r>
          </w:p>
        </w:tc>
        <w:tc>
          <w:tcPr/>
          <w:p>
            <w:pPr>
              <w:pStyle w:val="Compact"/>
              <w:spacing w:line="240" w:lineRule="auto"/>
            </w:pPr>
            <w:r>
              <w:rPr>
                <w:sz w:val="18"/>
              </w:rPr>
              <w:t xml:space="preserve">OK (margem de 5,358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inibidores peptídicos</w:t>
      </w:r>
      <w:r>
        <w:t xml:space="preserve"> </w:t>
      </w:r>
      <w:r>
        <w:rPr>
          <w:i/>
          <w:iCs/>
        </w:rPr>
        <w:t xml:space="preserve">de novo</w:t>
      </w:r>
      <w:r>
        <w:t xml:space="preserve"> </w:t>
      </w:r>
      <w:r>
        <w:t xml:space="preserve">das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2964448"/>
            <wp:effectExtent b="0" l="0" r="0" t="0"/>
            <wp:docPr descr="Figura 1. 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296444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e o pLDDT médio de 88,9 a 92,2.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rPr>
          <w:rStyle w:val="Pendente"/>
        </w:rPr>
        <w:t xml:space="preserve">PENDENTE: MM-GBSA e PRODIGY nas trajetórias de pH 8,2 dos 48 candidatos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w:t>
      </w:r>
    </w:p>
    <w:bookmarkEnd w:id="49"/>
    <w:bookmarkStart w:id="53" w:name="ph-82-versus-ph-100"/>
    <w:p>
      <w:pPr>
        <w:pStyle w:val="Heading3"/>
      </w:pPr>
      <w:r>
        <w:t xml:space="preserve">3.7 pH 8,2 versus pH 10,0</w:t>
      </w:r>
    </w:p>
    <w:p>
      <w:pPr>
        <w:pStyle w:val="FirstParagraph"/>
      </w:pPr>
      <w:r>
        <w:rPr>
          <w:rStyle w:val="Pendente"/>
        </w:rPr>
        <w:t xml:space="preserve">PROVISÓRIO, escrito em 7 de outubro de 2026 com as 37 das 48 simulações de pH 8,2 que haviam terminado (17 lineares, 20 macrocíclicas); são os finalistas e não uma amostra aleatória. Reescrever com as 48, as execuções repetidas e</w:t>
      </w:r>
      <w:r>
        <w:rPr>
          <w:rStyle w:val="Pendente"/>
        </w:rPr>
        <w:t xml:space="preserve"> </w:t>
      </w:r>
      <w:r>
        <w:rPr>
          <w:rStyle w:val="VerbatimChar"/>
        </w:rPr>
        <w:t xml:space="preserve">scripts/compare_ph.py</w:t>
      </w:r>
      <w:r>
        <w:rPr>
          <w:rStyle w:val="Pendente"/>
        </w:rPr>
        <w:t xml:space="preserve">.</w:t>
      </w:r>
      <w:r>
        <w:t xml:space="preserve"> </w:t>
      </w:r>
      <w:r>
        <w:t xml:space="preserve">Trinta e sete simulações de pH 8,2 (17 lineares e 20 macrocíclicas) haviam terminado e estão pareadas na Figura 7 com os mesmos candidatos em pH 10,0. A distância final âncora–Asp189 teve mediana de 6,47 Å em pH 8,2 contra 6,26 Å em pH 10,0 (Wilcoxon</w:t>
      </w:r>
      <w:r>
        <w:t xml:space="preserve"> </w:t>
      </w:r>
      <w:r>
        <w:rPr>
          <w:i/>
          <w:iCs/>
        </w:rPr>
        <w:t xml:space="preserve">P</w:t>
      </w:r>
      <w:r>
        <w:t xml:space="preserve"> </w:t>
      </w:r>
      <w:r>
        <w:t xml:space="preserve">= 0,48), a ocupância da segunda metade 0,02 contra 0,01 (</w:t>
      </w:r>
      <w:r>
        <w:rPr>
          <w:i/>
          <w:iCs/>
        </w:rPr>
        <w:t xml:space="preserve">P</w:t>
      </w:r>
      <w:r>
        <w:t xml:space="preserve"> </w:t>
      </w:r>
      <w:r>
        <w:t xml:space="preserve">= 0,93) e o RMSD final do peptídeo 0,43 contra 0,35 nm (</w:t>
      </w:r>
      <w:r>
        <w:rPr>
          <w:i/>
          <w:iCs/>
        </w:rPr>
        <w:t xml:space="preserve">P</w:t>
      </w:r>
      <w:r>
        <w:t xml:space="preserve"> </w:t>
      </w:r>
      <w:r>
        <w:t xml:space="preserve">= 0,28). Na janela final a âncora esteve a menos de 4 Å do Asp189 em 3 simulações de pH 8,2 e em 4 de pH 10,0, e a mais de 10 Å em 3 e em 6. Ocupância de pelo menos 0,70 ocorreu em quatro simulações de pH 8,2 (NGGRPDAP, GGKPGEP, o macrociclo PISQIDSGSR de</w:t>
      </w:r>
      <w:r>
        <w:t xml:space="preserve"> </w:t>
      </w:r>
      <w:r>
        <w:rPr>
          <w:i/>
          <w:iCs/>
        </w:rPr>
        <w:t xml:space="preserve">C. includens</w:t>
      </w:r>
      <w:r>
        <w:t xml:space="preserve"> </w:t>
      </w:r>
      <w:r>
        <w:t xml:space="preserve">e o GENGGPG de</w:t>
      </w:r>
      <w:r>
        <w:t xml:space="preserve"> </w:t>
      </w:r>
      <w:r>
        <w:rPr>
          <w:i/>
          <w:iCs/>
        </w:rPr>
        <w:t xml:space="preserve">S. frugiperda</w:t>
      </w:r>
      <w:r>
        <w:t xml:space="preserve">) e em quatro de pH 10,0 (NGGRPDAP, GGKPGEP, GQNDS linear e GGHSE); só NGGRPDAP e GGKPGEP a atingiram nos dois, duas simulações a atingiram só em pH 8,2 e duas só em pH 10,0, e 31 dos 37 pares em nenhum. A ocupância diferiu em mais de 0,5 entre os pH em cinco pares, nos dois sentidos. O desfecho em um pH previu o do outro de modo moderado para a distância final (ρ de Spearman = 0,62,</w:t>
      </w:r>
      <w:r>
        <w:t xml:space="preserve"> </w:t>
      </w:r>
      <w:r>
        <w:rPr>
          <w:i/>
          <w:iCs/>
        </w:rPr>
        <w:t xml:space="preserve">P</w:t>
      </w:r>
      <w:r>
        <w:t xml:space="preserve"> </w:t>
      </w:r>
      <w:r>
        <w:t xml:space="preserve">&lt; 0,001) e para a ocupância (ρ = 0,46,</w:t>
      </w:r>
      <w:r>
        <w:t xml:space="preserve"> </w:t>
      </w:r>
      <w:r>
        <w:rPr>
          <w:i/>
          <w:iCs/>
        </w:rPr>
        <w:t xml:space="preserve">P</w:t>
      </w:r>
      <w:r>
        <w:t xml:space="preserve"> </w:t>
      </w:r>
      <w:r>
        <w:t xml:space="preserve">= 0,004). O GQNDS linear ocupou S1 só na primeira metade em pH 8,2 (0,97 e depois 0,04) e o GGHSE saiu (distância final 8,61 Å, ocupância 0,00; |ω| mínimo 149,5° contra 153,7° em pH 10,0), enquanto GTDTG (0,68), IYPETG (0,57) e GENGGPG (0,85 contra 0,41) ficaram mais próximos de S1 em pH 8,2 do que em pH 10,0. O PISQIDSGSR, um macrociclo com âncora Arg, manteve a Arg em S1 em pH 8,2 (ocupância 1,00, distância final 2,80 Å, partindo de 3,21 Å) e a perdeu em pH 10,0 (0,33; 5,21 Å; partindo de 3,97 Å). O NGGRPDAP e o GGKPGEP, os dois peptídeos cuja âncora é um resíduo básico seguido de prolina (Arg e Lys), a mantiveram em S1 nos dois pH: ocupância 0,98 e 1,00 e distância final 2,84 e 2,74 Å no NGGRPDAP; ocupância 1,00 nos dois pH e 2,71 Å no GGKPGEP, cujo anel atendeu ao critério estrito em pH 8,2 (|ω| mínimo 156,7° contra 144,5° em pH 10,0). Três das quatro simulações com ocupância de pelo menos 0,70 em pH 8,2 partiram a menos de 4,0 Å do Asp189 (três das seis que o fizeram; uma das 31 que partiram mais longe), como em pH 10,0. Os escores de energia concordaram entre os pH: MM-GBSA ρ = 0,58 (</w:t>
      </w:r>
      <w:r>
        <w:rPr>
          <w:i/>
          <w:iCs/>
        </w:rPr>
        <w:t xml:space="preserve">P</w:t>
      </w:r>
      <w:r>
        <w:t xml:space="preserve"> </w:t>
      </w:r>
      <w:r>
        <w:t xml:space="preserve">&lt; 0,001; mediana −25,9 contra −27,0 kcal mol</w:t>
      </w:r>
      <w:r>
        <w:rPr>
          <w:vertAlign w:val="superscript"/>
        </w:rPr>
        <w:t xml:space="preserve">−1</w:t>
      </w:r>
      <w:r>
        <w:t xml:space="preserve">,</w:t>
      </w:r>
      <w:r>
        <w:t xml:space="preserve"> </w:t>
      </w:r>
      <w:r>
        <w:rPr>
          <w:i/>
          <w:iCs/>
        </w:rPr>
        <w:t xml:space="preserve">P</w:t>
      </w:r>
      <w:r>
        <w:t xml:space="preserve"> </w:t>
      </w:r>
      <w:r>
        <w:t xml:space="preserve">= 0,16) e PRODIGY nos quadros ρ = 0,67 (</w:t>
      </w:r>
      <w:r>
        <w:rPr>
          <w:i/>
          <w:iCs/>
        </w:rPr>
        <w:t xml:space="preserve">P</w:t>
      </w:r>
      <w:r>
        <w:t xml:space="preserve"> </w:t>
      </w:r>
      <w:r>
        <w:t xml:space="preserve">&lt; 0,001; −8,43 contra −8,39 kcal mol</w:t>
      </w:r>
      <w:r>
        <w:rPr>
          <w:vertAlign w:val="superscript"/>
        </w:rPr>
        <w:t xml:space="preserve">−1</w:t>
      </w:r>
      <w:r>
        <w:t xml:space="preserve">,</w:t>
      </w:r>
      <w:r>
        <w:t xml:space="preserve"> </w:t>
      </w:r>
      <w:r>
        <w:rPr>
          <w:i/>
          <w:iCs/>
        </w:rPr>
        <w:t xml:space="preserve">P</w:t>
      </w:r>
      <w:r>
        <w:t xml:space="preserve"> </w:t>
      </w:r>
      <w:r>
        <w:t xml:space="preserve">= 0,86). Em pH 8,2 o ΔG do MM-GBSA foi mais favorável nos três peptídeos com âncora de lisina ou arginina (mediana −42,5 contra −25,0 kcal mol</w:t>
      </w:r>
      <w:r>
        <w:rPr>
          <w:vertAlign w:val="superscript"/>
        </w:rPr>
        <w:t xml:space="preserve">−1</w:t>
      </w:r>
      <w:r>
        <w:t xml:space="preserve"> </w:t>
      </w:r>
      <w:r>
        <w:t xml:space="preserve">nos outros 34; Mann–Whitney</w:t>
      </w:r>
      <w:r>
        <w:t xml:space="preserve"> </w:t>
      </w:r>
      <w:r>
        <w:rPr>
          <w:i/>
          <w:iCs/>
        </w:rPr>
        <w:t xml:space="preserve">P</w:t>
      </w:r>
      <w:r>
        <w:t xml:space="preserve"> </w:t>
      </w:r>
      <w:r>
        <w:t xml:space="preserve">= 0,038), no mesmo sentido de pH 10,0, e relacionou-se fracamente com a distância final (ρ = 0,26,</w:t>
      </w:r>
      <w:r>
        <w:t xml:space="preserve"> </w:t>
      </w:r>
      <w:r>
        <w:rPr>
          <w:i/>
          <w:iCs/>
        </w:rPr>
        <w:t xml:space="preserve">P</w:t>
      </w:r>
      <w:r>
        <w:t xml:space="preserve"> </w:t>
      </w:r>
      <w:r>
        <w:t xml:space="preserve">= 0,13). Cada candidato foi simulado uma vez por pH, com semente diferente; assim, uma diferença entre pH não se separa da variação entre execuções até que as execuções repetidas sejam analisadas; e, como os finalistas foram escolhidos pela ocupância em pH 10,0, a perda de ocupância em pH 8,2 é esperada por regressão à média, como ocorreu com GQNDS e GGHSE, mas não com NGGRPDAP e GGKPGEP.</w:t>
      </w:r>
    </w:p>
    <w:p>
      <w:pPr>
        <w:pStyle w:val="CaptionedFigure"/>
      </w:pPr>
      <w:r>
        <w:drawing>
          <wp:inline>
            <wp:extent cx="5334000" cy="3704933"/>
            <wp:effectExtent b="0" l="0" r="0" t="0"/>
            <wp:docPr descr="Figura 7. Comparação provisória das simulações de pH 8,2 e pH 10,0 (as 37 das 48 execuções de pH 8,2 que haviam terminado em 7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provisória das simulações de pH 8,2 e pH 10,0 (as 37 das 48 execuções de pH 8,2 que haviam terminado em 7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(Seção 3.7). O GQNDS (</w:t>
      </w:r>
      <w:r>
        <w:rPr>
          <w:i/>
          <w:iCs/>
        </w:rPr>
        <w:t xml:space="preserve">O. nubilalis</w:t>
      </w:r>
      <w:r>
        <w:t xml:space="preserve">, linear) chegou a ocupância de 1,00 com âncora Gln em pH 10,0, mas ocupou S1 só na primeira metade em pH 8,2.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37 simulações pareadas em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(provisório;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2026-10-07T16:20:13Z</dcterms:created>
  <dcterms:modified xsi:type="dcterms:W3CDTF">2026-10-07T16:20:13Z</dcterms:modified>
</cp:coreProperties>
</file>

<file path=docProps/custom.xml><?xml version="1.0" encoding="utf-8"?>
<Properties xmlns="http://schemas.openxmlformats.org/officeDocument/2006/custom-properties" xmlns:vt="http://schemas.openxmlformats.org/officeDocument/2006/docPropsVTypes"/>
</file>