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Candidate Peptides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 que ainda depende de decisão ou de informação dos autores (lista de peptídeos recomendados, robustez ao pH) está marcado.</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8,166 palavras no original em inglês (corpo sem tabelas, títulos e legendas; cada citação contada como uma palavra); tradução: 8,877</w:t>
            </w:r>
          </w:p>
        </w:tc>
        <w:tc>
          <w:tcPr/>
          <w:p>
            <w:pPr>
              <w:pStyle w:val="Compact"/>
              <w:spacing w:line="240" w:lineRule="auto"/>
            </w:pPr>
            <w:r>
              <w:rPr>
                <w:sz w:val="18"/>
              </w:rPr>
              <w:t xml:space="preserve">OK (margem de 3,834 palavras)</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332 palavras no original em inglês (reescrito em 05/10/2026 para caber no limite); tradução: 375</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48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8 figuras + 9 suplementares em PNG, TIFF (LZW) e PDF vetorial a 300 dpi, largura 180 mm, RGB; as Figuras 13 e 14 (controles) foram retiradas</w:t>
            </w:r>
          </w:p>
        </w:tc>
        <w:tc>
          <w:tcPr/>
          <w:p>
            <w:pPr>
              <w:pStyle w:val="Compact"/>
              <w:spacing w:line="240" w:lineRule="auto"/>
            </w:pPr>
            <w:r>
              <w:rPr>
                <w:sz w:val="18"/>
              </w:rPr>
              <w:t xml:space="preserve">OK</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84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seção própria (</w:t>
            </w:r>
            <w:r>
              <w:rPr>
                <w:sz w:val="18"/>
              </w:rPr>
              <w:t xml:space="preserve">“Generative AI statement”</w:t>
            </w:r>
            <w:r>
              <w:rPr>
                <w:sz w:val="18"/>
              </w:rPr>
              <w:t xml:space="preserve">) nos artigos de exemplo da revista</w:t>
            </w:r>
          </w:p>
        </w:tc>
        <w:tc>
          <w:tcPr/>
          <w:p>
            <w:pPr>
              <w:pStyle w:val="Compact"/>
              <w:spacing w:line="240" w:lineRule="auto"/>
            </w:pPr>
            <w:r>
              <w:rPr>
                <w:sz w:val="18"/>
              </w:rPr>
              <w:t xml:space="preserve">seção criada com rascunho no formato da revista, a confirmar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Formato frente aos três artigos de exemplo da</w:t>
            </w:r>
            <w:r>
              <w:rPr>
                <w:sz w:val="18"/>
              </w:rPr>
              <w:t xml:space="preserve"> </w:t>
            </w:r>
            <w:r>
              <w:rPr>
                <w:i/>
                <w:iCs/>
                <w:sz w:val="18"/>
              </w:rPr>
              <w:t xml:space="preserve">Frontiers in Natural Products</w:t>
            </w:r>
            <w:r>
              <w:rPr>
                <w:sz w:val="18"/>
              </w:rPr>
              <w:t xml:space="preserve"> </w:t>
            </w:r>
            <w:r>
              <w:rPr>
                <w:sz w:val="18"/>
              </w:rPr>
              <w:t xml:space="preserve">(pasta</w:t>
            </w:r>
            <w:r>
              <w:rPr>
                <w:sz w:val="18"/>
              </w:rPr>
              <w:t xml:space="preserve"> </w:t>
            </w:r>
            <w:r>
              <w:rPr>
                <w:rStyle w:val="VerbatimChar"/>
                <w:sz w:val="18"/>
              </w:rPr>
              <w:t xml:space="preserve">exemplos-papers</w:t>
            </w:r>
            <w:r>
              <w:rPr>
                <w:sz w:val="18"/>
              </w:rPr>
              <w:t xml:space="preserve">, 05/10/2026)</w:t>
            </w:r>
          </w:p>
        </w:tc>
        <w:tc>
          <w:tcPr/>
          <w:p>
            <w:pPr>
              <w:pStyle w:val="Compact"/>
              <w:spacing w:line="240" w:lineRule="auto"/>
            </w:pPr>
            <w:r>
              <w:rPr>
                <w:sz w:val="18"/>
              </w:rPr>
              <w:t xml:space="preserve">seções Conclusion, Generative AI statement e Supplementary material; resumo ≤ 350 palavras</w:t>
            </w:r>
          </w:p>
        </w:tc>
        <w:tc>
          <w:tcPr/>
          <w:p>
            <w:pPr>
              <w:pStyle w:val="Compact"/>
              <w:spacing w:line="240" w:lineRule="auto"/>
            </w:pPr>
            <w:r>
              <w:rPr>
                <w:sz w:val="18"/>
              </w:rPr>
              <w:t xml:space="preserve">seções criadas e resumo reescrito; Resultados e Discussão mantidos separados (os exemplos os fundem); lista de referências não reformatada (a produção da revista a reestiliza)</w:t>
            </w:r>
          </w:p>
        </w:tc>
        <w:tc>
          <w:tcPr/>
          <w:p>
            <w:pPr>
              <w:pStyle w:val="Compact"/>
              <w:spacing w:line="240" w:lineRule="auto"/>
            </w:pPr>
            <w:r>
              <w:rPr>
                <w:sz w:val="18"/>
              </w:rPr>
              <w:t xml:space="preserve">OK</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X276c565a0ecafafa450f8b4ee3d141ae153cd6b"/>
    <w:p>
      <w:pPr>
        <w:pStyle w:val="Heading2"/>
      </w:pPr>
      <w:r>
        <w:t xml:space="preserve">Estado dos cálculos (08/10/2026, revisão final)</w:t>
      </w:r>
    </w:p>
    <w:p>
      <w:pPr>
        <w:pStyle w:val="FirstParagraph"/>
      </w:pPr>
      <w:r>
        <w:t xml:space="preserve">Todas as análises computacionais previstas estão concluídas e integradas; nenhum job está rodando no servidor.</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w:t>
            </w:r>
          </w:p>
        </w:tc>
      </w:tr>
      <w:tr>
        <w:tc>
          <w:tcPr/>
          <w:p>
            <w:pPr>
              <w:pStyle w:val="Compact"/>
              <w:spacing w:line="240" w:lineRule="auto"/>
            </w:pPr>
            <w:r>
              <w:rPr>
                <w:sz w:val="18"/>
              </w:rPr>
              <w:t xml:space="preserve">Painel de 8 espécies e subsítios</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 (Seção 3.1)</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RMSD do ligante 9/10; MM-GBSA 4/10; PRODIGY 2/10; os dois últimos acompanham o tamanho da interface (Seção 3.2, Figura 2)</w:t>
            </w:r>
          </w:p>
        </w:tc>
      </w:tr>
      <w:tr>
        <w:tc>
          <w:tcPr/>
          <w:p>
            <w:pPr>
              <w:pStyle w:val="Compact"/>
              <w:spacing w:line="240" w:lineRule="auto"/>
            </w:pPr>
            <w:r>
              <w:rPr>
                <w:sz w:val="18"/>
              </w:rPr>
              <w:t xml:space="preserve">Geração e critério duro</w:t>
            </w:r>
          </w:p>
        </w:tc>
        <w:tc>
          <w:tcPr/>
          <w:p>
            <w:pPr>
              <w:pStyle w:val="Compact"/>
              <w:spacing w:line="240" w:lineRule="auto"/>
            </w:pPr>
            <w:r>
              <w:rPr>
                <w:sz w:val="18"/>
              </w:rPr>
              <w:t xml:space="preserve">concluídos</w:t>
            </w:r>
          </w:p>
        </w:tc>
        <w:tc>
          <w:tcPr/>
          <w:p>
            <w:pPr>
              <w:pStyle w:val="Compact"/>
              <w:spacing w:line="240" w:lineRule="auto"/>
            </w:pPr>
            <w:r>
              <w:rPr>
                <w:sz w:val="18"/>
              </w:rPr>
              <w:t xml:space="preserve">22.066 sequências; 527 lineares e 543 cíclicas (Seção 3.3)</w:t>
            </w:r>
          </w:p>
        </w:tc>
      </w:tr>
      <w:tr>
        <w:tc>
          <w:tcPr/>
          <w:p>
            <w:pPr>
              <w:pStyle w:val="Compact"/>
              <w:spacing w:line="240" w:lineRule="auto"/>
            </w:pPr>
            <w:r>
              <w:rPr>
                <w:sz w:val="18"/>
              </w:rPr>
              <w:t xml:space="preserve">E1–E4 · Boltz-2, reescore, controles pareados, QC de pose, matriz 8 × 8</w:t>
            </w:r>
          </w:p>
        </w:tc>
        <w:tc>
          <w:tcPr/>
          <w:p>
            <w:pPr>
              <w:pStyle w:val="Compact"/>
              <w:spacing w:line="240" w:lineRule="auto"/>
            </w:pPr>
            <w:r>
              <w:rPr>
                <w:sz w:val="18"/>
              </w:rPr>
              <w:t xml:space="preserve">concluídos</w:t>
            </w:r>
          </w:p>
        </w:tc>
        <w:tc>
          <w:tcPr/>
          <w:p>
            <w:pPr>
              <w:pStyle w:val="Compact"/>
              <w:spacing w:line="240" w:lineRule="auto"/>
            </w:pPr>
            <w:r>
              <w:rPr>
                <w:sz w:val="18"/>
              </w:rPr>
              <w:t xml:space="preserve">48 candidatos finais; Δ positivo em 63/78 (L) e 60/79 (M), da ordem do ruído (Seção 3.4)</w:t>
            </w:r>
          </w:p>
        </w:tc>
      </w:tr>
      <w:tr>
        <w:tc>
          <w:tcPr/>
          <w:p>
            <w:pPr>
              <w:pStyle w:val="Compact"/>
              <w:spacing w:line="240" w:lineRule="auto"/>
            </w:pPr>
            <w:r>
              <w:rPr>
                <w:sz w:val="18"/>
              </w:rPr>
              <w:t xml:space="preserve">MD de 10 ns em pH 10,0</w:t>
            </w:r>
          </w:p>
        </w:tc>
        <w:tc>
          <w:tcPr/>
          <w:p>
            <w:pPr>
              <w:pStyle w:val="Compact"/>
              <w:spacing w:line="240" w:lineRule="auto"/>
            </w:pPr>
            <w:r>
              <w:rPr>
                <w:sz w:val="18"/>
              </w:rPr>
              <w:t xml:space="preserve">concluída (48/48)</w:t>
            </w:r>
          </w:p>
        </w:tc>
        <w:tc>
          <w:tcPr/>
          <w:p>
            <w:pPr>
              <w:pStyle w:val="Compact"/>
              <w:spacing w:line="240" w:lineRule="auto"/>
            </w:pPr>
            <w:r>
              <w:rPr>
                <w:sz w:val="18"/>
              </w:rPr>
              <w:t xml:space="preserve">a ocupância de S1 acompanha a pose inicial (Seção 3.5, Figura 5)</w:t>
            </w:r>
          </w:p>
        </w:tc>
      </w:tr>
      <w:tr>
        <w:tc>
          <w:tcPr/>
          <w:p>
            <w:pPr>
              <w:pStyle w:val="Compact"/>
              <w:spacing w:line="240" w:lineRule="auto"/>
            </w:pPr>
            <w:r>
              <w:rPr>
                <w:sz w:val="18"/>
              </w:rPr>
              <w:t xml:space="preserve">MD de 10 ns em pH 8,2</w:t>
            </w:r>
          </w:p>
        </w:tc>
        <w:tc>
          <w:tcPr/>
          <w:p>
            <w:pPr>
              <w:pStyle w:val="Compact"/>
              <w:spacing w:line="240" w:lineRule="auto"/>
            </w:pPr>
            <w:r>
              <w:rPr>
                <w:sz w:val="18"/>
              </w:rPr>
              <w:t xml:space="preserve">concluída (48/48)</w:t>
            </w:r>
          </w:p>
        </w:tc>
        <w:tc>
          <w:tcPr/>
          <w:p>
            <w:pPr>
              <w:pStyle w:val="Compact"/>
              <w:spacing w:line="240" w:lineRule="auto"/>
            </w:pPr>
            <w:r>
              <w:rPr>
                <w:sz w:val="18"/>
              </w:rPr>
              <w:t xml:space="preserve">nenhuma métrica pareada difere de pH 10,0 (distância final P = 0,16; ocupância P = 0,88); só NGGRPDAP e GGKPGEP repetem S1 nos dois pH (Seção 3.7, Figura 7)</w:t>
            </w:r>
          </w:p>
        </w:tc>
      </w:tr>
      <w:tr>
        <w:tc>
          <w:tcPr/>
          <w:p>
            <w:pPr>
              <w:pStyle w:val="Compact"/>
              <w:spacing w:line="240" w:lineRule="auto"/>
            </w:pPr>
            <w:r>
              <w:rPr>
                <w:sz w:val="18"/>
              </w:rPr>
              <w:t xml:space="preserve">Execuções repetidas (16 pares)</w:t>
            </w:r>
          </w:p>
        </w:tc>
        <w:tc>
          <w:tcPr/>
          <w:p>
            <w:pPr>
              <w:pStyle w:val="Compact"/>
              <w:spacing w:line="240" w:lineRule="auto"/>
            </w:pPr>
            <w:r>
              <w:rPr>
                <w:sz w:val="18"/>
              </w:rPr>
              <w:t xml:space="preserve">concluídas</w:t>
            </w:r>
          </w:p>
        </w:tc>
        <w:tc>
          <w:tcPr/>
          <w:p>
            <w:pPr>
              <w:pStyle w:val="Compact"/>
              <w:spacing w:line="240" w:lineRule="auto"/>
            </w:pPr>
            <w:r>
              <w:rPr>
                <w:sz w:val="18"/>
              </w:rPr>
              <w:t xml:space="preserve">o ruído entre execuções do mesmo pH é da ordem da diferença entre pH (Seção 3.7)</w:t>
            </w:r>
          </w:p>
        </w:tc>
      </w:tr>
      <w:tr>
        <w:tc>
          <w:tcPr/>
          <w:p>
            <w:pPr>
              <w:pStyle w:val="Compact"/>
              <w:spacing w:line="240" w:lineRule="auto"/>
            </w:pPr>
            <w:r>
              <w:rPr>
                <w:sz w:val="18"/>
              </w:rPr>
              <w:t xml:space="preserve">MM-GBSA e PRODIGY nas trajetórias (pH 8,2 e 10,0) e classificação final</w:t>
            </w:r>
          </w:p>
        </w:tc>
        <w:tc>
          <w:tcPr/>
          <w:p>
            <w:pPr>
              <w:pStyle w:val="Compact"/>
              <w:spacing w:line="240" w:lineRule="auto"/>
            </w:pPr>
            <w:r>
              <w:rPr>
                <w:sz w:val="18"/>
              </w:rPr>
              <w:t xml:space="preserve">concluídos</w:t>
            </w:r>
          </w:p>
        </w:tc>
        <w:tc>
          <w:tcPr/>
          <w:p>
            <w:pPr>
              <w:pStyle w:val="Compact"/>
              <w:spacing w:line="240" w:lineRule="auto"/>
            </w:pPr>
            <w:r>
              <w:rPr>
                <w:sz w:val="18"/>
              </w:rPr>
              <w:t xml:space="preserve">Seções 3.6 e 3.7, Figuras 6, 7 e S10</w:t>
            </w:r>
          </w:p>
        </w:tc>
      </w:tr>
      <w:tr>
        <w:tc>
          <w:tcPr/>
          <w:p>
            <w:pPr>
              <w:pStyle w:val="Compact"/>
              <w:spacing w:line="240" w:lineRule="auto"/>
            </w:pPr>
            <w:r>
              <w:rPr>
                <w:sz w:val="18"/>
              </w:rPr>
              <w:t xml:space="preserve">Geometria de ataque da Ser195</w:t>
            </w:r>
          </w:p>
        </w:tc>
        <w:tc>
          <w:tcPr/>
          <w:p>
            <w:pPr>
              <w:pStyle w:val="Compact"/>
              <w:spacing w:line="240" w:lineRule="auto"/>
            </w:pPr>
            <w:r>
              <w:rPr>
                <w:sz w:val="18"/>
              </w:rPr>
              <w:t xml:space="preserve">concluída</w:t>
            </w:r>
          </w:p>
        </w:tc>
        <w:tc>
          <w:tcPr/>
          <w:p>
            <w:pPr>
              <w:pStyle w:val="Compact"/>
              <w:spacing w:line="240" w:lineRule="auto"/>
            </w:pPr>
            <w:r>
              <w:rPr>
                <w:sz w:val="18"/>
              </w:rPr>
              <w:t xml:space="preserve">1 de 20 execuções com algum quadro quase de ataque; sem linha de base com substrato conhecido (Seção 3.8)</w:t>
            </w:r>
          </w:p>
        </w:tc>
      </w:tr>
      <w:tr>
        <w:tc>
          <w:tcPr/>
          <w:p>
            <w:pPr>
              <w:pStyle w:val="Compact"/>
              <w:spacing w:line="240" w:lineRule="auto"/>
            </w:pPr>
            <w:r>
              <w:rPr>
                <w:sz w:val="18"/>
              </w:rPr>
              <w:t xml:space="preserve">Controles em MD (7 embaralhados; 8 de troca de âncora)</w:t>
            </w:r>
          </w:p>
        </w:tc>
        <w:tc>
          <w:tcPr/>
          <w:p>
            <w:pPr>
              <w:pStyle w:val="Compact"/>
              <w:spacing w:line="240" w:lineRule="auto"/>
            </w:pPr>
            <w:r>
              <w:rPr>
                <w:sz w:val="18"/>
              </w:rPr>
              <w:t xml:space="preserve">simulados e retirados do artigo (05/10)</w:t>
            </w:r>
          </w:p>
        </w:tc>
        <w:tc>
          <w:tcPr/>
          <w:p>
            <w:pPr>
              <w:pStyle w:val="Compact"/>
              <w:spacing w:line="240" w:lineRule="auto"/>
            </w:pPr>
            <w:r>
              <w:rPr>
                <w:sz w:val="18"/>
              </w:rPr>
              <w:t xml:space="preserve">a distância inicial explica o resultado; uma frase de divulgação em 3.5</w:t>
            </w:r>
          </w:p>
        </w:tc>
      </w:tr>
      <w:tr>
        <w:tc>
          <w:tcPr/>
          <w:p>
            <w:pPr>
              <w:pStyle w:val="Compact"/>
              <w:spacing w:line="240" w:lineRule="auto"/>
            </w:pPr>
            <w:r>
              <w:rPr>
                <w:sz w:val="18"/>
              </w:rPr>
              <w:t xml:space="preserve">Contrasseleção frente a proteases não 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bookmarkEnd w:id="11"/>
    <w:bookmarkStart w:id="12" w:name="pendências-antes-da-submissão"/>
    <w:p>
      <w:pPr>
        <w:pStyle w:val="Heading2"/>
      </w:pPr>
      <w:r>
        <w:t xml:space="preserve">Pendências antes da submissão</w:t>
      </w:r>
    </w:p>
    <w:p>
      <w:pPr>
        <w:pStyle w:val="Compact"/>
        <w:numPr>
          <w:ilvl w:val="0"/>
          <w:numId w:val="1002"/>
        </w:numPr>
      </w:pPr>
      <w:r>
        <w:rPr>
          <w:b/>
          <w:bCs/>
        </w:rPr>
        <w:t xml:space="preserve">Resolvido:</w:t>
      </w:r>
      <w:r>
        <w:t xml:space="preserve"> </w:t>
      </w:r>
      <w:r>
        <w:t xml:space="preserve">resultados de pH 8,2, MM-GBSA e comparação com pH 10,0 (Seções 3.6 e 3.7, Figura 7), com resumo, 4.1, 4.4 e 5 ajustados.</w:t>
      </w:r>
    </w:p>
    <w:p>
      <w:pPr>
        <w:pStyle w:val="Compact"/>
        <w:numPr>
          <w:ilvl w:val="0"/>
          <w:numId w:val="1002"/>
        </w:numPr>
      </w:pPr>
      <w:r>
        <w:rPr>
          <w:b/>
          <w:bCs/>
        </w:rPr>
        <w:t xml:space="preserve">Parcialmente resolvido:</w:t>
      </w:r>
      <w:r>
        <w:t xml:space="preserve"> </w:t>
      </w:r>
      <w:r>
        <w:t xml:space="preserve">(a) motivo do pH 8,2 (Seção 2.6) conferido no texto completo de Schultz et al. (2026): todos os ensaios cinéticos com os peptídeos usaram Tris-HCl 0,1 M, CaCl</w:t>
      </w:r>
      <w:r>
        <w:rPr>
          <w:vertAlign w:val="subscript"/>
        </w:rPr>
        <w:t xml:space="preserve">2</w:t>
      </w:r>
      <w:r>
        <w:t xml:space="preserve"> </w:t>
      </w:r>
      <w:r>
        <w:t xml:space="preserve">20 mM, pH 8,2; o artigo não justifica a escolha, e a frase da Seção 2.6 apenas registra que as simulações seguem essa condição, cabendo aos autores confirmar se era a intenção; (b)</w:t>
      </w:r>
      <w:r>
        <w:t xml:space="preserve"> </w:t>
      </w:r>
      <w:r>
        <w:rPr>
          <w:b/>
          <w:bCs/>
        </w:rPr>
        <w:t xml:space="preserve">em aberto (decisão dos autores):</w:t>
      </w:r>
      <w:r>
        <w:t xml:space="preserve"> </w:t>
      </w:r>
      <w:r>
        <w:t xml:space="preserve">lista de peptídeos recomendados: o manuscrito apresenta quatro peptídeos selecionados por critérios declarados (Seção 3.8, Tabela 4), e a lista final e os cortes dependem dos autores.</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Revisar a auditoria metodológica e de código (</w:t>
      </w:r>
      <w:r>
        <w:rPr>
          <w:rStyle w:val="VerbatimChar"/>
        </w:rPr>
        <w:t xml:space="preserve">docs/AUDITORIA_2026-10-05.md</w:t>
      </w:r>
      <w:r>
        <w:t xml:space="preserve">).</w:t>
      </w:r>
    </w:p>
    <w:p>
      <w:pPr>
        <w:pStyle w:val="Compact"/>
        <w:numPr>
          <w:ilvl w:val="0"/>
          <w:numId w:val="1002"/>
        </w:numPr>
      </w:pPr>
      <w:r>
        <w:t xml:space="preserve">Opcional: linha de base da geometria de ataque com um inibidor-substrato conhecido (SFTI-1).</w:t>
      </w:r>
    </w:p>
    <w:bookmarkEnd w:id="12"/>
    <w:bookmarkEnd w:id="13"/>
    <w:bookmarkStart w:id="107" w:name="X23591a77a83980075fb05aa903afeec2d1a80f4"/>
    <w:p>
      <w:pPr>
        <w:pStyle w:val="Heading1"/>
      </w:pPr>
      <w:r>
        <w:t xml:space="preserve">De inibidores naturais de proteases a peptídeos candidatos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Peptídeos candidatos</w:t>
      </w:r>
      <w:r>
        <w:t xml:space="preserve"> </w:t>
      </w:r>
      <w:r>
        <w:rPr>
          <w:i/>
          <w:iCs/>
        </w:rPr>
        <w:t xml:space="preserve">de novo</w:t>
      </w:r>
      <w:r>
        <w:t xml:space="preserve"> </w:t>
      </w:r>
      <w:r>
        <w:t xml:space="preserve">contra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dinâmica molecular, energia livre de ligação</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peptídeos derivados de suas alças do centro reativo inibem as tripsinas digestivas apenas em concentrações submilimolares a milimolares. Não se sabe se inibidores naturais podem orientar o desenho</w:t>
      </w:r>
      <w:r>
        <w:t xml:space="preserve"> </w:t>
      </w:r>
      <w:r>
        <w:rPr>
          <w:i/>
          <w:iCs/>
        </w:rPr>
        <w:t xml:space="preserve">de novo</w:t>
      </w:r>
      <w:r>
        <w:t xml:space="preserve"> </w:t>
      </w:r>
      <w:r>
        <w:t xml:space="preserve">de peptídeos curtos que o intestino da lagarta não degrade, nem se escores de aprendizado profundo e de energia livre conseguem ordená-los.</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subsítios catalíticos de complexos cristalográficos de inibidores naturais foram transferidos para modelos do AlphaFold, e uma escada de escores (Boltz-2 e dinâmica molecular) foi calibrada com seis inibidores e iscas embaralhadas. Desenhamos 22.066 sequências sobre esqueletos macrocíclicos (RFdiffusion, ProteinMPNN), mantivemos as sem resíduo P1 de proteases do intestino médio do tipo tripsina, quimotripsina ou elastase, co-dobramos com o Boltz-2 e simulamos os três melhores por espécie por 10 ns, lineares e macrocíclicos, ordenando-os com o MM-GBSA e o PRODIGY.</w:t>
      </w:r>
      <w:r>
        <w:t xml:space="preserve"> </w:t>
      </w:r>
      <w:r>
        <w:rPr>
          <w:b/>
          <w:bCs/>
        </w:rPr>
        <w:t xml:space="preserve">Resultados:</w:t>
      </w:r>
      <w:r>
        <w:t xml:space="preserve"> </w:t>
      </w:r>
      <w:r>
        <w:t xml:space="preserve">O Boltz-2 pontuou o inibidor acima de sua isca em 10 de 10 pares. O critério reteve 527 sequências lineares e 543 cíclicas, 49% glicina. Rodadas repetidas do Boltz-2 correlacionaram 0,57 (n = 442), próximo dos 0,50 entre as formas linear e cíclica da mesma sequência. Nas 48 simulações em pH 10,0 (uma execução cada), a distância mediana entre a âncora e o Asp189 subiu de 5,7 para 6,8 Å (linear) e de 5,1 para 6,1 Å (macrocíclica); quatro âncoras terminaram a menos de 4 Å, todas com partida a até 4,0 Å. Os mesmos 48 complexos em pH 8,2 não diferiram do pH 10,0 em nenhuma métrica pareada (distância final</w:t>
      </w:r>
      <w:r>
        <w:t xml:space="preserve"> </w:t>
      </w:r>
      <w:r>
        <w:rPr>
          <w:i/>
          <w:iCs/>
        </w:rPr>
        <w:t xml:space="preserve">P</w:t>
      </w:r>
      <w:r>
        <w:t xml:space="preserve"> </w:t>
      </w:r>
      <w:r>
        <w:t xml:space="preserve">= 0,16; ocupância</w:t>
      </w:r>
      <w:r>
        <w:t xml:space="preserve"> </w:t>
      </w:r>
      <w:r>
        <w:rPr>
          <w:i/>
          <w:iCs/>
        </w:rPr>
        <w:t xml:space="preserve">P</w:t>
      </w:r>
      <w:r>
        <w:t xml:space="preserve"> </w:t>
      </w:r>
      <w:r>
        <w:t xml:space="preserve">= 0,88). A diferença pareada do Boltz-2 frente aos controles embaralhados foi positiva em 63 de 78 candidatos lineares e 60 de 79 macrocíclicos, dentro do ruído da predição.</w:t>
      </w:r>
      <w:r>
        <w:t xml:space="preserve"> </w:t>
      </w:r>
      <w:r>
        <w:rPr>
          <w:b/>
          <w:bCs/>
        </w:rPr>
        <w:t xml:space="preserve">Conclusões:</w:t>
      </w:r>
      <w:r>
        <w:t xml:space="preserve"> </w:t>
      </w:r>
      <w:r>
        <w:t xml:space="preserve">Os inibidores naturais serviram como moldes e padrões de calibração, mas a confiança do Boltz-2 sustenta apenas comparações pareadas, o MM-GBSA e o PRODIGY apenas ordenam candidatos contra o mesmo receptor, e a ocupância de S1 em 10 ns acompanha a pose inicial. Exigir não clivabilidade seleciona peptídeos curtos e ricos em glicina, o que explicita o compromisso entre resistência e engajamento de S1. Todos os resultados são computacionais; seletividade e atividade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Lagartas de lepidópteros limitam a produtividade da soja na América do Sul, e a lagarta-da-soja</w:t>
      </w:r>
      <w:r>
        <w:t xml:space="preserve"> </w:t>
      </w:r>
      <w:r>
        <w:rPr>
          <w:i/>
          <w:iCs/>
        </w:rPr>
        <w:t xml:space="preserve">Anticarsia gemmatalis</w:t>
      </w:r>
      <w:r>
        <w:t xml:space="preserve"> </w:t>
      </w:r>
      <w:r>
        <w:t xml:space="preserve">é uma das desfolhadoras (Carpane et al., 2022; de Almeida Barros et al., 2021). A digestão proteica ocorre em um intestino médio fortemente alcalino, o maior pH luminal conhecido em um sistema biológico (Dow, 1992); a digestão em insetos é revisada em Terra e Ferreira, 1994. Serinoproteases do tipo tripsina são as principais enzimas digestivas das larvas de</w:t>
      </w:r>
      <w:r>
        <w:t xml:space="preserve"> </w:t>
      </w:r>
      <w:r>
        <w:rPr>
          <w:i/>
          <w:iCs/>
        </w:rPr>
        <w:t xml:space="preserve">A. gemmatalis</w:t>
      </w:r>
      <w:r>
        <w:t xml:space="preserve"> </w:t>
      </w:r>
      <w:r>
        <w:t xml:space="preserve">(de Almeida Barros et al., 2021; da Silva Júnior et al., 2020), expressas em múltiplas isoformas (Silva-Júnior et al., 2021).</w:t>
      </w:r>
    </w:p>
    <w:p>
      <w:pPr>
        <w:pStyle w:val="BodyText"/>
      </w:pPr>
      <w:r>
        <w:t xml:space="preserve">Inibidores vegetais de proteases são examinados como bases para o controle de pragas: o inibidor de sementes ApTI é um inibidor de ligação forte das tripsinas de</w:t>
      </w:r>
      <w:r>
        <w:t xml:space="preserve"> </w:t>
      </w:r>
      <w:r>
        <w:rPr>
          <w:i/>
          <w:iCs/>
        </w:rPr>
        <w:t xml:space="preserve">A. gemmatalis</w:t>
      </w:r>
      <w:r>
        <w:t xml:space="preserve"> </w:t>
      </w:r>
      <w:r>
        <w:t xml:space="preserve">(Meriño-Cabrera et al., 2020a), e o BPTI e o inibidor de Kunitz da soja reduziram a sobrevivência das larvas (de Almeida Barros et al., 2022a). As larvas se adaptam, porém, induzindo proteases insensíveis, regulando várias enzimas digestivas e, em algumas espécies, expandindo famílias gênicas (Jongsma et al., 1995; Jongsma e Bolter, 1997; Kuwar et al., 2015; Lomate et al., 2018; Souza et al., 2016); em</w:t>
      </w:r>
      <w:r>
        <w:t xml:space="preserve"> </w:t>
      </w:r>
      <w:r>
        <w:rPr>
          <w:i/>
          <w:iCs/>
        </w:rPr>
        <w:t xml:space="preserve">A. gemmatalis</w:t>
      </w:r>
      <w:r>
        <w:t xml:space="preserve">, o inibidor de Kunitz da soja induziu serina proteases, enquanto o tripeptídeo GORE-2 reprimiu transcritos de proteases digestivas (Júnior et al., 2026). Peptídeos curtos que imitam a alça do centro reativo são mais baratos de produzir que proteínas: peptídeos lineares da interface de um inibidor de Kunitz com a tripsina inibiram tripsinas de</w:t>
      </w:r>
      <w:r>
        <w:t xml:space="preserve"> </w:t>
      </w:r>
      <w:r>
        <w:rPr>
          <w:i/>
          <w:iCs/>
        </w:rPr>
        <w:t xml:space="preserve">S. cosmioides</w:t>
      </w:r>
      <w:r>
        <w:t xml:space="preserve"> </w:t>
      </w:r>
      <w:r>
        <w:t xml:space="preserve">(Meriño-Cabrera et al., 2020b), tripeptídeos inibiram proteases de</w:t>
      </w:r>
      <w:r>
        <w:t xml:space="preserve"> </w:t>
      </w:r>
      <w:r>
        <w:rPr>
          <w:i/>
          <w:iCs/>
        </w:rPr>
        <w:t xml:space="preserve">Helicoverpa armigera</w:t>
      </w:r>
      <w:r>
        <w:t xml:space="preserve"> </w:t>
      </w:r>
      <w:r>
        <w:t xml:space="preserve">com maior eficácia em pH alcalino do intestino (Saikhedkar et al., 2018), e peptídeos bicíclicos das mesmas alças foram dez vezes mais potentes que os lineares (Saikhedkar et al., 2019). Em</w:t>
      </w:r>
      <w:r>
        <w:t xml:space="preserve"> </w:t>
      </w:r>
      <w:r>
        <w:rPr>
          <w:i/>
          <w:iCs/>
        </w:rPr>
        <w:t xml:space="preserve">A. gemmatalis</w:t>
      </w:r>
      <w:r>
        <w:t xml:space="preserve">, os tripeptídeos GORE1 e GORE2 são inibidores competitivos reversíveis (K</w:t>
      </w:r>
      <w:r>
        <w:rPr>
          <w:vertAlign w:val="subscript"/>
        </w:rPr>
        <w:t xml:space="preserve">i</w:t>
      </w:r>
      <w:r>
        <w:t xml:space="preserve"> </w:t>
      </w:r>
      <w:r>
        <w:t xml:space="preserve">de 0,49 e 0,10 mM) que prejudicam a sobrevivência larval (de Almeida Barros et al., 2021), e seus complexos foram examinados por dinâmica molecular (de Almeida Barros et al., 2022b). Peptídeos inspirados nas alças do BPTI e do inibidor de Kunitz da soja (Paulo et al., 2026) e peptídeos da região pró do tripsinogênio (Mariano et al., 2026) foram desenhados contra proteases tipo tripsina de</w:t>
      </w:r>
      <w:r>
        <w:t xml:space="preserve"> </w:t>
      </w:r>
      <w:r>
        <w:rPr>
          <w:i/>
          <w:iCs/>
        </w:rPr>
        <w:t xml:space="preserve">A. gemmatalis</w:t>
      </w:r>
      <w:r>
        <w:t xml:space="preserve">, e um peptídeo guiado por estrutura contra tripsinas de</w:t>
      </w:r>
      <w:r>
        <w:t xml:space="preserve"> </w:t>
      </w:r>
      <w:r>
        <w:rPr>
          <w:i/>
          <w:iCs/>
        </w:rPr>
        <w:t xml:space="preserve">Spodoptera frugiperda</w:t>
      </w:r>
      <w:r>
        <w:t xml:space="preserve"> </w:t>
      </w:r>
      <w:r>
        <w:t xml:space="preserve">foi proposto (Severiche-Castro et al., 2026). A potência milimolar deixa espaço para desenhos com maior afinidade e estabilidade (de Almeida Barros et al., 2021; Schultz et al., 2026).</w:t>
      </w:r>
    </w:p>
    <w:p>
      <w:pPr>
        <w:pStyle w:val="BodyText"/>
      </w:pPr>
      <w:r>
        <w:t xml:space="preserve">Inibidores canônicos inserem o resíduo P1 de uma alça exposta no bolso S1 (Laskowski e Kato, 1980; Laskowski e Qasim, 2000). Nas enzimas tipo tripsina, S1 é definido pelo Asp189 e favorece lisina e arginina (Perona e Craik, 1995; Hedstrom, 2002; Patarroyo-Vargas et al., 2017), que são também os sítios de clivagem da própria enzima-alvo. Um peptídeo clivado no intestino não chega ao alvo, de modo que a estabilidade proteolítica é um requisito: o intestino médio tem também endopeptidases tipo quimotripsina e tipo elastase e exopeptidases (Valaitis, 1995; Valaitis et al., 1999; Yang et al., 2013; Zhan et al., 2011; Nakonieczny et al., 2007). Uma sequência sem os resíduos P1 dessas enzimas e, como macrociclo cabeça-cauda, sem extremidades livres, deveria, em princípio, resistir a elas.</w:t>
      </w:r>
    </w:p>
    <w:p>
      <w:pPr>
        <w:pStyle w:val="BodyText"/>
      </w:pPr>
      <w:r>
        <w:t xml:space="preserve">Ferramentas de aprendizado profundo geram hoje esqueletos e sequências peptídicas</w:t>
      </w:r>
      <w:r>
        <w:t xml:space="preserve"> </w:t>
      </w:r>
      <w:r>
        <w:rPr>
          <w:i/>
          <w:iCs/>
        </w:rPr>
        <w:t xml:space="preserve">de novo</w:t>
      </w:r>
      <w:r>
        <w:t xml:space="preserve"> </w:t>
      </w:r>
      <w:r>
        <w:t xml:space="preserve">(Watson et al., 2023; Dauparas et al., 2022; Rettie et al., 2025) e co-dobram complexos (Wohlwend et al., 2024; Passaro et al., 2025), mas suas saídas de afinidade se correlacionam só fraca a moderadamente com energias livres baseadas em física (Wan et al., 2026), sua confiança ordena poses de peptídeos cíclicos só moderadamente (Li et al., 2026), e escores de energia livre de ponto final dependem da amostragem e do tipo de sistema (Hou et al., 2011; Genheden e Ryde, 2015; Xu et al., 2025). Uma campanha de desenho contra proteases de insetos precisa, portanto, de uma calibração explícita de cada escore que usa.</w:t>
      </w:r>
    </w:p>
    <w:p>
      <w:pPr>
        <w:pStyle w:val="BodyText"/>
      </w:pPr>
      <w:r>
        <w:t xml:space="preserve">Perguntamos aqui até onde os inibidores naturais podem ser levados a peptídeos candidatos</w:t>
      </w:r>
      <w:r>
        <w:t xml:space="preserve"> </w:t>
      </w:r>
      <w:r>
        <w:rPr>
          <w:i/>
          <w:iCs/>
        </w:rPr>
        <w:t xml:space="preserve">de novo</w:t>
      </w:r>
      <w:r>
        <w:t xml:space="preserve"> </w:t>
      </w:r>
      <w:r>
        <w:t xml:space="preserve">dirigidos às tripsinas digestivas de lepidópteros. Os inibidores naturais fornecem os moldes estruturais, os padrões de calibração e a lógica P1–S1; ao desenho</w:t>
      </w:r>
      <w:r>
        <w:t xml:space="preserve"> </w:t>
      </w:r>
      <w:r>
        <w:rPr>
          <w:i/>
          <w:iCs/>
        </w:rPr>
        <w:t xml:space="preserve">de novo</w:t>
      </w:r>
      <w:r>
        <w:t xml:space="preserve"> </w:t>
      </w:r>
      <w:r>
        <w:t xml:space="preserve">se pede o que lhes falta, o tamanho pequeno e a ausência de motivos de clivagem. Nós (i) definimos os subsítios catalíticos de oito tripsinas de pragas por transferência estrutural, (ii) calibramos uma escada de escores (Boltz-2 e dinâmica molecular) contra seis inibidores naturais e iscas embaralhadas, (iii) geramos esqueletos macrocíclicos cabeça-cauda com RFdiffusion e ProteinMPNN, (iv) aplicamos um critério duro de não clivabilidade, (v) co-dobramos os sobreviventes e os simulamos como peptídeos lineares e como macrociclos, e (vi) os ordenamos por etapa com um filtro de energia livre (Figura 1). O trabalho é inteiramente computacional: não inclui ensaio nem teste de seletividade contra proteases não alvo.</w:t>
      </w:r>
    </w:p>
    <w:p>
      <w:pPr>
        <w:pStyle w:val="CaptionedFigure"/>
      </w:pPr>
      <w:r>
        <w:drawing>
          <wp:inline>
            <wp:extent cx="5334000" cy="3496593"/>
            <wp:effectExtent b="0" l="0" r="0" t="0"/>
            <wp:docPr descr="Figura 1. Desenho do estudo. Oito receptores com subsítios transferidos e uma escada de escores calibrada precedem a geração de 880 esqueletos e 22.066 sequências; o critério duro de não clivabilidade as divide na frente L (linear, 527) e na frente M (macrociclo, 543); o co-dobramento com o Boltz-2, o reescore, os controles pareados e o controle de qualidade de pose (E1–E4) dão 48 candidatos (três por espécie e frente), simulados por 10 ns em pH 10,0 e em pH 8,2, com 16 execuções repetidas, e então analisados e classificados por etapa. Nenhum ensaio enzimático nem contrasseleção contra proteases não alvo foi feito." title="" id="16" name="Picture"/>
            <a:graphic>
              <a:graphicData uri="http://schemas.openxmlformats.org/drawingml/2006/picture">
                <pic:pic>
                  <pic:nvPicPr>
                    <pic:cNvPr descr="figures/final/Figure1_pipeline.png" id="17" name="Picture"/>
                    <pic:cNvPicPr>
                      <a:picLocks noChangeArrowheads="1" noChangeAspect="1"/>
                    </pic:cNvPicPr>
                  </pic:nvPicPr>
                  <pic:blipFill>
                    <a:blip r:embed="rId1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Desenho do estudo. Oito receptores com subsítios transferidos e uma escada de escores calibrada precedem a geração de 880 esqueletos e 22.066 sequências; o critério duro de não clivabilidade as divide na frente L (linear, 527) e na frente M (macrociclo, 543); o co-dobramento com o Boltz-2, o reescore, os controles pareados e o controle de qualidade de pose (E1–E4) dão 48 candidatos (três por espécie e frente), simulados por 10 ns em pH 10,0 e em pH 8,2, com 16 execuções repetidas, e então analisados e classificados por etapa. Nenhum ensaio enzimático nem contrasseleção contra proteases não alvo foi feito.</w:t>
      </w:r>
    </w:p>
    <w:p>
      <w:r>
        <w:pict>
          <v:rect style="width:0;height:1.5pt" o:hralign="center" o:hrstd="t" o:hr="t"/>
        </w:pict>
      </w:r>
    </w:p>
    <w:bookmarkEnd w:id="18"/>
    <w:bookmarkStart w:id="28" w:name="material-e-métodos"/>
    <w:p>
      <w:pPr>
        <w:pStyle w:val="Heading2"/>
      </w:pPr>
      <w:r>
        <w:t xml:space="preserve">2 Material e métodos</w:t>
      </w:r>
    </w:p>
    <w:bookmarkStart w:id="19" w:name="receptores-e-subsítios-catalíticos"/>
    <w:p>
      <w:pPr>
        <w:pStyle w:val="Heading3"/>
      </w:pPr>
      <w:r>
        <w:t xml:space="preserve">2.1 Receptores e subsítios catalíticos</w:t>
      </w:r>
    </w:p>
    <w:p>
      <w:pPr>
        <w:pStyle w:val="FirstParagraph"/>
      </w:pPr>
      <w:r>
        <w:t xml:space="preserve">Proteases digestivas do tipo tripsina de oito espécies-praga (</w:t>
      </w:r>
      <w:r>
        <w:rPr>
          <w:i/>
          <w:iCs/>
        </w:rPr>
        <w:t xml:space="preserve">S.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w:t>
      </w:r>
      <w:r>
        <w:t xml:space="preserve"> </w:t>
      </w:r>
      <w:r>
        <w:rPr>
          <w:i/>
          <w:iCs/>
        </w:rPr>
        <w:t xml:space="preserve">A. gemmatalis</w:t>
      </w:r>
      <w:r>
        <w:t xml:space="preserve">) e das referências</w:t>
      </w:r>
      <w:r>
        <w:t xml:space="preserve"> </w:t>
      </w:r>
      <w:r>
        <w:rPr>
          <w:i/>
          <w:iCs/>
        </w:rPr>
        <w:t xml:space="preserve">Manduca sexta</w:t>
      </w:r>
      <w:r>
        <w:t xml:space="preserve"> </w:t>
      </w:r>
      <w:r>
        <w:t xml:space="preserve">e</w:t>
      </w:r>
      <w:r>
        <w:t xml:space="preserve"> </w:t>
      </w:r>
      <w:r>
        <w:rPr>
          <w:i/>
          <w:iCs/>
        </w:rPr>
        <w:t xml:space="preserve">Bombyx mori</w:t>
      </w:r>
      <w:r>
        <w:t xml:space="preserve"> </w:t>
      </w:r>
      <w:r>
        <w:t xml:space="preserve">foram modeladas com estruturas do AlphaFold v2 (Jumper et al., 2021; Varadi et al., 2024) (Tabela 1). Só as entradas de</w:t>
      </w:r>
      <w:r>
        <w:t xml:space="preserve"> </w:t>
      </w:r>
      <w:r>
        <w:rPr>
          <w:i/>
          <w:iCs/>
        </w:rPr>
        <w:t xml:space="preserve">M. sexta</w:t>
      </w:r>
      <w:r>
        <w:t xml:space="preserve"> </w:t>
      </w:r>
      <w:r>
        <w:t xml:space="preserve">são revisadas e têm evidência de expressão no intestino médio; para as demais espécies as entradas foram escolhidas por homologia. A identidade com a tripsina B de</w:t>
      </w:r>
      <w:r>
        <w:t xml:space="preserve"> </w:t>
      </w:r>
      <w:r>
        <w:rPr>
          <w:i/>
          <w:iCs/>
        </w:rPr>
        <w:t xml:space="preserve">M. sexta</w:t>
      </w:r>
      <w:r>
        <w:t xml:space="preserve"> </w:t>
      </w:r>
      <w:r>
        <w:t xml:space="preserve">(P35046) usou um alinhamento global BLOSUM62 (Cock et al., 2009). O resíduo de especificidade foi localizado seis resíduos antes da serina catalítica (motivo G[DN]SGG[PT]), um deslocamento calibrado com a tripsina bovina (UniProt Consortium, 2025). As posições da tríade catalítica e do bolsão S1, com o Asp189 como resíduo de especificidade, foram conferidas em cada modelo por alinhamento global com a tripsina bovina e pelas distâncias de ligação de hidrogênio nas coordenadas do AlphaFold (Tabela S2).</w:t>
      </w:r>
    </w:p>
    <w:p>
      <w:pPr>
        <w:pStyle w:val="BodyText"/>
      </w:pPr>
      <w:r>
        <w:t xml:space="preserve">Os subsítios S4–S3′ (Schechter e Berger, 1967) foram definidos a partir de dois complexos cristalográficos da tripsina bovina (Berman et al., 2000), 2PTC (BPTI) e 1SFI (SFTI-1; Luckett et al., 1999). O P1 foi o resíduo do inibidor cujo carbono carbonílico fica mais perto do Oγ da serina catalítica, e um resíduo da tripsina foi atribuído a um subsítio quando qualquer um de seus átomos estava a até 4,5 Å do resíduo correspondente do inibidor. Cada cadeia de tripsina foi alinhada a cada receptor com o Foldseek em modo TM-align (van Kempen et al., 2024; Zhang e Skolnick, 2005), os resíduos foram transferidos pelo alinhamento e um par receptor–molde foi aceito com TM-score de pelo menos 0,5 e RMSD de no máximo 3,0 Å.</w:t>
      </w:r>
    </w:p>
    <w:bookmarkEnd w:id="19"/>
    <w:bookmarkStart w:id="20" w:name="calibração-da-escada-de-escores"/>
    <w:p>
      <w:pPr>
        <w:pStyle w:val="Heading3"/>
      </w:pPr>
      <w:r>
        <w:t xml:space="preserve">2.2 Calibração da escada de escores</w:t>
      </w:r>
    </w:p>
    <w:p>
      <w:pPr>
        <w:pStyle w:val="FirstParagraph"/>
      </w:pPr>
      <w:r>
        <w:t xml:space="preserve">Seis inibidores naturais serviram de controles positivos: BPTI (1BPI; Parkin et al., 1996), SFTI-1 (1SFI, linear), inibidor de Kunitz da soja (SKTI, 1AVU; Song e Suh, 1998), inibidor de Bowman–Birk (BBI, 1BBI; Werner e Wemmer, 1992), o inibidor de</w:t>
      </w:r>
      <w:r>
        <w:t xml:space="preserve"> </w:t>
      </w:r>
      <w:r>
        <w:rPr>
          <w:i/>
          <w:iCs/>
        </w:rPr>
        <w:t xml:space="preserve">Enterolobium contortisiliquum</w:t>
      </w:r>
      <w:r>
        <w:t xml:space="preserve"> </w:t>
      </w:r>
      <w:r>
        <w:t xml:space="preserve">(EcTI, 4J2K; Zhou et al., 2013) e ApTI (UniProt; sem estrutura). Para cada um, exceto o ApTI, gerou-se uma isca embaralhada de mesma composição. Cada ligante foi modelado com a β-tripsina bovina e com o modelo de</w:t>
      </w:r>
      <w:r>
        <w:t xml:space="preserve"> </w:t>
      </w:r>
      <w:r>
        <w:rPr>
          <w:i/>
          <w:iCs/>
        </w:rPr>
        <w:t xml:space="preserve">S. frugiperda</w:t>
      </w:r>
      <w:r>
        <w:t xml:space="preserve"> </w:t>
      </w:r>
      <w:r>
        <w:t xml:space="preserve">A0A089QDB3 (22 sistemas). Dois tipos de escore foram comparados: (i) confiança do Boltz-2 (Passaro et al., 2025) (MSA do ColabFold (Mirdita et al., 2022); uma amostra), com o seu ipTM e o pLDDT do complexo; (ii) RMSD do esqueleto do ligante após superposição no receptor em uma simulação de 2 ns (Seção 2.6; último terço; pH 8,0 para a tripsina bovina e 10,0 para o modelo de</w:t>
      </w:r>
      <w:r>
        <w:t xml:space="preserve"> </w:t>
      </w:r>
      <w:r>
        <w:rPr>
          <w:i/>
          <w:iCs/>
        </w:rPr>
        <w:t xml:space="preserve">S. frugiperda</w:t>
      </w:r>
      <w:r>
        <w:t xml:space="preserve">). Um escore separou um par quando o inibidor real teve o melhor valor, com a direção fixada de antemão. Os dez pares não são independentes, porque cada isca é usada com dois receptores.</w:t>
      </w:r>
    </w:p>
    <w:bookmarkEnd w:id="20"/>
    <w:bookmarkStart w:id="21" w:name="Xaf1a1df1337703c69782741b3683d5fef58df42"/>
    <w:p>
      <w:pPr>
        <w:pStyle w:val="Heading3"/>
      </w:pPr>
      <w:r>
        <w:t xml:space="preserve">2.3 Geração de esqueletos e desenho de sequências</w:t>
      </w:r>
    </w:p>
    <w:p>
      <w:pPr>
        <w:pStyle w:val="FirstParagraph"/>
      </w:pPr>
      <w:r>
        <w:t xml:space="preserve">Esqueletos cíclicos cabeça-cauda foram gerados com o RFdiffusion 1.1.0 (Watson et al., 2023) (</w:t>
      </w:r>
      <w:r>
        <w:rPr>
          <w:rStyle w:val="VerbatimChar"/>
        </w:rPr>
        <w:t xml:space="preserve">Complex_base_ckpt</w:t>
      </w:r>
      <w:r>
        <w:t xml:space="preserve">, 50 passos,</w:t>
      </w:r>
      <w:r>
        <w:t xml:space="preserve"> </w:t>
      </w:r>
      <w:r>
        <w:rPr>
          <w:rStyle w:val="VerbatimChar"/>
        </w:rPr>
        <w:t xml:space="preserve">noise_scale_ca</w:t>
      </w:r>
      <w:r>
        <w:t xml:space="preserve"> </w:t>
      </w:r>
      <w:r>
        <w:t xml:space="preserve">0,2,</w:t>
      </w:r>
      <w:r>
        <w:t xml:space="preserve"> </w:t>
      </w:r>
      <w:r>
        <w:rPr>
          <w:rStyle w:val="VerbatimChar"/>
        </w:rPr>
        <w:t xml:space="preserve">noise_scale_frame</w:t>
      </w:r>
      <w:r>
        <w:t xml:space="preserve"> </w:t>
      </w:r>
      <w:r>
        <w:t xml:space="preserve">0,1, modo cíclico, receptor fixo): dez esqueletos para cada um de 11 comprimentos (5, 6, 7, 8, 10, 12, 14, 16, 18, 19, 20 resíduos) e cada um dos oito alvos (880 esqueletos). Os pontos quentes foram os resíduos de S1 e S2 transferidos do 1SFI; só os oito primeiros em número de resíduo chegaram ao RFdiffusion (equivalentes de His57, Leu99, Asp189, Ser190, Cys191, Gln192, Gly193 e Asp194). O ProteinMPNN (Dauparas et al., 2022) (</w:t>
      </w:r>
      <w:r>
        <w:rPr>
          <w:rStyle w:val="VerbatimChar"/>
        </w:rPr>
        <w:t xml:space="preserve">v_48_020</w:t>
      </w:r>
      <w:r>
        <w:t xml:space="preserve">, T = 0,1, ruído do esqueleto 0,05, sem cisteína, 30 sequências por esqueleto) rodou com as definições de cadeia padrão, de modo que o receptor também foi redesenhado e só o peptídeo foi mantido. Sequências idênticas foram reunidas em cada espécie.</w:t>
      </w:r>
    </w:p>
    <w:bookmarkEnd w:id="21"/>
    <w:bookmarkStart w:id="22" w:name="triagens-de-clivagem"/>
    <w:p>
      <w:pPr>
        <w:pStyle w:val="Heading3"/>
      </w:pPr>
      <w:r>
        <w:t xml:space="preserve">2.4 Triagens de clivagem</w:t>
      </w:r>
    </w:p>
    <w:p>
      <w:pPr>
        <w:pStyle w:val="FirstParagraph"/>
      </w:pPr>
      <w:r>
        <w:rPr>
          <w:i/>
          <w:iCs/>
        </w:rPr>
        <w:t xml:space="preserve">Triagem por escore de motivos (primeira rodada).</w:t>
      </w:r>
      <w:r>
        <w:t xml:space="preserve"> </w:t>
      </w:r>
      <w:r>
        <w:t xml:space="preserve">Cada sequência foi varrida de forma circular com sete regras simplificadas de motivo P1 baseadas no PeptideCutter (Gasteiger et al., 2005) (tripsina, quimotripsina em duas especificidades, uma regra tipo elastase, Lys-C, Arg-C e uma regra tipo pepsina). Uma contagem ponderada de sítios (pesos 1,0, 0,6 e 0,3 para as prioridades 1–3 das enzimas; só sítios internos para a tripsina; dividida por 10 e limitada a 1) deu o escore. Uma sequência foi rotulada RESISTENTE sem sítio interno de tripsina e com escore abaixo de 0,3, MARGINAL com no máximo um sítio interno e escore abaixo de 0,5, e SUSCEPTIVEL nos demais casos. Os rótulos são previsões por motivo e não medem proteólise.</w:t>
      </w:r>
    </w:p>
    <w:p>
      <w:pPr>
        <w:pStyle w:val="BodyText"/>
      </w:pPr>
      <w:r>
        <w:rPr>
          <w:i/>
          <w:iCs/>
        </w:rPr>
        <w:t xml:space="preserve">Critério duro.</w:t>
      </w:r>
      <w:r>
        <w:t xml:space="preserve"> </w:t>
      </w:r>
      <w:r>
        <w:t xml:space="preserve">Uma sequência foi mantida só se nenhum resíduo fosse K ou R (tipo tripsina), F, Y, W, L ou M (tipo quimotripsina), ou A ou V (tipo elastase), a menos que o resíduo seguinte fosse prolina. No peptídeo linear o resíduo C-terminal também foi avaliado (não pode pertencer a esse conjunto nem ser isoleucina, por causa das carboxipeptidases); no macrociclo a ligação de fechamento foi avaliada como as demais. A isoleucina foi permitida no interior. A regra foi aplicada às mesmas sequências nas interpretações linear (frente L) e cíclica (frente M). Ela se apoia nas especificidades relatadas para o intestino médio (Valaitis, 1995; Valaitis et al., 1999; Yang et al., 2013; Zhan et al., 2011; Nakonieczny et al., 2007); a exceção K/R–Pro é uma aproximação, e a aminopeptidase N, que precisa de um N-terminal livre, não é excluída nos peptídeos lineares.</w:t>
      </w:r>
    </w:p>
    <w:bookmarkEnd w:id="22"/>
    <w:bookmarkStart w:id="23" w:name="X4ad4a271862c79f8dc989954b8400ea8ab268c6"/>
    <w:p>
      <w:pPr>
        <w:pStyle w:val="Heading3"/>
      </w:pPr>
      <w:r>
        <w:t xml:space="preserve">2.5 Co-dobramento, reescore e qualidade da pose</w:t>
      </w:r>
    </w:p>
    <w:p>
      <w:pPr>
        <w:pStyle w:val="FirstParagraph"/>
      </w:pPr>
      <w:r>
        <w:t xml:space="preserve">Os candidatos foram co-dobrados com o Boltz-2 2.2.1 (Passaro et al., 2025) (MSA do receptor do ColabFold (Mirdita et al., 2022); peptídeo sem MSA,</w:t>
      </w:r>
      <w:r>
        <w:t xml:space="preserve"> </w:t>
      </w:r>
      <w:r>
        <w:rPr>
          <w:rStyle w:val="VerbatimChar"/>
        </w:rPr>
        <w:t xml:space="preserve">cyclic: true</w:t>
      </w:r>
      <w:r>
        <w:t xml:space="preserve"> </w:t>
      </w:r>
      <w:r>
        <w:t xml:space="preserve">nos macrociclos). Relatamos o</w:t>
      </w:r>
      <w:r>
        <w:t xml:space="preserve"> </w:t>
      </w:r>
      <w:r>
        <w:rPr>
          <w:rStyle w:val="VerbatimChar"/>
        </w:rPr>
        <w:t xml:space="preserve">confidence_score</w:t>
      </w:r>
      <w:r>
        <w:t xml:space="preserve"> </w:t>
      </w:r>
      <w:r>
        <w:t xml:space="preserve">(verificado igual a 0,8·pLDDT + 0,2·ipTM), o pLDDT e o ipTM; as saídas de afinidade não foram usadas.</w:t>
      </w:r>
      <w:r>
        <w:t xml:space="preserve"> </w:t>
      </w:r>
      <w:r>
        <w:rPr>
          <w:i/>
          <w:iCs/>
        </w:rPr>
        <w:t xml:space="preserve">E1:</w:t>
      </w:r>
      <w:r>
        <w:t xml:space="preserve"> </w:t>
      </w:r>
      <w:r>
        <w:t xml:space="preserve">os 527 candidatos lineares e 543 cíclicos do critério duro, uma predição cada.</w:t>
      </w:r>
      <w:r>
        <w:t xml:space="preserve"> </w:t>
      </w:r>
      <w:r>
        <w:rPr>
          <w:i/>
          <w:iCs/>
        </w:rPr>
        <w:t xml:space="preserve">E2:</w:t>
      </w:r>
      <w:r>
        <w:t xml:space="preserve"> </w:t>
      </w:r>
      <w:r>
        <w:t xml:space="preserve">os dez melhores candidatos por espécie e frente foram re-preditos com cinco amostras de difusão, três ciclos de reciclagem, potenciais de tempo de inferência e três sementes (15 predições); o escore é a média e a melhor amostra é a estrutura inicial.</w:t>
      </w:r>
      <w:r>
        <w:t xml:space="preserve"> </w:t>
      </w:r>
      <w:r>
        <w:rPr>
          <w:i/>
          <w:iCs/>
        </w:rPr>
        <w:t xml:space="preserve">E3:</w:t>
      </w:r>
      <w:r>
        <w:t xml:space="preserve"> </w:t>
      </w:r>
      <w:r>
        <w:t xml:space="preserve">três controles embaralhados por candidato do E2 foram preditos com o mesmo protocolo, e Δ = escore do candidato − escore médio de seus controles.</w:t>
      </w:r>
      <w:r>
        <w:t xml:space="preserve"> </w:t>
      </w:r>
      <w:r>
        <w:rPr>
          <w:i/>
          <w:iCs/>
        </w:rPr>
        <w:t xml:space="preserve">E4:</w:t>
      </w:r>
      <w:r>
        <w:t xml:space="preserve"> </w:t>
      </w:r>
      <w:r>
        <w:t xml:space="preserve">controle de qualidade da pose, com limiares fixados de antemão: nenhum par de átomos pesados peptídeo–receptor a menos de 2,2 Å; |ω| ≥ 150° (Pro cis aceita); quiralidade L; His57 Nε2–Ser195 Oγ ≤ 3,8 Å; nos macrociclos, C–N de fechamento ≤ 1,5 Å e ω de fechamento ≥ 150°. O melhor candidato de cada espécie também foi co-dobrado com os sete outros receptores (matriz cruzada 8 × 8). Os três candidatos por espécie e frente com maior confiança média no E2 entre as sequências distintas (24 lineares, 24 cíclicos) seguiram para a simulação; Δ não foi usado na seleção.</w:t>
      </w:r>
    </w:p>
    <w:bookmarkEnd w:id="23"/>
    <w:bookmarkStart w:id="24" w:name="dinâmica-molecular"/>
    <w:p>
      <w:pPr>
        <w:pStyle w:val="Heading3"/>
      </w:pPr>
      <w:r>
        <w:t xml:space="preserve">2.6 Dinâmica molecular</w:t>
      </w:r>
    </w:p>
    <w:p>
      <w:pPr>
        <w:pStyle w:val="FirstParagraph"/>
      </w:pPr>
      <w:r>
        <w:t xml:space="preserve">Cada um dos 48 complexos foi simulado por 10 ns em pH 10,0 (pH de triagem, escolhido pelo intestino médio das larvas: extratos de intestino de</w:t>
      </w:r>
      <w:r>
        <w:t xml:space="preserve"> </w:t>
      </w:r>
      <w:r>
        <w:rPr>
          <w:i/>
          <w:iCs/>
        </w:rPr>
        <w:t xml:space="preserve">H. virescens</w:t>
      </w:r>
      <w:r>
        <w:t xml:space="preserve"> </w:t>
      </w:r>
      <w:r>
        <w:t xml:space="preserve">em pH 9,56–10,0 (Karumbaiah et al., 2007); (Dow, 1992)) e em pH 8,2, o pH dos ensaios enzimáticos com os peptídeos GORE (Tris-HCl 0,1 M, CaCl</w:t>
      </w:r>
      <w:r>
        <w:rPr>
          <w:vertAlign w:val="subscript"/>
        </w:rPr>
        <w:t xml:space="preserve">2</w:t>
      </w:r>
      <w:r>
        <w:t xml:space="preserve"> </w:t>
      </w:r>
      <w:r>
        <w:t xml:space="preserve">20 mM (Schultz et al., 2026)). Os dois valores foram escolhidos juntos porque o pH do intestino médio não é o mesmo em todas as lagartas de lepidópteros; um inibidor eficaz ao longo dessa faixa é mais viável contra o complexo de pragas do que um que funcione em um único pH, e o par também corresponde às condições em que um Ki seria medido. A protonação foi atribuída com o PROPKA 3 (Olsson et al., 2011) pelo PDB2PQR (Dolinsky et al., 2007). Os sistemas foram montados com o GROMACS 2025.4 (Abraham et al., 2015), o campo de força CHARMM36 (Huang e MacKerell, 2013) (porte feito com o charmm2gmx (Wacha e Lemkul, 2023)) e água TIP3P Jorgensen et al., 1983, em caixa dodecaédrica (margem de 1,2 nm, KCl 0,10 M).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w:t>
      </w:r>
      <w:r>
        <w:t xml:space="preserve">nos dois pH; o macrociclo não tem extremidades, e o pdb2gmx forma a ligação cabeça-cauda a partir da geometria do Boltz-2 (o script de montagem para se faltar a ligação de fechamento ou o termo CMAP). Após a minimização, 200 ps de NVT e 500 ps de NPT com restrições de posição (1.000 kJ mol</w:t>
      </w:r>
      <w:r>
        <w:rPr>
          <w:vertAlign w:val="superscript"/>
        </w:rPr>
        <w:t xml:space="preserve">−1</w:t>
      </w:r>
      <w:r>
        <w:t xml:space="preserve"> </w:t>
      </w:r>
      <w:r>
        <w:t xml:space="preserve">nm</w:t>
      </w:r>
      <w:r>
        <w:rPr>
          <w:vertAlign w:val="superscript"/>
        </w:rPr>
        <w:t xml:space="preserve">−2</w:t>
      </w:r>
      <w:r>
        <w:t xml:space="preserve">), a produção durou 10 ns a 300 K e 1 bar (termostato de reescalonamento de velocidades Bussi et al., 2007; barostato de Parrinello–Rahman Parrinello e Rahman, 1981; PME Essmann et al., 1995; cortes de 1,2 nm, van der Waals com</w:t>
      </w:r>
      <w:r>
        <w:t xml:space="preserve"> </w:t>
      </w:r>
      <w:r>
        <w:rPr>
          <w:i/>
          <w:iCs/>
        </w:rPr>
        <w:t xml:space="preserve">force-switch</w:t>
      </w:r>
      <w:r>
        <w:t xml:space="preserve">; LINCS; passo de 2 fs). Cada sistema foi executado uma vez por pH com semente aleatória; quatro candidatos por frente (NGGRPDAP, GQNDS, PTTTQT e GSNIN lineares; GGHSE, GGKPGEP, IYPETG e SGSTDIE cíclicos) foram executados de novo em cada pH com outra semente, para estimar a variação entre execuções.</w:t>
      </w:r>
    </w:p>
    <w:bookmarkEnd w:id="24"/>
    <w:bookmarkStart w:id="25" w:name="análise-das-trajetórias"/>
    <w:p>
      <w:pPr>
        <w:pStyle w:val="Heading3"/>
      </w:pPr>
      <w:r>
        <w:t xml:space="preserve">2.7 Análise das trajetórias</w:t>
      </w:r>
    </w:p>
    <w:p>
      <w:pPr>
        <w:pStyle w:val="FirstParagraph"/>
      </w:pPr>
      <w:r>
        <w:t xml:space="preserve">As trajetórias foram tornadas inteiras e centradas (</w:t>
      </w:r>
      <w:r>
        <w:rPr>
          <w:rStyle w:val="VerbatimChar"/>
        </w:rPr>
        <w:t xml:space="preserve">gmx trjconv -pbc mol -center</w:t>
      </w:r>
      <w:r>
        <w:t xml:space="preserve">), porque receptor e peptídeo são moléculas separadas que podem ser gravadas em imagens periódicas diferentes; as análises usaram o MDAnalysis 2.9.0 (Michaud-Agrawal et al., 2011; Gowers et al., 2016). Em cada quadro, a distância de cada resíduo do peptídeo aos oxigênios do carboxilato do equivalente do Asp189 foi a distância mínima entre átomos pesados, e o resíduo de menor distância média foi a âncora (definida a posteriori, sem supor qual seria). A ocupância de S1 é a fração de quadros com distância âncora–Asp189 abaixo de 5 Å (4 e 6 Å também calculados), na trajetória inteira e em cada metade. A distância âncora–Asp189 e o RMSD de Cα do peptídeo após superposição no receptor são dados para uma janela inicial (primeiros 0,4 ns) e uma final (últimos 2 ns). Relatamos ainda a fração de quadros com qualquer átomo do peptídeo a até 4,5 Å do Oγ da Ser ou do Nε2 da His catalíticas ou do receptor e, nos macrociclos, a distância C–N e o ω de fechamento em cada quadro. A triagem declarada de antemão exigia ocupância na segunda metade ≥ 70%, a mesma âncora nas duas metades e, nos macrociclos, anel íntegro (C–N ≤ 1,5 Å, ω ≥ 150° em todos os quadros). Em 2 de outubro de 2026, depois das 16 primeiras simulações, a ocupância passou de portão a descrição (Seção 3.5), uma mudança do procedimento declarado feita depois de ver dados. Com uma execução por candidato, não se faz inferência estatística.</w:t>
      </w:r>
    </w:p>
    <w:p>
      <w:pPr>
        <w:pStyle w:val="BodyText"/>
      </w:pPr>
      <w:r>
        <w:rPr>
          <w:i/>
          <w:iCs/>
        </w:rPr>
        <w:t xml:space="preserve">Geometria de ataque.</w:t>
      </w:r>
      <w:r>
        <w:t xml:space="preserve"> </w:t>
      </w:r>
      <w:r>
        <w:t xml:space="preserve">Na segunda metade de cada execução, para cada ligação peptídica (incluindo a de fechamento; excluído o carboxilato C-terminal) medimos a distância do Oγ da Ser195 ao C da carbonila, o ângulo Oγ···C=O e a distância do O da carbonila ao N do esqueleto da Gly193 e da Ser195 (buraco do oxiânion). Uma conformação quase de ataque exigiu &lt; 3,5 Å, 90–125° e &lt; 3,5 Å (</w:t>
      </w:r>
      <w:r>
        <w:rPr>
          <w:rStyle w:val="VerbatimChar"/>
        </w:rPr>
        <w:t xml:space="preserve">scripts/scissile_geometry.py</w:t>
      </w:r>
      <w:r>
        <w:t xml:space="preserve">). Os limiares foram escolhidos para esta análise; aqui eles são calibrados não contra um substrato conhecido, mas contra um controle interno — as sequências embaralhadas da Seção 3.5, que põem um resíduo básico na S1 sem a prolina seguinte, no protocolo idêntico.</w:t>
      </w:r>
    </w:p>
    <w:bookmarkEnd w:id="25"/>
    <w:bookmarkStart w:id="26" w:name="Xa9fdff8d9f7759ce85d1a0eb870cc3a1d9972fa"/>
    <w:p>
      <w:pPr>
        <w:pStyle w:val="Heading3"/>
      </w:pPr>
      <w:r>
        <w:t xml:space="preserve">2.8 Filtro de energia, classificação e comparação de pH</w:t>
      </w:r>
    </w:p>
    <w:p>
      <w:pPr>
        <w:pStyle w:val="FirstParagraph"/>
      </w:pPr>
      <w:r>
        <w:t xml:space="preserve">O MM-GBSA usou o gmx_MMPBSA (Valdés-Tresanco et al., 2021) (MMPBSA.py (Miller et al., 2012); Born generalizado igb = 5 (Onufriev et al., 2004); sal 0,150 M; trajetória única; sem entropia) na segunda metade de cada trajetória (126 quadros; receptor cadeia A, peptídeo cadeia B), com erro-padrão sobre cinco blocos de quadros. O PRODIGY (Vangone e Bonvin, 2015), preditor baseado em contatos e sem protonação explícita, foi aplicado à pose inicial (protonada em pH 8,2) e a 30 quadros da segunda metade. Os dois escores crescem com o tamanho da interface, e por isso cada um é dado também por resíduo; nenhum foi calibrado como discriminador entre inibidores reais e iscas embaralhadas, e ambos ordenam candidatos contra o mesmo receptor sem serem lidos como afinidades. Cada etapa ordena os candidatos dentro de uma frente (1 = melhor; empates recebem o posto médio): confiança do Boltz-2 no E2, Δ pareado (E3), RMSD final do peptídeo em pH 8,2, PRODIGY na pose e PRODIGY e MM-GBSA na trajetória de pH 8,2; o agregado é o posto médio nas etapas. A classificação cobre os candidatos que passaram no controle de qualidade de pose, tiveram Δ &gt; 0 e, nos macrociclos, cumpriram o critério estrito do anel; a ocupância de S1 não entra (Seção 3.5). As simulações de pH 8,2 e de pH 10,0 são pareadas (mesma pose e protocolo; diferem na protonação das cadeias laterais, nos contraíons e na semente) e comparadas pela diferença pareada de cada métrica (teste de postos sinalizados de Wilcoxon), pela correlação de postos entre pH e pela concordância de desfechos categóricos, lidas contra a diferença entre execuções do mesmo pH.</w:t>
      </w:r>
    </w:p>
    <w:bookmarkEnd w:id="26"/>
    <w:bookmarkStart w:id="27" w:name="programas-e-dados"/>
    <w:p>
      <w:pPr>
        <w:pStyle w:val="Heading3"/>
      </w:pPr>
      <w:r>
        <w:t xml:space="preserve">2.9 Programas e dados</w:t>
      </w:r>
    </w:p>
    <w:p>
      <w:pPr>
        <w:pStyle w:val="FirstParagraph"/>
      </w:pPr>
      <w:r>
        <w:t xml:space="preserve">Os cálculos rodaram em uma NVIDIA RTX 5070 Ti (16 GB) com 32 núcleos de CPU (Python 3.10/3.11; PyTorch 2.12/2.13, CUDA 12.8/13.0). O código, a configuração, a tabela de subsítios, os dados de calibração, as listas de candidatos e os escores estão no repositório do projeto (https://github.com/eulaliobqi/design-inibidores)</w:t>
      </w:r>
      <w:r>
        <w:t xml:space="preserve"> </w:t>
      </w:r>
      <w:r>
        <w:rPr>
          <w:rStyle w:val="Pendente"/>
        </w:rPr>
        <w:t xml:space="preserve">visibilidade do repositório e DOI de arquivamento a confirmar</w:t>
      </w:r>
      <w:r>
        <w:t xml:space="preserve">. As trajetórias estão disponíveis sob pedido.</w:t>
      </w:r>
    </w:p>
    <w:p>
      <w:r>
        <w:pict>
          <v:rect style="width:0;height:1.5pt" o:hralign="center" o:hrstd="t" o:hr="t"/>
        </w:pict>
      </w:r>
    </w:p>
    <w:bookmarkEnd w:id="27"/>
    <w:bookmarkEnd w:id="28"/>
    <w:bookmarkStart w:id="58" w:name="resultados"/>
    <w:p>
      <w:pPr>
        <w:pStyle w:val="Heading2"/>
      </w:pPr>
      <w:r>
        <w:t xml:space="preserve">3 Resultados</w:t>
      </w:r>
    </w:p>
    <w:bookmarkStart w:id="29" w:name="Xa38c64f56c14195f30fce93282fc3ac55756754"/>
    <w:p>
      <w:pPr>
        <w:pStyle w:val="Heading3"/>
      </w:pPr>
      <w:r>
        <w:t xml:space="preserve">3.1 Painel de receptores e transferência dos subsítios</w:t>
      </w:r>
    </w:p>
    <w:p>
      <w:pPr>
        <w:pStyle w:val="FirstParagraph"/>
      </w:pPr>
      <w:r>
        <w:t xml:space="preserve">As dez sequências têm o motivo catalítico G[DN]SGG[PT] e um aspartato na posição de especificidade, o resíduo da tripsina bovina (Tabela 1).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pragas; o pLDDT médio foi de 89,7 a 91,0 nos oito modelos de praga e de 88,9 a 92,2 nos dez. Em todos os modelos os resíduos equivalentes à His57, ao Asp102 e à Ser195 são His, Asp e Ser, e as distâncias His–Ser e His–Asp (2,92–3,13 Å e 2,70–2,75 Å) são as de uma tríade montada; os resíduos do bolsão Asp189, Cys191, Gly193, Asp194, Gly216 e Gly226 são conservados, ao passo que Ser190, Val213, Trp215 e Gly219 variam entre as espécies (Tabela S2). O painel é, portanto, do tipo tripsina, mas a expressão dessas enzimas nos intestinos médios das pragas não está documentada (Seção 2.1). O P1 foi a Lys15 no BPTI e a Lys5 no SFTI-1; nos dois complexos o conjunto de contatos de S1 teve 14 resíduos da tripsina, entre eles Asp189, Ser190, Cys191, Gln192, Gly193, Asp194, His57, Ser195, Val213, Ser214, Trp215, Gly216, Gly219 e Gly226 (Tabela S1). Todos os 20 pares receptor–molde foram aceitos (TM-score 0,946–0,957; RMSD 1,18–1,41 Å), todos os resíduos dos subsítios foram transferidos (48 de 48 para o 2PTC e 49 de 49 para o 1SFI, exossítio incluído), e o equivalente do Asp189 achado pela estrutura coincidiu com o achado pela sequência nos dez receptores.</w:t>
      </w:r>
    </w:p>
    <w:p>
      <w:pPr>
        <w:pStyle w:val="BodyText"/>
      </w:pPr>
      <w:r>
        <w:rPr>
          <w:b/>
          <w:bCs/>
        </w:rPr>
        <w:t xml:space="preserve">Tabela 1.</w:t>
      </w:r>
      <w:r>
        <w:t xml:space="preserve"> </w:t>
      </w:r>
      <w:r>
        <w:t xml:space="preserve">Painel de receptores (modelos do AlphaFold). Identidade: com a P35046 de</w:t>
      </w:r>
      <w:r>
        <w:t xml:space="preserve"> </w:t>
      </w:r>
      <w:r>
        <w:rPr>
          <w:i/>
          <w:iCs/>
        </w:rPr>
        <w:t xml:space="preserve">M. sexta</w:t>
      </w:r>
      <w:r>
        <w:t xml:space="preserve">. Os números da serina catalítica e do equivalente do Asp189 se referem à numeração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Eq. do Asp189</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29"/>
    <w:bookmarkStart w:id="33" w:name="calibração-da-escada-de-escores-1"/>
    <w:p>
      <w:pPr>
        <w:pStyle w:val="Heading3"/>
      </w:pPr>
      <w:r>
        <w:t xml:space="preserve">3.2 Calibração da escada de escores</w:t>
      </w:r>
    </w:p>
    <w:p>
      <w:pPr>
        <w:pStyle w:val="FirstParagraph"/>
      </w:pPr>
      <w:r>
        <w:t xml:space="preserve">O Boltz-2 deu confiança maior ao inibidor real do que à sua isca em 10 de 10 pares (diferenças de 0,042–0,274; mediana 0,190), o mesmo valendo para o pLDDT do complexo (10/10) e para o ipTM (10/10; a menor margem foi a do SKTI com</w:t>
      </w:r>
      <w:r>
        <w:t xml:space="preserve"> </w:t>
      </w:r>
      <w:r>
        <w:rPr>
          <w:i/>
          <w:iCs/>
        </w:rPr>
        <w:t xml:space="preserve">S. frugiperda</w:t>
      </w:r>
      <w:r>
        <w:t xml:space="preserve">, 0,711 contra 0,706). Os valores absolutos se sobrepuseram (inibidores reais 0,853–0,986, iscas 0,628–0,944; a isca embaralhada do SFTI-1 chegou a 0,944 com a tripsina bovina), de modo que a discriminação vale dentro de um par e não como limiar absoluto (Figura 2A–C, Tabela 2). O RMSD do ligante foi menor para o inibidor real em 9 de 10 pares (a exceção foi</w:t>
      </w:r>
      <w:r>
        <w:t xml:space="preserve"> </w:t>
      </w:r>
      <w:r>
        <w:rPr>
          <w:i/>
          <w:iCs/>
        </w:rPr>
        <w:t xml:space="preserve">S. frugiperda</w:t>
      </w:r>
      <w:r>
        <w:t xml:space="preserve">–EcTI, 0,366 contra 0,347 nm; Figura 2D). Os escores do Boltz-2 são, portanto, usados adiante para comparar cada candidato com controles pareados contra o mesmo receptor, e não como medida absoluta de ligação.</w:t>
      </w:r>
    </w:p>
    <w:p>
      <w:pPr>
        <w:pStyle w:val="BodyText"/>
      </w:pPr>
      <w:r>
        <w:rPr>
          <w:b/>
          <w:bCs/>
        </w:rPr>
        <w:t xml:space="preserve">Tabela 2.</w:t>
      </w:r>
      <w:r>
        <w:t xml:space="preserve"> </w:t>
      </w:r>
      <w:r>
        <w:t xml:space="preserve">Pares de calibração (inibidor real / isca embaralhada). Conf.: confiança do Boltz-2. ipTM e pLDDT: escore de interface e pLDDT do complexo do Boltz-2. RMSD: RMSD do ligante após superposição no receptor (nm, último terço de 2 ns). Negrito marca o par em que a isca teve escore melhor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ipTM</w:t>
            </w:r>
          </w:p>
        </w:tc>
        <w:tc>
          <w:tcPr/>
          <w:p>
            <w:pPr>
              <w:pStyle w:val="Compact"/>
              <w:spacing w:line="240" w:lineRule="auto"/>
            </w:pPr>
            <w:r>
              <w:rPr>
                <w:b/>
                <w:sz w:val="18"/>
              </w:rPr>
              <w:t xml:space="preserve">pLDDT</w:t>
            </w:r>
          </w:p>
        </w:tc>
        <w:tc>
          <w:tcPr/>
          <w:p>
            <w:pPr>
              <w:pStyle w:val="Compact"/>
              <w:spacing w:line="240" w:lineRule="auto"/>
            </w:pPr>
            <w:r>
              <w:rPr>
                <w:b/>
                <w:sz w:val="18"/>
              </w:rPr>
              <w:t xml:space="preserve">RMSD (nm)</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0,981 / 0,891</w:t>
            </w:r>
          </w:p>
        </w:tc>
        <w:tc>
          <w:tcPr/>
          <w:p>
            <w:pPr>
              <w:pStyle w:val="Compact"/>
              <w:spacing w:line="240" w:lineRule="auto"/>
            </w:pPr>
            <w:r>
              <w:rPr>
                <w:sz w:val="18"/>
              </w:rPr>
              <w:t xml:space="preserve">0,987 / 0,957</w:t>
            </w:r>
          </w:p>
        </w:tc>
        <w:tc>
          <w:tcPr/>
          <w:p>
            <w:pPr>
              <w:pStyle w:val="Compact"/>
              <w:spacing w:line="240" w:lineRule="auto"/>
            </w:pPr>
            <w:r>
              <w:rPr>
                <w:sz w:val="18"/>
              </w:rPr>
              <w:t xml:space="preserve">0,084 / 0,206</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0,853 / 0,716</w:t>
            </w:r>
          </w:p>
        </w:tc>
        <w:tc>
          <w:tcPr/>
          <w:p>
            <w:pPr>
              <w:pStyle w:val="Compact"/>
              <w:spacing w:line="240" w:lineRule="auto"/>
            </w:pPr>
            <w:r>
              <w:rPr>
                <w:sz w:val="18"/>
              </w:rPr>
              <w:t xml:space="preserve">0,950 / 0,813</w:t>
            </w:r>
          </w:p>
        </w:tc>
        <w:tc>
          <w:tcPr/>
          <w:p>
            <w:pPr>
              <w:pStyle w:val="Compact"/>
              <w:spacing w:line="240" w:lineRule="auto"/>
            </w:pPr>
            <w:r>
              <w:rPr>
                <w:sz w:val="18"/>
              </w:rPr>
              <w:t xml:space="preserve">0,372 / 0,452</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0,961 / 0,653</w:t>
            </w:r>
          </w:p>
        </w:tc>
        <w:tc>
          <w:tcPr/>
          <w:p>
            <w:pPr>
              <w:pStyle w:val="Compact"/>
              <w:spacing w:line="240" w:lineRule="auto"/>
            </w:pPr>
            <w:r>
              <w:rPr>
                <w:sz w:val="18"/>
              </w:rPr>
              <w:t xml:space="preserve">0,962 / 0,832</w:t>
            </w:r>
          </w:p>
        </w:tc>
        <w:tc>
          <w:tcPr/>
          <w:p>
            <w:pPr>
              <w:pStyle w:val="Compact"/>
              <w:spacing w:line="240" w:lineRule="auto"/>
            </w:pPr>
            <w:r>
              <w:rPr>
                <w:sz w:val="18"/>
              </w:rPr>
              <w:t xml:space="preserve">0,380 / 0,643</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0,936 / 0,775</w:t>
            </w:r>
          </w:p>
        </w:tc>
        <w:tc>
          <w:tcPr/>
          <w:p>
            <w:pPr>
              <w:pStyle w:val="Compact"/>
              <w:spacing w:line="240" w:lineRule="auto"/>
            </w:pPr>
            <w:r>
              <w:rPr>
                <w:sz w:val="18"/>
              </w:rPr>
              <w:t xml:space="preserve">0,933 / 0,665</w:t>
            </w:r>
          </w:p>
        </w:tc>
        <w:tc>
          <w:tcPr/>
          <w:p>
            <w:pPr>
              <w:pStyle w:val="Compact"/>
              <w:spacing w:line="240" w:lineRule="auto"/>
            </w:pPr>
            <w:r>
              <w:rPr>
                <w:sz w:val="18"/>
              </w:rPr>
              <w:t xml:space="preserve">0,181 / 0,537</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0,963 / 0,844</w:t>
            </w:r>
          </w:p>
        </w:tc>
        <w:tc>
          <w:tcPr/>
          <w:p>
            <w:pPr>
              <w:pStyle w:val="Compact"/>
              <w:spacing w:line="240" w:lineRule="auto"/>
            </w:pPr>
            <w:r>
              <w:rPr>
                <w:sz w:val="18"/>
              </w:rPr>
              <w:t xml:space="preserve">0,951 / 0,639</w:t>
            </w:r>
          </w:p>
        </w:tc>
        <w:tc>
          <w:tcPr/>
          <w:p>
            <w:pPr>
              <w:pStyle w:val="Compact"/>
              <w:spacing w:line="240" w:lineRule="auto"/>
            </w:pPr>
            <w:r>
              <w:rPr>
                <w:sz w:val="18"/>
              </w:rPr>
              <w:t xml:space="preserve">0,275 / 0,364</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0,906 / 0,688</w:t>
            </w:r>
          </w:p>
        </w:tc>
        <w:tc>
          <w:tcPr/>
          <w:p>
            <w:pPr>
              <w:pStyle w:val="Compact"/>
              <w:spacing w:line="240" w:lineRule="auto"/>
            </w:pPr>
            <w:r>
              <w:rPr>
                <w:sz w:val="18"/>
              </w:rPr>
              <w:t xml:space="preserve">0,940 / 0,914</w:t>
            </w:r>
          </w:p>
        </w:tc>
        <w:tc>
          <w:tcPr/>
          <w:p>
            <w:pPr>
              <w:pStyle w:val="Compact"/>
              <w:spacing w:line="240" w:lineRule="auto"/>
            </w:pPr>
            <w:r>
              <w:rPr>
                <w:sz w:val="18"/>
              </w:rPr>
              <w:t xml:space="preserve">0,129 / 0,274</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0,717 / 0,318</w:t>
            </w:r>
          </w:p>
        </w:tc>
        <w:tc>
          <w:tcPr/>
          <w:p>
            <w:pPr>
              <w:pStyle w:val="Compact"/>
              <w:spacing w:line="240" w:lineRule="auto"/>
            </w:pPr>
            <w:r>
              <w:rPr>
                <w:sz w:val="18"/>
              </w:rPr>
              <w:t xml:space="preserve">0,899 / 0,732</w:t>
            </w:r>
          </w:p>
        </w:tc>
        <w:tc>
          <w:tcPr/>
          <w:p>
            <w:pPr>
              <w:pStyle w:val="Compact"/>
              <w:spacing w:line="240" w:lineRule="auto"/>
            </w:pPr>
            <w:r>
              <w:rPr>
                <w:sz w:val="18"/>
              </w:rPr>
              <w:t xml:space="preserve">0,349 / 1,167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0,918 / 0,643</w:t>
            </w:r>
          </w:p>
        </w:tc>
        <w:tc>
          <w:tcPr/>
          <w:p>
            <w:pPr>
              <w:pStyle w:val="Compact"/>
              <w:spacing w:line="240" w:lineRule="auto"/>
            </w:pPr>
            <w:r>
              <w:rPr>
                <w:sz w:val="18"/>
              </w:rPr>
              <w:t xml:space="preserve">0,867 / 0,783</w:t>
            </w:r>
          </w:p>
        </w:tc>
        <w:tc>
          <w:tcPr/>
          <w:p>
            <w:pPr>
              <w:pStyle w:val="Compact"/>
              <w:spacing w:line="240" w:lineRule="auto"/>
            </w:pPr>
            <w:r>
              <w:rPr>
                <w:sz w:val="18"/>
              </w:rPr>
              <w:t xml:space="preserve">0,317 / 0,342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sz w:val="18"/>
              </w:rPr>
              <w:t xml:space="preserve">0,866 / 0,607</w:t>
            </w:r>
          </w:p>
        </w:tc>
        <w:tc>
          <w:tcPr/>
          <w:p>
            <w:pPr>
              <w:pStyle w:val="Compact"/>
              <w:spacing w:line="240" w:lineRule="auto"/>
            </w:pPr>
            <w:r>
              <w:rPr>
                <w:sz w:val="18"/>
              </w:rPr>
              <w:t xml:space="preserve">0,868 / 0,645</w:t>
            </w:r>
          </w:p>
        </w:tc>
        <w:tc>
          <w:tcPr/>
          <w:p>
            <w:pPr>
              <w:pStyle w:val="Compact"/>
              <w:spacing w:line="240" w:lineRule="auto"/>
            </w:pPr>
            <w:r>
              <w:rPr>
                <w:b/>
                <w:bCs/>
                <w:sz w:val="18"/>
              </w:rPr>
              <w:t xml:space="preserve">0,366 / 0,347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0,711 / 0,706</w:t>
            </w:r>
          </w:p>
        </w:tc>
        <w:tc>
          <w:tcPr/>
          <w:p>
            <w:pPr>
              <w:pStyle w:val="Compact"/>
              <w:spacing w:line="240" w:lineRule="auto"/>
            </w:pPr>
            <w:r>
              <w:rPr>
                <w:sz w:val="18"/>
              </w:rPr>
              <w:t xml:space="preserve">0,889 / 0,608</w:t>
            </w:r>
          </w:p>
        </w:tc>
        <w:tc>
          <w:tcPr/>
          <w:p>
            <w:pPr>
              <w:pStyle w:val="Compact"/>
              <w:spacing w:line="240" w:lineRule="auto"/>
            </w:pPr>
            <w:r>
              <w:rPr>
                <w:sz w:val="18"/>
              </w:rPr>
              <w:t xml:space="preserve">0,200 / 0,466</w:t>
            </w:r>
          </w:p>
        </w:tc>
      </w:tr>
    </w:tbl>
    <w:p>
      <w:pPr>
        <w:pStyle w:val="CaptionedFigure"/>
      </w:pPr>
      <w:r>
        <w:drawing>
          <wp:inline>
            <wp:extent cx="5334000" cy="3556836"/>
            <wp:effectExtent b="0" l="0" r="0" t="0"/>
            <wp:docPr descr="Figura 2. Calibração da escada de escores com seis inibidores naturais e iscas embaralhadas (22 sistemas; Bt: tripsina bovina, Sf: S. frugiperda). Inibidor real (cheio) e isca embaralhada (vazado) para (A) confiança do Boltz-2, (B) ipTM do Boltz-2, (C) pLDDT do complexo e (D) RMSD do esqueleto do ligante após superposição no receptor (2 ns, último terço); o conector é vermelho quando a isca teve escore melhor, e o número de pares (de 10) em que o inibidor teve o melhor escore está em cada painel." title="" id="31" name="Picture"/>
            <a:graphic>
              <a:graphicData uri="http://schemas.openxmlformats.org/drawingml/2006/picture">
                <pic:pic>
                  <pic:nvPicPr>
                    <pic:cNvPr descr="figures/final/Figure2_calibration.png" id="32" name="Picture"/>
                    <pic:cNvPicPr>
                      <a:picLocks noChangeArrowheads="1" noChangeAspect="1"/>
                    </pic:cNvPicPr>
                  </pic:nvPicPr>
                  <pic:blipFill>
                    <a:blip r:embed="rId30"/>
                    <a:stretch>
                      <a:fillRect/>
                    </a:stretch>
                  </pic:blipFill>
                  <pic:spPr bwMode="auto">
                    <a:xfrm>
                      <a:off x="0" y="0"/>
                      <a:ext cx="5334000" cy="3556836"/>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Inibidor real (cheio) e isca embaralhada (vazado) para (A) confiança do Boltz-2, (B) ipTM do Boltz-2, (C) pLDDT do complexo e (D) RMSD do esqueleto do ligante após superposição no receptor (2 ns, último terço); o conector é vermelho quando a isca teve escore melhor, e o número de pares (de 10) em que o inibidor teve o melhor escore está em cada painel.</w:t>
      </w:r>
    </w:p>
    <w:bookmarkEnd w:id="33"/>
    <w:bookmarkStart w:id="37" w:name="X9c5422e4f8dccbb1f829705fe840920aa5ed315"/>
    <w:p>
      <w:pPr>
        <w:pStyle w:val="Heading3"/>
      </w:pPr>
      <w:r>
        <w:t xml:space="preserve">3.3 Geração e o critério duro de não clivabilidade</w:t>
      </w:r>
    </w:p>
    <w:p>
      <w:pPr>
        <w:pStyle w:val="FirstParagraph"/>
      </w:pPr>
      <w:r>
        <w:t xml:space="preserve">A geração produziu 880 esqueletos (110 por espécie) com o comprimento pedido e distância de fechamento N–C de 0,76–1,40 Å (sem relaxamento em nível atômico), e o ProteinMPNN rendeu 22.066 sequências únicas (2.692–2.839 por espécie; Tabela 3). A triagem por escore de motivos manteve 1.829 (8,3%) como RESISTENTE, 4.987 (22,6%) como MARGINAL e 15.250 (69,1%) como SUSCEPTIVEL; ela removeu sobretudo sequências longas (comprimento médio de 7,05 resíduos e 95,6% com 10 resíduos ou menos no conjunto RESISTENTE, contra 15,74 e 12,7% no SUSCEPTIVEL), e só 4,3% das sequências RESISTENTE continham lisina ou arginina (Figura S2). As 1.829 sequências RESISTENTE foram co-dobradas com o Boltz-2 em uma primeira rodada (confiança média 0,862, faixa 0,695–0,953; Figura S8), valores que se sobrepõem aos dos inibidores naturais e das iscas da calibração.</w:t>
      </w:r>
    </w:p>
    <w:p>
      <w:pPr>
        <w:pStyle w:val="BodyText"/>
      </w:pPr>
      <w:r>
        <w:rPr>
          <w:b/>
          <w:bCs/>
        </w:rPr>
        <w:t xml:space="preserve">Tabela 3.</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r>
    </w:tbl>
    <w:p>
      <w:pPr>
        <w:pStyle w:val="BodyText"/>
      </w:pPr>
      <w:r>
        <w:t xml:space="preserve">O critério duro (Figura S1) deixou 527 sequências (2,4%) para o peptídeo linear e 543 (2,5%) para o macrociclo, 41–86 e 41–87 por espécie (Figura 3). As 527 lineares estão no conjunto cíclico; das 16 só cíclicas, 14 terminam em um resíduo proibido seguido, pelo fechamento, de uma prolina que também é o primeiro resíduo, e duas terminam em isoleucina. O conjunto duro e o conjunto do escore de motivos não se aninham (396 dos 543 candidatos cíclicos, 73%, também eram RESISTENTE). O conjunto duro é curto e rico em glicina (Figura S3): comprimento médio de 7,7 resíduos, 430 das 527 sequências lineares (81,6%) com 8 resíduos ou menos, e glicina em 49,4% dos 4.060 resíduos, seguida de serina (11,7%), prolina (9,8%), treonina (9,0%) e aspartato (5,8%). Lisina ou arginina somaram nove resíduos (0,22%), cada um seguido de prolina (seis Arg–Pro, três Lys–Pro). Proibir também a isoleucina no interior deixa 393 sequências lineares.</w:t>
      </w:r>
    </w:p>
    <w:p>
      <w:pPr>
        <w:pStyle w:val="CaptionedFigure"/>
      </w:pPr>
      <w:r>
        <w:drawing>
          <wp:inline>
            <wp:extent cx="5334000" cy="1982992"/>
            <wp:effectExtent b="0" l="0" r="0" t="0"/>
            <wp:docPr descr="Figura 3. 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 title="" id="35" name="Picture"/>
            <a:graphic>
              <a:graphicData uri="http://schemas.openxmlformats.org/drawingml/2006/picture">
                <pic:pic>
                  <pic:nvPicPr>
                    <pic:cNvPr descr="figures/pt/fig5_funil.png" id="36" name="Picture"/>
                    <pic:cNvPicPr>
                      <a:picLocks noChangeArrowheads="1" noChangeAspect="1"/>
                    </pic:cNvPicPr>
                  </pic:nvPicPr>
                  <pic:blipFill>
                    <a:blip r:embed="rId34"/>
                    <a:stretch>
                      <a:fillRect/>
                    </a:stretch>
                  </pic:blipFill>
                  <pic:spPr bwMode="auto">
                    <a:xfrm>
                      <a:off x="0" y="0"/>
                      <a:ext cx="5334000" cy="1982992"/>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w:t>
      </w:r>
    </w:p>
    <w:bookmarkEnd w:id="37"/>
    <w:bookmarkStart w:id="41" w:name="X180ba561e52d95f4625825c47eb965db4ba60f2"/>
    <w:p>
      <w:pPr>
        <w:pStyle w:val="Heading3"/>
      </w:pPr>
      <w:r>
        <w:t xml:space="preserve">3.4 Co-dobramento com o Boltz-2: reprodutibilidade, controles pareados e qualidade da pose</w:t>
      </w:r>
    </w:p>
    <w:p>
      <w:pPr>
        <w:pStyle w:val="FirstParagraph"/>
      </w:pPr>
      <w:r>
        <w:t xml:space="preserve">Os 527 candidatos lineares e 543 cíclicos foram todos preditos (E1; confiança média de 0,874 e 0,862). Prever 442 candidatos cíclicos uma segunda vez com entrada idêntica deu correlação de postos de apenas 0,57 entre execuções (diferença absoluta média 0,028; 0,21–0,69 por espécie), e as predições linear e cíclica da mesma sequência (n = 527) se correlacionaram em 0,50 (Figura 4). A concordância entre as duas modalidades é, portanto, próxima da concordância entre duas execuções da mesma modalidade, e uma única predição não separa um efeito da modalidade do ruído de amostragem. No E2, os dez melhores candidatos por espécie e frente foram re-preditos (15 predições cada): a confiança média caiu de 0,922 para 0,900 (linear) e de 0,911 para 0,888 (cíclico), a regressão esperada para um conjunto de topo; o desvio-padrão entre as 15 predições de um candidato foi em média de 0,019 e 0,022, da ordem da dispersão entre os dez candidatos de uma espécie, de modo que a ordem dentro de um top dez não é resolvida (Figura S4). Todo candidato teve ao menos uma amostra que passou no controle de qualidade de pose, e os 48 candidatos selecionados passaram, com a tríade catalítica íntegra (distância His57–Ser195 de 2,4–3,4 Å) e nenhum par de átomos pesados peptídeo–receptor a menos de 2,4 Å (Figura S5). A distância mínima ao carboxilato do Asp189 na estrutura inicial foi de 5 Å ou menos em 9 das 24 estruturas lineares e 18 das 24 cíclicas. Só três dos 48 contêm lisina ou arginina (o linear NGGRPDAP; os cíclicos PISQIDSGSR e GGKPGEP).</w:t>
      </w:r>
    </w:p>
    <w:p>
      <w:pPr>
        <w:pStyle w:val="BodyText"/>
      </w:pPr>
      <w:r>
        <w:t xml:space="preserve">A diferença pareada Δ frente a três controles embaralhados (E3) foi positiva em 63 dos 78 candidatos lineares (81%; mediana 0,013, intervalo interquartil 0,003–0,030) e em 60 dos 79 cíclicos (76%; mediana 0,014; os outros dois lineares e um cíclico dos 80 por frente são poli-glicina e não podem ser embaralhados); entre os 48 candidatos finais foi positiva em 23 de 24 lineares e 22 de 24 cíclicos. As diferenças são da ordem do desvio-padrão entre as 15 predições de um candidato (0,02), cada Δ se apoia em três controles, e os controles embaralhados de sequências ricas em glicina se parecem com o candidato (identidade média de 0,35 linear, 0,29 cíclico); um Δ positivo significa, portanto, que o candidato não pontuou abaixo de seus controles, e não que se liga; que sequências de poli-glicina, sem controle embaralhado, estejam entre as dez melhores pela confiança da primeira predição (E1) nas duas frentes aponta no mesmo sentido, pois um escore que premia um homopolímero não está medindo reconhecimento específico. A matriz cruzada (melhor candidato de cada espécie contra seu receptor e os outros sete) não mostrou preferência espécie-específica: o receptor próprio deu a maior confiança em 4 de 8 (linear) e 3 de 8 (cíclico) espécies, e o receptor explicou mais variação que o peptídeo (o modelo de</w:t>
      </w:r>
      <w:r>
        <w:t xml:space="preserve"> </w:t>
      </w:r>
      <w:r>
        <w:rPr>
          <w:i/>
          <w:iCs/>
        </w:rPr>
        <w:t xml:space="preserve">S. litura</w:t>
      </w:r>
      <w:r>
        <w:t xml:space="preserve"> </w:t>
      </w:r>
      <w:r>
        <w:t xml:space="preserve">deu a menor confiança média nas duas frentes). Como a confiança do Boltz-2 não é afinidade (Seção 3.2), isso não demonstra nem refuta seletividade.</w:t>
      </w:r>
    </w:p>
    <w:p>
      <w:pPr>
        <w:pStyle w:val="CaptionedFigure"/>
      </w:pPr>
      <w:r>
        <w:drawing>
          <wp:inline>
            <wp:extent cx="5334000" cy="2414733"/>
            <wp:effectExtent b="0" l="0" r="0" t="0"/>
            <wp:docPr descr="Figura 4. 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 title="" id="39" name="Picture"/>
            <a:graphic>
              <a:graphicData uri="http://schemas.openxmlformats.org/drawingml/2006/picture">
                <pic:pic>
                  <pic:nvPicPr>
                    <pic:cNvPr descr="figures/pt/fig8_reprodutibilidade.png" id="40" name="Picture"/>
                    <pic:cNvPicPr>
                      <a:picLocks noChangeArrowheads="1" noChangeAspect="1"/>
                    </pic:cNvPicPr>
                  </pic:nvPicPr>
                  <pic:blipFill>
                    <a:blip r:embed="rId38"/>
                    <a:stretch>
                      <a:fillRect/>
                    </a:stretch>
                  </pic:blipFill>
                  <pic:spPr bwMode="auto">
                    <a:xfrm>
                      <a:off x="0" y="0"/>
                      <a:ext cx="5334000" cy="2414733"/>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w:t>
      </w:r>
    </w:p>
    <w:bookmarkEnd w:id="41"/>
    <w:bookmarkStart w:id="45" w:name="simulações-de-10-ns-em-ph-100"/>
    <w:p>
      <w:pPr>
        <w:pStyle w:val="Heading3"/>
      </w:pPr>
      <w:r>
        <w:t xml:space="preserve">3.5 Simulações de 10 ns em pH 10,0</w:t>
      </w:r>
    </w:p>
    <w:p>
      <w:pPr>
        <w:pStyle w:val="FirstParagraph"/>
      </w:pPr>
      <w:r>
        <w:t xml:space="preserve">As 48 simulações (uma execução cada) terminaram e foram analisadas com o procedimento da Seção 2.7 (Figura 5). A distância mediana âncora–Asp189 subiu de 5,72 Å na janela inicial para 6,77 Å na janela final nos candidatos lineares, e de 5,07 para 6,11 Å nos cíclicos. Na janela final a âncora estava a até 4 Å do Asp189 em 2 de 24 simulações lineares e 2 de 24 cíclicas, e a mais de 10 Å em 6 e 4. A ocupância na segunda metade a 5 Å chegou a pelo menos 0,70 em 5 das 48: NGGRPDAP (âncora Arg, 1,00) e GQNDS (Gln, 1,00) na frente linear, e GGKPGEP (Lys, 1,00), GGHSE (His, 0,99) e GGGGH (His, 0,82) na frente cíclica. A âncora foi a mesma nas duas metades em 21 de 24 simulações lineares e 24 de 24 cíclicas. O peptídeo manteve algum contato com o receptor a até 4,5 Å em pelo menos 0,82 (linear) e 0,97 (cíclico) dos quadros, de modo que sair de S1 não significou dissociação; o contato com a serina e a histidina catalíticas esteve presente com a âncora longe de S1 e não discrimina. O RMSD final do peptídeo teve mediana de 0,56 nm (0,21–2,64) na frente linear e de 0,30 nm (0,16–1,69) na cíclica. Nas 24 simulações cíclicas o anel permaneceu fechado (C–N no máximo 1,462 Å); 11 cumpriram o critério estrito e os outros 13 ficaram abaixo do limite de ω (mínimo de 137,2–149,9°) em pelo menos um quadro, em 12 deles em menos de 2,2% dos quadros (Figura S6).</w:t>
      </w:r>
    </w:p>
    <w:p>
      <w:pPr>
        <w:pStyle w:val="BodyText"/>
      </w:pPr>
      <w:r>
        <w:rPr>
          <w:i/>
          <w:iCs/>
        </w:rPr>
        <w:t xml:space="preserve">A pose inicial decide o resultado.</w:t>
      </w:r>
      <w:r>
        <w:t xml:space="preserve"> </w:t>
      </w:r>
      <w:r>
        <w:t xml:space="preserve">Uma ocupância de pelo menos 0,70 na segunda metade ocorreu em 5 das 9 simulações cujo peptídeo partiu a até 4,0 Å do carboxilato do Asp189 e em nenhuma das 39 que partiram mais longe (teste exato de Fisher,</w:t>
      </w:r>
      <w:r>
        <w:t xml:space="preserve"> </w:t>
      </w:r>
      <w:r>
        <w:rPr>
          <w:i/>
          <w:iCs/>
        </w:rPr>
        <w:t xml:space="preserve">P</w:t>
      </w:r>
      <w:r>
        <w:t xml:space="preserve"> </w:t>
      </w:r>
      <w:r>
        <w:t xml:space="preserve">= 7 × 10^−5; descritivo, porque cada candidato foi executado uma vez e a âncora é definida</w:t>
      </w:r>
      <w:r>
        <w:t xml:space="preserve"> </w:t>
      </w:r>
      <w:r>
        <w:rPr>
          <w:i/>
          <w:iCs/>
        </w:rPr>
        <w:t xml:space="preserve">post hoc</w:t>
      </w:r>
      <w:r>
        <w:t xml:space="preserve">). As distâncias inicial e final se correlacionaram (ρ de Spearman = 0,63) e a distância inicial se relacionou inversamente com a ocupância (ρ = −0,63); a identidade da âncora não separou as cinco (Arg, Gln, Lys e duas His; três delas sem resíduo básico). A triagem de 10 ns re-relata, portanto, a pose proposta pelo Boltz-2: mede se uma pose já em S1 sobrevive, e um peptídeo colocado a 5 Å não recebe tempo para achar o bolso. Por isso a ocupância passou de critério a descrição (Seção 2.7).</w:t>
      </w:r>
    </w:p>
    <w:p>
      <w:pPr>
        <w:pStyle w:val="BodyText"/>
      </w:pPr>
      <w:r>
        <w:rPr>
          <w:i/>
          <w:iCs/>
        </w:rPr>
        <w:t xml:space="preserve">Escala de referência.</w:t>
      </w:r>
      <w:r>
        <w:t xml:space="preserve"> </w:t>
      </w:r>
      <w:r>
        <w:t xml:space="preserve">A análise idêntica dos complexos de calibração (receptor de</w:t>
      </w:r>
      <w:r>
        <w:t xml:space="preserve"> </w:t>
      </w:r>
      <w:r>
        <w:rPr>
          <w:i/>
          <w:iCs/>
        </w:rPr>
        <w:t xml:space="preserve">S. frugiperda</w:t>
      </w:r>
      <w:r>
        <w:t xml:space="preserve">; 2 ns; outro campo de força e pH) deu ocupância de 1,00 na segunda metade para as cinco iscas embaralhadas e para quatro dos seis inibidores; nos onze sistemas a âncora era uma lisina ou uma arginina, que chegam a S1 sempre que são colocadas ali (Brandsdal et al., 2006; Helland et al., 1999). A ocupância mede, portanto, a colocação, e não a discriminação entre ligante e isca. Também foram simulados, no mesmo protocolo, controles embaralhados dos candidatos (sete) e variantes com a âncora trocada por Asp ou Leu (oito); eles não são usados, porque a distância inicial ao Asp189 explicou o desfecho (os controles que partiram a até 2,74 Å chegaram todos a 1,00; as variantes partiram de 1,0 a 4,8 Å mais longe que seus originais), de modo que não separam sequência de pose. Pela regra fixada antes das rodadas, um controle que não separa é retirado das análises e das camadas; as análises estão no repositório.</w:t>
      </w:r>
    </w:p>
    <w:p>
      <w:pPr>
        <w:pStyle w:val="CaptionedFigure"/>
      </w:pPr>
      <w:r>
        <w:drawing>
          <wp:inline>
            <wp:extent cx="5334000" cy="5484607"/>
            <wp:effectExtent b="0" l="0" r="0" t="0"/>
            <wp:docPr descr="Figura 5. Simulações de triagem de 10 ns em pH 10,0 (CHARMM36, 300 K, uma execução cada; as 48 terminaram). (A) Distância do resíduo âncora ao carboxilato do Asp189 e (B) RMSD local do peptídeo (Cα, alinhado ao receptor) para os três candidatos de A. gemmatalis 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 title="" id="43" name="Picture"/>
            <a:graphic>
              <a:graphicData uri="http://schemas.openxmlformats.org/drawingml/2006/picture">
                <pic:pic>
                  <pic:nvPicPr>
                    <pic:cNvPr descr="figures/pt/fig11_md_triagem_10ns.png" id="44" name="Picture"/>
                    <pic:cNvPicPr>
                      <a:picLocks noChangeArrowheads="1" noChangeAspect="1"/>
                    </pic:cNvPicPr>
                  </pic:nvPicPr>
                  <pic:blipFill>
                    <a:blip r:embed="rId42"/>
                    <a:stretch>
                      <a:fillRect/>
                    </a:stretch>
                  </pic:blipFill>
                  <pic:spPr bwMode="auto">
                    <a:xfrm>
                      <a:off x="0" y="0"/>
                      <a:ext cx="5334000" cy="5484607"/>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Simulações de triagem de 10 ns em pH 10,0 (CHARMM36, 300 K, uma execução cada; as 48 terminaram). (A) Distância do resíduo âncora ao carboxilato do Asp189 e (B) RMSD local do peptídeo (Cα, alinhado ao receptor) para os três candidatos de</w:t>
      </w:r>
      <w:r>
        <w:t xml:space="preserve"> </w:t>
      </w:r>
      <w:r>
        <w:rPr>
          <w:i/>
          <w:iCs/>
        </w:rPr>
        <w:t xml:space="preserve">A. gemmatalis</w:t>
      </w:r>
      <w:r>
        <w:t xml:space="preserve"> </w:t>
      </w:r>
      <w:r>
        <w:t xml:space="preserve">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w:t>
      </w:r>
    </w:p>
    <w:bookmarkEnd w:id="45"/>
    <w:bookmarkStart w:id="49" w:name="X89b5986abfa277ea9fc3aefc5e2c8fcf2c9ba8a"/>
    <w:p>
      <w:pPr>
        <w:pStyle w:val="Heading3"/>
      </w:pPr>
      <w:r>
        <w:t xml:space="preserve">3.6 Filtro de energia e classificação por etapa</w:t>
      </w:r>
    </w:p>
    <w:p>
      <w:pPr>
        <w:pStyle w:val="FirstParagraph"/>
      </w:pPr>
      <w:r>
        <w:t xml:space="preserve">O PRODIGY nas poses iniciais dos 48 candidatos (protonadas em pH 8,2) deu ΔG entre −12,2 e −7,1 kcal mol</w:t>
      </w:r>
      <w:r>
        <w:rPr>
          <w:vertAlign w:val="superscript"/>
        </w:rPr>
        <w:t xml:space="preserve">−1</w:t>
      </w:r>
      <w:r>
        <w:t xml:space="preserve"> </w:t>
      </w:r>
      <w:r>
        <w:t xml:space="preserve">(mediana −9,6) e acompanhou o tamanho do peptídeo (ρ de Spearman com o número de resíduos −0,60; com o número de contatos −0,62; Figura 6A). Os menores valores são dos macrociclos mais longos (QSPDFPNPPNNH −12,2 e QAPDFPTGPNQS −12,1, ambos de</w:t>
      </w:r>
      <w:r>
        <w:t xml:space="preserve"> </w:t>
      </w:r>
      <w:r>
        <w:rPr>
          <w:i/>
          <w:iCs/>
        </w:rPr>
        <w:t xml:space="preserve">S. litura</w:t>
      </w:r>
      <w:r>
        <w:t xml:space="preserve">), e o NGGRPDAP tem o menor valor da frente linear (−11,1); GQNDS, GGHSE e GGKPGEP têm −9,0, −8,8 e −9,7 (por resíduo: −1,80, −1,76 e −1,39 contra −1,39 do NGGRPDAP). Dada a calibração (Seção 3.2), esses valores ordenam candidatos de tamanho parecido e não são afinidades.</w:t>
      </w:r>
    </w:p>
    <w:p>
      <w:pPr>
        <w:pStyle w:val="BodyText"/>
      </w:pPr>
      <w:r>
        <w:t xml:space="preserve">A classificação por etapa entre os 33 candidatos que passaram nos portões (23 lineares, 10 cíclicos) com as seis etapas (confiança do Boltz-2 no E2, Δ, RMSD final do peptídeo, PRODIGY na pose, PRODIGY nos quadros da trajetória e MM-GBSA, as três últimas da simulação de pH 8,2) colocou NGGRPDAP (posto médio 6,7), GSNIN (7,0), PTTTQT (7,4), SGPIG (7,8) e TDETG (8,2) à frente na frente linear, e SGSTDIE (3,2), GQNDS (4,1), IYPETG (4,5), GGHSE (4,9) e GGSTDID (5,2) à frente na frente cíclica (Figura 6B). Os postos de um mesmo candidato variam muito entre as etapas (por exemplo, o NGGRPDAP está empatado em 2º pelo E2 e em 13º pelo Δ), de modo que a classificação agregada é uma triagem grosseira e não uma medida.</w:t>
      </w:r>
    </w:p>
    <w:p>
      <w:pPr>
        <w:pStyle w:val="BodyText"/>
      </w:pPr>
      <w:r>
        <w:t xml:space="preserve">O MM-GBSA e o PRODIGY também foram calculados na segunda metade das 48 simulações de pH 10,0 (Figura S10). O ΔG do MM-GBSA teve mediana de −24,8 kcal mol</w:t>
      </w:r>
      <w:r>
        <w:rPr>
          <w:vertAlign w:val="superscript"/>
        </w:rPr>
        <w:t xml:space="preserve">−1</w:t>
      </w:r>
      <w:r>
        <w:t xml:space="preserve"> </w:t>
      </w:r>
      <w:r>
        <w:t xml:space="preserve">(−65,0 a −4,1; erro padrão entre blocos de quadros, mediana 0,9), correlacionou-se fracamente com o comprimento do peptídeo (ρ = −0,29,</w:t>
      </w:r>
      <w:r>
        <w:t xml:space="preserve"> </w:t>
      </w:r>
      <w:r>
        <w:rPr>
          <w:i/>
          <w:iCs/>
        </w:rPr>
        <w:t xml:space="preserve">P</w:t>
      </w:r>
      <w:r>
        <w:t xml:space="preserve"> </w:t>
      </w:r>
      <w:r>
        <w:t xml:space="preserve">= 0,05) e com a distância final âncora–Asp189 (ρ = 0,37,</w:t>
      </w:r>
      <w:r>
        <w:t xml:space="preserve"> </w:t>
      </w:r>
      <w:r>
        <w:rPr>
          <w:i/>
          <w:iCs/>
        </w:rPr>
        <w:t xml:space="preserve">P</w:t>
      </w:r>
      <w:r>
        <w:t xml:space="preserve"> </w:t>
      </w:r>
      <w:r>
        <w:t xml:space="preserve">= 0,01), e foi mais favorável para os três peptídeos com lisina ou arginina (mediana −45,3 contra −23,2 dos outros 45; Mann–Whitney</w:t>
      </w:r>
      <w:r>
        <w:t xml:space="preserve"> </w:t>
      </w:r>
      <w:r>
        <w:rPr>
          <w:i/>
          <w:iCs/>
        </w:rPr>
        <w:t xml:space="preserve">P</w:t>
      </w:r>
      <w:r>
        <w:t xml:space="preserve"> </w:t>
      </w:r>
      <w:r>
        <w:t xml:space="preserve">= 0,014), como esperado de um escore que inclui a atração eletrostática pelo carboxilato do Asp189. Os valores mais favoráveis foram os do PISQIDSGSR (−65,0), QAPDFPTGPNNS (−56,5), QSPDFPNGPGQS (−54,5), GENGGPG (−47,3) e NGGRPDAP (−45,3). O PRODIGY em 30 quadros da mesma metade deu mediana de −8,2 kcal mol</w:t>
      </w:r>
      <w:r>
        <w:rPr>
          <w:vertAlign w:val="superscript"/>
        </w:rPr>
        <w:t xml:space="preserve">−1</w:t>
      </w:r>
      <w:r>
        <w:t xml:space="preserve"> </w:t>
      </w:r>
      <w:r>
        <w:t xml:space="preserve">(−11,4 a −6,5; ρ com o comprimento −0,37, com o MM-GBSA 0,61). Dada a calibração (Seção 3.2), esses valores ordenam candidatos e não são afinidades.</w:t>
      </w:r>
    </w:p>
    <w:p>
      <w:pPr>
        <w:pStyle w:val="BodyText"/>
      </w:pPr>
      <w:r>
        <w:t xml:space="preserve">O MM-GBSA e o PRODIGY foram calculados do mesmo modo na segunda metade das 48 simulações de pH 8,2 (</w:t>
      </w:r>
      <w:r>
        <w:rPr>
          <w:rStyle w:val="VerbatimChar"/>
        </w:rPr>
        <w:t xml:space="preserve">outputs/ranking_energy_final_all.*</w:t>
      </w:r>
      <w:r>
        <w:t xml:space="preserve">). O ΔG do MM-GBSA teve mediana de −26,7 kcal mol</w:t>
      </w:r>
      <w:r>
        <w:rPr>
          <w:vertAlign w:val="superscript"/>
        </w:rPr>
        <w:t xml:space="preserve">−1</w:t>
      </w:r>
      <w:r>
        <w:t xml:space="preserve"> </w:t>
      </w:r>
      <w:r>
        <w:t xml:space="preserve">(−53,3 a −2,0; erro padrão entre blocos de quadros, mediana 0,9) e o PRODIGY em 30 quadros, mediana de −8,4 kcal mol</w:t>
      </w:r>
      <w:r>
        <w:rPr>
          <w:vertAlign w:val="superscript"/>
        </w:rPr>
        <w:t xml:space="preserve">−1</w:t>
      </w:r>
      <w:r>
        <w:t xml:space="preserve"> </w:t>
      </w:r>
      <w:r>
        <w:t xml:space="preserve">(−11,9 a −6,7). Os valores mais favoráveis do MM-GBSA foram os do NGGRPDAP (−53,3), QAPDFPTGPNNS (−51,4), GSNIN (−48,2), PISQIDSGSR (−42,5) e GTPESNES (−42,2). A comparação com o pH 10,0 está na Seção 3.7.</w:t>
      </w:r>
    </w:p>
    <w:p>
      <w:pPr>
        <w:pStyle w:val="CaptionedFigure"/>
      </w:pPr>
      <w:r>
        <w:drawing>
          <wp:inline>
            <wp:extent cx="5334000" cy="4445418"/>
            <wp:effectExtent b="0" l="0" r="0" t="0"/>
            <wp:docPr descr="Figura 6. Filtro de energia e classificação por etapa. (A) ΔG do PRODIGY da pose inicial dos 48 candidatos contra o comprimento do peptídeo (ρ: Spearman). (B) Posto de cada candidato dentro de sua frente em cada etapa e o agregado (posto médio) para os dez melhores candidatos de cada frente entre os que passaram nos portões; etapas mostradas: confiança do Boltz-2 no E2, Δ pareado (E3), RMSD final do peptídeo, PRODIGY na pose, PRODIGY nos quadros da trajetória e MM-GBSA (as três últimas da simulação de pH 8,2). O número impresso na célula é o posto bruto (1 = melhor); a cor é esse posto em relação ao número de candidatos classificados na mesma frente (23 lineares, 10 macrocíclicos), porque um mesmo posto não significa o mesmo em conjuntos de tamanhos diferentes." title="" id="47" name="Picture"/>
            <a:graphic>
              <a:graphicData uri="http://schemas.openxmlformats.org/drawingml/2006/picture">
                <pic:pic>
                  <pic:nvPicPr>
                    <pic:cNvPr descr="figures/final/Figure6_energy_ranking.png" id="48" name="Picture"/>
                    <pic:cNvPicPr>
                      <a:picLocks noChangeArrowheads="1" noChangeAspect="1"/>
                    </pic:cNvPicPr>
                  </pic:nvPicPr>
                  <pic:blipFill>
                    <a:blip r:embed="rId46"/>
                    <a:stretch>
                      <a:fillRect/>
                    </a:stretch>
                  </pic:blipFill>
                  <pic:spPr bwMode="auto">
                    <a:xfrm>
                      <a:off x="0" y="0"/>
                      <a:ext cx="5334000" cy="4445418"/>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Filtro de energia e classificação por etapa. (A) ΔG do PRODIGY da pose inicial dos 48 candidatos contra o comprimento do peptídeo (ρ: Spearman). (B) Posto de cada candidato dentro de sua frente em cada etapa e o agregado (posto médio) para os dez melhores candidatos de cada frente entre os que passaram nos portões; etapas mostradas: confiança do Boltz-2 no E2, Δ pareado (E3), RMSD final do peptídeo, PRODIGY na pose, PRODIGY nos quadros da trajetória e MM-GBSA (as três últimas da simulação de pH 8,2). O número impresso na célula é o posto bruto (1 = melhor); a cor é esse posto em relação ao número de candidatos classificados na mesma frente (23 lineares, 10 macrocíclicos), porque um mesmo posto não significa o mesmo em conjuntos de tamanhos diferentes.</w:t>
      </w:r>
    </w:p>
    <w:bookmarkEnd w:id="49"/>
    <w:bookmarkStart w:id="53" w:name="ph-82-versus-ph-100"/>
    <w:p>
      <w:pPr>
        <w:pStyle w:val="Heading3"/>
      </w:pPr>
      <w:r>
        <w:t xml:space="preserve">3.7 pH 8,2 versus pH 10,0</w:t>
      </w:r>
    </w:p>
    <w:p>
      <w:pPr>
        <w:pStyle w:val="FirstParagraph"/>
      </w:pPr>
      <w:r>
        <w:t xml:space="preserve">Os dois pH foram simulados porque o intestino médio das lagartas de lepidópteros não tem um pH único: o lúmen é fortemente alcalino (Dow, 1992), com extratos de intestino de</w:t>
      </w:r>
      <w:r>
        <w:t xml:space="preserve"> </w:t>
      </w:r>
      <w:r>
        <w:rPr>
          <w:i/>
          <w:iCs/>
        </w:rPr>
        <w:t xml:space="preserve">H. virescens</w:t>
      </w:r>
      <w:r>
        <w:t xml:space="preserve"> </w:t>
      </w:r>
      <w:r>
        <w:t xml:space="preserve">em pH 9,56–10,0 (Karumbaiah et al., 2007), mas o valor difere entre espécies, e o pH 8,2 é também o dos ensaios enzimáticos contra os quais um Ki seria medido (Schultz et al., 2026). Um candidato que mantivesse sua posição em S1 nos dois pH seria eficaz ao longo da faixa encontrada nas espécies-alvo e, portanto, mais viável como agente de controle do que um que se ligasse em apenas um deles; este é o critério aplicado nesta seção, e a comparação pergunta se o resultado em um pH se reproduz no outro, não qual pH é melhor.</w:t>
      </w:r>
    </w:p>
    <w:p>
      <w:pPr>
        <w:pStyle w:val="BodyText"/>
      </w:pPr>
      <w:r>
        <w:t xml:space="preserve">As 48 simulações de pH 8,2 (24 lineares, 24 macrocíclicas) terminaram e estão pareadas na Figura 7 com os mesmos candidatos em pH 10,0 (mesma pose inicial; mudam apenas o estado de protonação atribuído pelo PROPKA, que diferiu em mediana de um resíduo por sistema, e o número de contraíons). A distância final âncora–Asp189 teve mediana de 6,40 Å em pH 8,2 contra 6,62 Å em pH 10,0 (Wilcoxon</w:t>
      </w:r>
      <w:r>
        <w:t xml:space="preserve"> </w:t>
      </w:r>
      <w:r>
        <w:rPr>
          <w:i/>
          <w:iCs/>
        </w:rPr>
        <w:t xml:space="preserve">P</w:t>
      </w:r>
      <w:r>
        <w:t xml:space="preserve"> </w:t>
      </w:r>
      <w:r>
        <w:t xml:space="preserve">= 0,16), a ocupância na segunda metade 0,01 contra 0,00 (</w:t>
      </w:r>
      <w:r>
        <w:rPr>
          <w:i/>
          <w:iCs/>
        </w:rPr>
        <w:t xml:space="preserve">P</w:t>
      </w:r>
      <w:r>
        <w:t xml:space="preserve"> </w:t>
      </w:r>
      <w:r>
        <w:t xml:space="preserve">= 0,88) e o RMSD final do peptídeo 0,43 contra 0,40 nm (</w:t>
      </w:r>
      <w:r>
        <w:rPr>
          <w:i/>
          <w:iCs/>
        </w:rPr>
        <w:t xml:space="preserve">P</w:t>
      </w:r>
      <w:r>
        <w:t xml:space="preserve"> </w:t>
      </w:r>
      <w:r>
        <w:t xml:space="preserve">= 0,63). A âncora esteve a menos de 4 Å do Asp189 na janela final em 4 simulações em cada pH, e a mais de 10 Å em 5 em pH 8,2 e 10 em pH 10,0. Uma ocupância de pelo menos 0,70 ocorreu em seis simulações de pH 8,2 (NGGRPDAP, GGKPGEP, os macrociclos PISQIDSGSR, GGHGGG e GGSDHT, e GENGGPG) e em cinco de pH 10,0 (NGGRPDAP, GGKPGEP, GQNDS linear, GGHSE e GGGGH); só NGGRPDAP e GGKPGEP a atingiram nos dois, quatro a atingiram apenas em pH 8,2 e três apenas em pH 10,0, e 39 dos 48 pares em nenhum. A ocupância diferiu em mais de 0,5 entre os pH em nove pares, nos dois sentidos. O desfecho em um pH previu o do outro de modo moderado para a distância final (ρ de Spearman = 0,51,</w:t>
      </w:r>
      <w:r>
        <w:t xml:space="preserve"> </w:t>
      </w:r>
      <w:r>
        <w:rPr>
          <w:i/>
          <w:iCs/>
        </w:rPr>
        <w:t xml:space="preserve">P</w:t>
      </w:r>
      <w:r>
        <w:t xml:space="preserve"> </w:t>
      </w:r>
      <w:r>
        <w:t xml:space="preserve">&lt; 0,001) e para a ocupância (ρ = 0,44,</w:t>
      </w:r>
      <w:r>
        <w:t xml:space="preserve"> </w:t>
      </w:r>
      <w:r>
        <w:rPr>
          <w:i/>
          <w:iCs/>
        </w:rPr>
        <w:t xml:space="preserve">P</w:t>
      </w:r>
      <w:r>
        <w:t xml:space="preserve"> </w:t>
      </w:r>
      <w:r>
        <w:t xml:space="preserve">= 0,002). O GQNDS linear ocupou S1 só na primeira metade em pH 8,2 (0,97 e depois 0,04), o GGHSE saiu (distância final 8,61 Å, ocupância 0,00; |ω| mínimo 149,5° contra 153,7° em pH 10,0) e o GGGGH também (0,07 contra 0,82; partiu de 4,11 Å contra 2,93 Å), ao passo que GGHGGG (0,91 contra 0,00), GGSDHT (1,00 contra 0,00), GENGGPG (0,85 contra 0,41) e PISQIDSGSR ficaram mais perto de S1 em pH 8,2. O PISQIDSGSR, macrociclo com âncora Arg, manteve a Arg em S1 em pH 8,2 (ocupância 1,00, distância final 2,80 Å, partiu de 3,21 Å) e a perdeu em pH 10,0 (0,33; 5,21 Å; partiu de 3,97 Å). NGGRPDAP e GGKPGEP, os dois peptídeos cuja âncora é um resíduo básico seguido de prolina (Arg e Lys), mantiveram S1 nos dois pH: ocupância 0,98 e 1,00 e distância final 2,84 e 2,74 Å para o NGGRPDAP; ocupância 1,00 nos dois pH e 2,71 Å para o GGKPGEP, cujo anel atendeu ao critério estrito em pH 8,2 (|ω| mínimo 156,7° contra 144,5° em pH 10,0).</w:t>
      </w:r>
      <w:r>
        <w:t xml:space="preserve"> </w:t>
      </w:r>
      <w:r>
        <w:rPr>
          <w:i/>
          <w:iCs/>
        </w:rPr>
        <w:t xml:space="preserve">A pose inicial decidiu aqui também:</w:t>
      </w:r>
      <w:r>
        <w:t xml:space="preserve"> </w:t>
      </w:r>
      <w:r>
        <w:t xml:space="preserve">cinco das nove simulações de pH 8,2 cujo peptídeo partiu a até 4,0 Å do Asp189 atingiram ocupância de pelo menos 0,70, e uma das 39 que partiram mais longe (GENGGPG, 4,57 Å; teste exato de Fisher,</w:t>
      </w:r>
      <w:r>
        <w:t xml:space="preserve"> </w:t>
      </w:r>
      <w:r>
        <w:rPr>
          <w:i/>
          <w:iCs/>
        </w:rPr>
        <w:t xml:space="preserve">P</w:t>
      </w:r>
      <w:r>
        <w:t xml:space="preserve"> </w:t>
      </w:r>
      <w:r>
        <w:t xml:space="preserve">= 4 × 10</w:t>
      </w:r>
      <w:r>
        <w:rPr>
          <w:vertAlign w:val="superscript"/>
        </w:rPr>
        <w:t xml:space="preserve">−4</w:t>
      </w:r>
      <w:r>
        <w:t xml:space="preserve">; ρ de Spearman entre distância inicial e ocupância −0,60), como em pH 10,0. Os escores de energia concordaram entre os pH: MM-GBSA ρ = 0,50 (</w:t>
      </w:r>
      <w:r>
        <w:rPr>
          <w:i/>
          <w:iCs/>
        </w:rPr>
        <w:t xml:space="preserve">P</w:t>
      </w:r>
      <w:r>
        <w:t xml:space="preserve"> </w:t>
      </w:r>
      <w:r>
        <w:t xml:space="preserve">&lt; 0,001; mediana −26,7 em pH 8,2 contra −24,8 kcal mol</w:t>
      </w:r>
      <w:r>
        <w:rPr>
          <w:vertAlign w:val="superscript"/>
        </w:rPr>
        <w:t xml:space="preserve">−1</w:t>
      </w:r>
      <w:r>
        <w:t xml:space="preserve"> </w:t>
      </w:r>
      <w:r>
        <w:t xml:space="preserve">em pH 10,0,</w:t>
      </w:r>
      <w:r>
        <w:t xml:space="preserve"> </w:t>
      </w:r>
      <w:r>
        <w:rPr>
          <w:i/>
          <w:iCs/>
        </w:rPr>
        <w:t xml:space="preserve">P</w:t>
      </w:r>
      <w:r>
        <w:t xml:space="preserve"> </w:t>
      </w:r>
      <w:r>
        <w:t xml:space="preserve">= 0,80) e PRODIGY nos quadros ρ = 0,60 (</w:t>
      </w:r>
      <w:r>
        <w:rPr>
          <w:i/>
          <w:iCs/>
        </w:rPr>
        <w:t xml:space="preserve">P</w:t>
      </w:r>
      <w:r>
        <w:t xml:space="preserve"> </w:t>
      </w:r>
      <w:r>
        <w:t xml:space="preserve">&lt; 0,001; −8,38 contra −8,21 kcal mol</w:t>
      </w:r>
      <w:r>
        <w:rPr>
          <w:vertAlign w:val="superscript"/>
        </w:rPr>
        <w:t xml:space="preserve">−1</w:t>
      </w:r>
      <w:r>
        <w:t xml:space="preserve">,</w:t>
      </w:r>
      <w:r>
        <w:t xml:space="preserve"> </w:t>
      </w:r>
      <w:r>
        <w:rPr>
          <w:i/>
          <w:iCs/>
        </w:rPr>
        <w:t xml:space="preserve">P</w:t>
      </w:r>
      <w:r>
        <w:t xml:space="preserve"> </w:t>
      </w:r>
      <w:r>
        <w:t xml:space="preserve">= 0,18). Em pH 8,2 o ΔG do MM-GBSA foi mais favorável para os três peptídeos com âncora de lisina ou arginina (NGGRPDAP, GGKPGEP e PISQIDSGSR; mediana −42,5 contra −25,9 kcal mol</w:t>
      </w:r>
      <w:r>
        <w:rPr>
          <w:vertAlign w:val="superscript"/>
        </w:rPr>
        <w:t xml:space="preserve">−1</w:t>
      </w:r>
      <w:r>
        <w:t xml:space="preserve"> </w:t>
      </w:r>
      <w:r>
        <w:t xml:space="preserve">para os outros 45; Mann–Whitney</w:t>
      </w:r>
      <w:r>
        <w:t xml:space="preserve"> </w:t>
      </w:r>
      <w:r>
        <w:rPr>
          <w:i/>
          <w:iCs/>
        </w:rPr>
        <w:t xml:space="preserve">P</w:t>
      </w:r>
      <w:r>
        <w:t xml:space="preserve"> </w:t>
      </w:r>
      <w:r>
        <w:t xml:space="preserve">= 0,041), no mesmo sentido do pH 10,0, e relacionou-se fracamente com a distância final (ρ = 0,29,</w:t>
      </w:r>
      <w:r>
        <w:t xml:space="preserve"> </w:t>
      </w:r>
      <w:r>
        <w:rPr>
          <w:i/>
          <w:iCs/>
        </w:rPr>
        <w:t xml:space="preserve">P</w:t>
      </w:r>
      <w:r>
        <w:t xml:space="preserve"> </w:t>
      </w:r>
      <w:r>
        <w:t xml:space="preserve">= 0,044). Cada candidato foi simulado uma vez por pH com semente diferente. Para estimar o piso de variação entre execuções, oito candidatos da lista curta (quatro por frente: GSNIN, GQNDS, PTTTQT e NGGRPDAP; GGHSE, IYPETG, SGSTDIE e GGKPGEP) foram simulados uma segunda vez em cada pH com outra semente (16 pares, 8 em cada pH). Eles não são uma amostra aleatória. A diferença absoluta mediana entre as duas execuções do mesmo pH foi de 0,31 Å (pH 10,0) e 1,37 Å (pH 8,2) na distância final âncora–Asp189, 0,03 (pH 10,0) e 0,05 (pH 8,2) na ocupância da segunda metade e 0,11 nm nos dois pH no RMSD do peptídeo, contra 1,36 Å, 0,04 e 0,18 nm entre pH nos 48 pares; a diferença entre execuções é, portanto, do mesmo tamanho que a diferença entre pH. As medianas escondem os casos que importam, porque a maioria das ocupâncias fica perto de zero: em três dos 16 pares a ocupância mudou em mais de 0,5 entre execuções do mesmo pH (GQNDS em pH 8,2, 0,04 e 0,73; GGHSE em pH 8,2, 0,00 e 0,88; IYPETG em pH 8,2, 0,57 e 0,00), e duas delas atravessaram o limite de 0,70. A perda de S1 pelo GGHSE em pH 8,2 e a ocupância só na primeira metade do GQNDS, portanto, não se reproduzem, e nenhuma mudança entre pH pode ser lida como efeito do pH. Só o NGGRPDAP (0,98 e 1,00 em pH 8,2; 1,00 e 1,00 em pH 10,0) e o GGKPGEP (1,00 nas duas execuções nos dois pH) repetiram a ocupância. As mudanças de ocupância entre pH foram nos dois sentidos, nenhuma diferença entre pH excede o que repetições do mesmo pH produzem, e a comparação entre pH não mostra diferença que passe em um teste pareado.</w:t>
      </w:r>
    </w:p>
    <w:p>
      <w:pPr>
        <w:pStyle w:val="CaptionedFigure"/>
      </w:pPr>
      <w:r>
        <w:drawing>
          <wp:inline>
            <wp:extent cx="5334000" cy="3704933"/>
            <wp:effectExtent b="0" l="0" r="0" t="0"/>
            <wp:docPr descr="Figura 7. Comparação das 48 simulações de pH 8,2 e pH 10,0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linear; verde-azulado: macrociclo; em destaque: NGGRPDAP, GGKPGEP, GQNDS e GGHSE." title="" id="51" name="Picture"/>
            <a:graphic>
              <a:graphicData uri="http://schemas.openxmlformats.org/drawingml/2006/picture">
                <pic:pic>
                  <pic:nvPicPr>
                    <pic:cNvPr descr="figures/final/Figure7_pH_comparison.png" id="52" name="Picture"/>
                    <pic:cNvPicPr>
                      <a:picLocks noChangeArrowheads="1" noChangeAspect="1"/>
                    </pic:cNvPicPr>
                  </pic:nvPicPr>
                  <pic:blipFill>
                    <a:blip r:embed="rId50"/>
                    <a:stretch>
                      <a:fillRect/>
                    </a:stretch>
                  </pic:blipFill>
                  <pic:spPr bwMode="auto">
                    <a:xfrm>
                      <a:off x="0" y="0"/>
                      <a:ext cx="5334000" cy="3704933"/>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Comparação das 48 simulações de pH 8,2 e pH 10,0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linear; verde-azulado: macrociclo; em destaque: NGGRPDAP, GGKPGEP, GQNDS e GGHSE.</w:t>
      </w:r>
    </w:p>
    <w:bookmarkEnd w:id="53"/>
    <w:bookmarkStart w:id="57" w:name="peptídeos-candidatos"/>
    <w:p>
      <w:pPr>
        <w:pStyle w:val="Heading3"/>
      </w:pPr>
      <w:r>
        <w:t xml:space="preserve">3.8 Peptídeos candidatos</w:t>
      </w:r>
    </w:p>
    <w:p>
      <w:pPr>
        <w:pStyle w:val="FirstParagraph"/>
      </w:pPr>
      <w:r>
        <w:t xml:space="preserve">Quatro peptídeos se destacam pelos critérios declarados de antemão e pelas etapas acima (Tabela 4, Figura 8). O GGHSE (</w:t>
      </w:r>
      <w:r>
        <w:rPr>
          <w:i/>
          <w:iCs/>
        </w:rPr>
        <w:t xml:space="preserve">S. frugiperda</w:t>
      </w:r>
      <w:r>
        <w:t xml:space="preserve">, cíclico) é a única simulação de pH 10,0 que combinou ocupância de pelo menos 0,70 com o critério estrito do anel; em pH 8,2 ele saiu de S1 em uma execução e a manteve na repetição (ocupância 0,00 e 0,88; Seção 3.7). O GQNDS (</w:t>
      </w:r>
      <w:r>
        <w:rPr>
          <w:i/>
          <w:iCs/>
        </w:rPr>
        <w:t xml:space="preserve">O. nubilalis</w:t>
      </w:r>
      <w:r>
        <w:t xml:space="preserve">, linear) chegou a ocupância de 1,00 com âncora Gln em pH 10,0, mas em pH 8,2 ocupou S1 só na primeira metade de uma execução e em 0,73 da segunda metade de sua repetição. O NGGRPDAP (</w:t>
      </w:r>
      <w:r>
        <w:rPr>
          <w:i/>
          <w:iCs/>
        </w:rPr>
        <w:t xml:space="preserve">A. gemmatalis</w:t>
      </w:r>
      <w:r>
        <w:t xml:space="preserve">, linear) tem uma Arg em S1 seguida de prolina, o mecanismo canônico, e o menor ΔG do PRODIGY da frente linear; com o GGKPGEP, é um dos dois dos quatro cuja ocupância de S1 apareceu nos dois pH (uma execução cada), e teve o MM-GBSA mais favorável das 48 simulações de pH 8,2 (−53,3 kcal mol</w:t>
      </w:r>
      <w:r>
        <w:rPr>
          <w:vertAlign w:val="superscript"/>
        </w:rPr>
        <w:t xml:space="preserve">−1</w:t>
      </w:r>
      <w:r>
        <w:t xml:space="preserve">) e o quinto em pH 10,0 (−45,3). O GGKPGEP (</w:t>
      </w:r>
      <w:r>
        <w:rPr>
          <w:i/>
          <w:iCs/>
        </w:rPr>
        <w:t xml:space="preserve">A. gemmatalis</w:t>
      </w:r>
      <w:r>
        <w:t xml:space="preserve">, cíclico) tem a menor distância final âncora–Asp189 (2,71 Å) e uma Lys seguida de prolina, mas em pH 10,0 fica abaixo do limite de ω do critério estrito do anel (mínimo de 144,5° contra 150°; 156,7° em pH 8,2, onde também manteve S1). Os quatro partiram com a âncora a até 4,0 Å do Asp189 (Seção 3.5), e nem a pose inicial do Boltz-2 nem a simulação de 10 ns os separa de uma sequência embaralhada; são candidatos que sobreviveram aos filtros disponíveis, e nenhum carrega alegação de seletividade ou atividade. Os 48 candidatos também foram classificados em camadas A–C pelos critérios declarados antes das simulações (23 A e 1 B lineares; 10 A, 13 B e 1 C cíclicos; Figura S7); a camada A exclui poucos candidatos e não discrimina entre os demais.</w:t>
      </w:r>
    </w:p>
    <w:p>
      <w:pPr>
        <w:pStyle w:val="BodyText"/>
      </w:pPr>
      <w:r>
        <w:t xml:space="preserve">Lisina ou arginina seguida de prolina é só uma barreira estatística para a tripsina: a clivagem antes de prolina é observada em grandes conjuntos de espectros de peptídeos (Rodriguez et al., 2008) e é mais lenta, não ausente, ao lado de prolina ou de resíduos carregados (Pan et al., 2014). Inibidores que se ligam como substratos também são clivados no sítio reativo, em uma extensão dada pelo equilíbrio entre a forma intacta e a clivada (Song e Markley, 2003), e a tripsina pode tanto clivar quanto refazer a ligação Lys–Ser do sítio reativo de análogos do SFTI-1 (Karna et al., 2015). As simulações, portanto, não podem mostrar que um peptídeo resiste à proteólise, mas podem mostrar se a serina catalítica está posicionada para atacar a ligação K/R–Pro. Nas 20 execuções dos cinco peptídeos analisados (GGKPGEP, NGGRPDAP, PISQIDSGSR, GGHSE e GQNDS, com as repetições nos dois pH), uma conformação quase de ataque de qualquer ligação apareceu em uma única execução (1,6% dos quadros da segunda metade, na ligação Gly3–Arg4 do NGGRPDAP). A distância mediana do Oγ da Ser195 ao carbono da ligação K/R–Pro foi de 5,3–5,4 Å (mínimo 3,8–4,2 Å) para o GGKPGEP em pH 10,0 e 6,7–7,6 Å em pH 8,2, 4,7–5,0 Å (mínimo 4,2–4,4 Å) para o NGGRPDAP em pH 10,0 e 4,7–5,5 Å em pH 8,2, e 9,2–9,5 Å para a ligação Arg10–Pro1 do PISQIDSGSR. Na maioria das execuções a carbonila mais próxima da serina foi a que antecede a âncora (Gly2–Lys3 no GGKPGEP, Gly3–Arg4 no NGGRPDAP, a menos de 4 Å em 19–88% dos quadros do NGGRPDAP e em no máximo 23% dos do GGKPGEP), uma ligação glicina–resíduo básico que não é sítio de tripsina, o que sugere que o registro do peptídeo está deslocado de um resíduo em relação a um substrato canônico. Peptídeos tão curtos e ricos em glicina provavelmente são móveis, e em simulações de QM/MM do SFTI-1 e de análogos a taxa de hidrólise aumentou com a mobilidade do inibidor, ao passo que a cadeia cíclica e as ligações de hidrogênio intramoleculares a reduziram (Wei et al., 2019). Isso é uma propriedade de simulações clássicas de 10 ns que partem de uma pose predita e não mede catálise.</w:t>
      </w:r>
    </w:p>
    <w:p>
      <w:pPr>
        <w:pStyle w:val="BodyText"/>
      </w:pPr>
      <w:r>
        <w:rPr>
          <w:i/>
          <w:iCs/>
        </w:rPr>
        <w:t xml:space="preserve">Uma linha de base interna para a prolina protetora.</w:t>
      </w:r>
      <w:r>
        <w:t xml:space="preserve"> </w:t>
      </w:r>
      <w:r>
        <w:t xml:space="preserve">A pergunta que esses números precisam responder é se uma lisina ou arginina interna é clivada, e um dos controles embaralhados da Seção 3.5 fornece a linha de base. O PGRGDANP tem a composição do NGGRPDAP e foi simulado com o mesmo receptor de</w:t>
      </w:r>
      <w:r>
        <w:t xml:space="preserve"> </w:t>
      </w:r>
      <w:r>
        <w:rPr>
          <w:i/>
          <w:iCs/>
        </w:rPr>
        <w:t xml:space="preserve">A. gemmatalis</w:t>
      </w:r>
      <w:r>
        <w:t xml:space="preserve">, o mesmo campo de força e o mesmo protocolo em pH 10,0; seu Arg3 foi a âncora, a 2,73 Å do carboxilato do Asp189 tanto na janela inicial quanto na final, com ocupância de S1 de 1,00 — a mesma profundidade e a mesma exposição do Arg4 do NGGRPDAP (2,78 e 2,74 Å, ocupância 1,00). Os dois diferem no resíduo que segue o básico: glicina no controle, prolina no candidato. No controle, a ligação Arg3–Gly4 teve distância mediana do Oγ da Ser195 ao carbono de 3,68 Å (mínimo 3,03 Å), ficou a menos de 4 Å em 75,7% dos quadros da segunda metade e atingiu conformação quase de ataque em 8,0% deles. Nas nove execuções que carregam um sítio protegido por prolina — quatro do NGGRPDAP, quatro do GGKPGEP e uma do GGEKPPG, o controle embaralhado do GGKPGEP, em que a lisina também cai antes de uma prolina —, a fração quase de ataque foi de 0,0% sem exceção, e a ligação cindível só chegou a menos de 4 Å em 0,8% dos quadros de uma execução do GGKPGEP (Figura S11). A análise, portanto, registra a geometria de ataque quando o sítio de tripsina está exposto e não registra nenhuma quando há uma prolina em seguida, com a ocupância de S1 pareada.</w:t>
      </w:r>
    </w:p>
    <w:p>
      <w:pPr>
        <w:pStyle w:val="BodyText"/>
      </w:pPr>
      <w:r>
        <w:t xml:space="preserve">Esses controles foram simulados para outra pergunta — se a ocupância de S1 separa sequência de pose inicial —, que não responderam (Seção 3.5); a distância inicial pareada que os tornou inúteis lá é o que os torna uma linha de base válida aqui. A comparação se apoia em um sítio exposto, uma execução e um pH; uma fração quase de ataque não é uma taxa; e o critério é geométrico, não codifica especificidade, e é por isso que a ligação que mais se aproxima da serina nos peptídeos protegidos, a ligação glicina–resíduo básico que antecede a âncora, não é risco de clivagem para uma enzima que exige lisina ou arginina em P1. O resultado também nada diz sobre exopeptidases: o critério duro avalia o resíduo C-terminal, mas não a aminopeptidase N, que processa um N-terminal livre qualquer que seja a sequência interna; vale, portanto, sem ressalva para o macrociclo e, no peptídeo linear, só para as ligações internas. Um ensaio de estabilidade com tripsina e extrato do intestino médio das lagartas continua sendo o teste decisivo.</w:t>
      </w:r>
    </w:p>
    <w:p>
      <w:pPr>
        <w:pStyle w:val="BodyText"/>
      </w:pPr>
      <w:r>
        <w:rPr>
          <w:b/>
          <w:bCs/>
        </w:rPr>
        <w:t xml:space="preserve">Tabela 4.</w:t>
      </w:r>
      <w:r>
        <w:t xml:space="preserve"> </w:t>
      </w:r>
      <w:r>
        <w:t xml:space="preserve">Candidatos da lista curta. Inicial e final: distância âncora–Asp189 nas janelas inicial e final da simulação de 10 ns em pH 10,0. Ocup.: ocupância a 5 Å na segunda metade (descritiva). ΔG PRODIGY: pose inicial; entre parênteses, por resíduo. MM-GBSA: segunda metade da simulação de 10 ns em pH 10,0 e em pH 8,2 (uma execução cada). As colunas de ocupância e anel referem-se a pH 10,0.</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40" w:lineRule="auto"/>
            </w:pPr>
            <w:r>
              <w:rPr>
                <w:b/>
                <w:sz w:val="18"/>
              </w:rPr>
              <w:t xml:space="preserve">Peptídeo</w:t>
            </w:r>
          </w:p>
        </w:tc>
        <w:tc>
          <w:tcPr/>
          <w:p>
            <w:pPr>
              <w:pStyle w:val="Compact"/>
              <w:spacing w:line="240" w:lineRule="auto"/>
            </w:pPr>
            <w:r>
              <w:rPr>
                <w:b/>
                <w:sz w:val="18"/>
              </w:rPr>
              <w:t xml:space="preserve">Frente</w:t>
            </w:r>
          </w:p>
        </w:tc>
        <w:tc>
          <w:tcPr/>
          <w:p>
            <w:pPr>
              <w:pStyle w:val="Compact"/>
              <w:spacing w:line="240" w:lineRule="auto"/>
            </w:pPr>
            <w:r>
              <w:rPr>
                <w:b/>
                <w:sz w:val="18"/>
              </w:rPr>
              <w:t xml:space="preserve">Espécie</w:t>
            </w:r>
          </w:p>
        </w:tc>
        <w:tc>
          <w:tcPr/>
          <w:p>
            <w:pPr>
              <w:pStyle w:val="Compact"/>
              <w:spacing w:line="240" w:lineRule="auto"/>
            </w:pPr>
            <w:r>
              <w:rPr>
                <w:b/>
                <w:sz w:val="18"/>
              </w:rPr>
              <w:t xml:space="preserve">Comprimento</w:t>
            </w:r>
          </w:p>
        </w:tc>
        <w:tc>
          <w:tcPr/>
          <w:p>
            <w:pPr>
              <w:pStyle w:val="Compact"/>
              <w:spacing w:line="240" w:lineRule="auto"/>
            </w:pPr>
            <w:r>
              <w:rPr>
                <w:b/>
                <w:sz w:val="18"/>
              </w:rPr>
              <w:t xml:space="preserve">Conf. E2</w:t>
            </w:r>
          </w:p>
        </w:tc>
        <w:tc>
          <w:tcPr/>
          <w:p>
            <w:pPr>
              <w:pStyle w:val="Compact"/>
              <w:spacing w:line="240" w:lineRule="auto"/>
            </w:pPr>
            <w:r>
              <w:rPr>
                <w:b/>
                <w:sz w:val="18"/>
              </w:rPr>
              <w:t xml:space="preserve">Δ (E3)</w:t>
            </w:r>
          </w:p>
        </w:tc>
        <w:tc>
          <w:tcPr/>
          <w:p>
            <w:pPr>
              <w:pStyle w:val="Compact"/>
              <w:spacing w:line="240" w:lineRule="auto"/>
            </w:pPr>
            <w:r>
              <w:rPr>
                <w:b/>
                <w:sz w:val="18"/>
              </w:rPr>
              <w:t xml:space="preserve">Âncora</w:t>
            </w:r>
          </w:p>
        </w:tc>
        <w:tc>
          <w:tcPr/>
          <w:p>
            <w:pPr>
              <w:pStyle w:val="Compact"/>
              <w:spacing w:line="240" w:lineRule="auto"/>
            </w:pPr>
            <w:r>
              <w:rPr>
                <w:b/>
                <w:sz w:val="18"/>
              </w:rPr>
              <w:t xml:space="preserve">Inicial (Å)</w:t>
            </w:r>
          </w:p>
        </w:tc>
        <w:tc>
          <w:tcPr/>
          <w:p>
            <w:pPr>
              <w:pStyle w:val="Compact"/>
              <w:spacing w:line="240" w:lineRule="auto"/>
            </w:pPr>
            <w:r>
              <w:rPr>
                <w:b/>
                <w:sz w:val="18"/>
              </w:rPr>
              <w:t xml:space="preserve">Final (Å)</w:t>
            </w:r>
          </w:p>
        </w:tc>
        <w:tc>
          <w:tcPr/>
          <w:p>
            <w:pPr>
              <w:pStyle w:val="Compact"/>
              <w:spacing w:line="240" w:lineRule="auto"/>
            </w:pPr>
            <w:r>
              <w:rPr>
                <w:b/>
                <w:sz w:val="18"/>
              </w:rPr>
              <w:t xml:space="preserve">Ocup.</w:t>
            </w:r>
          </w:p>
        </w:tc>
        <w:tc>
          <w:tcPr/>
          <w:p>
            <w:pPr>
              <w:pStyle w:val="Compact"/>
              <w:spacing w:line="240" w:lineRule="auto"/>
            </w:pPr>
            <w:r>
              <w:rPr>
                <w:b/>
                <w:sz w:val="18"/>
              </w:rPr>
              <w:t xml:space="preserve">Anel</w:t>
            </w:r>
          </w:p>
        </w:tc>
        <w:tc>
          <w:tcPr/>
          <w:p>
            <w:pPr>
              <w:pStyle w:val="Compact"/>
              <w:spacing w:line="240" w:lineRule="auto"/>
            </w:pPr>
            <w:r>
              <w:rPr>
                <w:b/>
                <w:sz w:val="18"/>
              </w:rPr>
              <w:t xml:space="preserve">ΔG PRODIGY (kcal mol</w:t>
            </w:r>
            <w:r>
              <w:rPr>
                <w:b/>
                <w:sz w:val="18"/>
                <w:vertAlign w:val="superscript"/>
              </w:rPr>
              <w:t xml:space="preserve">−1</w:t>
            </w:r>
            <w:r>
              <w:rPr>
                <w:b/>
                <w:sz w:val="18"/>
              </w:rPr>
              <w:t xml:space="preserve">)</w:t>
            </w:r>
          </w:p>
        </w:tc>
        <w:tc>
          <w:tcPr/>
          <w:p>
            <w:pPr>
              <w:pStyle w:val="Compact"/>
              <w:spacing w:line="240" w:lineRule="auto"/>
            </w:pPr>
            <w:r>
              <w:rPr>
                <w:b/>
                <w:sz w:val="18"/>
              </w:rPr>
              <w:t xml:space="preserve">MM-GBSA pH 10,0 / 8,2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NGGRPDAP</w:t>
            </w:r>
          </w:p>
        </w:tc>
        <w:tc>
          <w:tcPr/>
          <w:p>
            <w:pPr>
              <w:pStyle w:val="Compact"/>
              <w:spacing w:line="240" w:lineRule="auto"/>
            </w:pPr>
            <w:r>
              <w:rPr>
                <w:sz w:val="18"/>
              </w:rPr>
              <w:t xml:space="preserve">linear</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8</w:t>
            </w:r>
          </w:p>
        </w:tc>
        <w:tc>
          <w:tcPr/>
          <w:p>
            <w:pPr>
              <w:pStyle w:val="Compact"/>
              <w:spacing w:line="240" w:lineRule="auto"/>
            </w:pPr>
            <w:r>
              <w:rPr>
                <w:sz w:val="18"/>
              </w:rPr>
              <w:t xml:space="preserve">0,937</w:t>
            </w:r>
          </w:p>
        </w:tc>
        <w:tc>
          <w:tcPr/>
          <w:p>
            <w:pPr>
              <w:pStyle w:val="Compact"/>
              <w:spacing w:line="240" w:lineRule="auto"/>
            </w:pPr>
            <w:r>
              <w:rPr>
                <w:sz w:val="18"/>
              </w:rPr>
              <w:t xml:space="preserve">0,030</w:t>
            </w:r>
          </w:p>
        </w:tc>
        <w:tc>
          <w:tcPr/>
          <w:p>
            <w:pPr>
              <w:pStyle w:val="Compact"/>
              <w:spacing w:line="240" w:lineRule="auto"/>
            </w:pPr>
            <w:r>
              <w:rPr>
                <w:sz w:val="18"/>
              </w:rPr>
              <w:t xml:space="preserve">Arg</w:t>
            </w:r>
          </w:p>
        </w:tc>
        <w:tc>
          <w:tcPr/>
          <w:p>
            <w:pPr>
              <w:pStyle w:val="Compact"/>
              <w:spacing w:line="240" w:lineRule="auto"/>
            </w:pPr>
            <w:r>
              <w:rPr>
                <w:sz w:val="18"/>
              </w:rPr>
              <w:t xml:space="preserve">2,78</w:t>
            </w:r>
          </w:p>
        </w:tc>
        <w:tc>
          <w:tcPr/>
          <w:p>
            <w:pPr>
              <w:pStyle w:val="Compact"/>
              <w:spacing w:line="240" w:lineRule="auto"/>
            </w:pPr>
            <w:r>
              <w:rPr>
                <w:sz w:val="18"/>
              </w:rPr>
              <w:t xml:space="preserve">2,74</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−11,1 (−1,39)</w:t>
            </w:r>
          </w:p>
        </w:tc>
        <w:tc>
          <w:tcPr/>
          <w:p>
            <w:pPr>
              <w:pStyle w:val="Compact"/>
              <w:spacing w:line="240" w:lineRule="auto"/>
            </w:pPr>
            <w:r>
              <w:rPr>
                <w:sz w:val="18"/>
              </w:rPr>
              <w:t xml:space="preserve">−45,3 / −53,3</w:t>
            </w:r>
          </w:p>
        </w:tc>
      </w:tr>
      <w:tr>
        <w:tc>
          <w:tcPr/>
          <w:p>
            <w:pPr>
              <w:pStyle w:val="Compact"/>
              <w:spacing w:line="240" w:lineRule="auto"/>
            </w:pPr>
            <w:r>
              <w:rPr>
                <w:sz w:val="18"/>
              </w:rPr>
              <w:t xml:space="preserve">GQNDS</w:t>
            </w:r>
          </w:p>
        </w:tc>
        <w:tc>
          <w:tcPr/>
          <w:p>
            <w:pPr>
              <w:pStyle w:val="Compact"/>
              <w:spacing w:line="240" w:lineRule="auto"/>
            </w:pPr>
            <w:r>
              <w:rPr>
                <w:sz w:val="18"/>
              </w:rPr>
              <w:t xml:space="preserve">linear</w:t>
            </w:r>
          </w:p>
        </w:tc>
        <w:tc>
          <w:tcPr/>
          <w:p>
            <w:pPr>
              <w:pStyle w:val="Compact"/>
              <w:spacing w:line="240" w:lineRule="auto"/>
            </w:pPr>
            <w:r>
              <w:rPr>
                <w:i/>
                <w:iCs/>
                <w:sz w:val="18"/>
              </w:rPr>
              <w:t xml:space="preserve">O. nubilalis</w:t>
            </w:r>
          </w:p>
        </w:tc>
        <w:tc>
          <w:tcPr/>
          <w:p>
            <w:pPr>
              <w:pStyle w:val="Compact"/>
              <w:spacing w:line="240" w:lineRule="auto"/>
            </w:pPr>
            <w:r>
              <w:rPr>
                <w:sz w:val="18"/>
              </w:rPr>
              <w:t xml:space="preserve">5</w:t>
            </w:r>
          </w:p>
        </w:tc>
        <w:tc>
          <w:tcPr/>
          <w:p>
            <w:pPr>
              <w:pStyle w:val="Compact"/>
              <w:spacing w:line="240" w:lineRule="auto"/>
            </w:pPr>
            <w:r>
              <w:rPr>
                <w:sz w:val="18"/>
              </w:rPr>
              <w:t xml:space="preserve">0,909</w:t>
            </w:r>
          </w:p>
        </w:tc>
        <w:tc>
          <w:tcPr/>
          <w:p>
            <w:pPr>
              <w:pStyle w:val="Compact"/>
              <w:spacing w:line="240" w:lineRule="auto"/>
            </w:pPr>
            <w:r>
              <w:rPr>
                <w:sz w:val="18"/>
              </w:rPr>
              <w:t xml:space="preserve">0,013</w:t>
            </w:r>
          </w:p>
        </w:tc>
        <w:tc>
          <w:tcPr/>
          <w:p>
            <w:pPr>
              <w:pStyle w:val="Compact"/>
              <w:spacing w:line="240" w:lineRule="auto"/>
            </w:pPr>
            <w:r>
              <w:rPr>
                <w:sz w:val="18"/>
              </w:rPr>
              <w:t xml:space="preserve">Gln</w:t>
            </w:r>
          </w:p>
        </w:tc>
        <w:tc>
          <w:tcPr/>
          <w:p>
            <w:pPr>
              <w:pStyle w:val="Compact"/>
              <w:spacing w:line="240" w:lineRule="auto"/>
            </w:pPr>
            <w:r>
              <w:rPr>
                <w:sz w:val="18"/>
              </w:rPr>
              <w:t xml:space="preserve">4,00</w:t>
            </w:r>
          </w:p>
        </w:tc>
        <w:tc>
          <w:tcPr/>
          <w:p>
            <w:pPr>
              <w:pStyle w:val="Compact"/>
              <w:spacing w:line="240" w:lineRule="auto"/>
            </w:pPr>
            <w:r>
              <w:rPr>
                <w:sz w:val="18"/>
              </w:rPr>
              <w:t xml:space="preserve">3,77</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−9,0 (−1,80)</w:t>
            </w:r>
          </w:p>
        </w:tc>
        <w:tc>
          <w:tcPr/>
          <w:p>
            <w:pPr>
              <w:pStyle w:val="Compact"/>
              <w:spacing w:line="240" w:lineRule="auto"/>
            </w:pPr>
            <w:r>
              <w:rPr>
                <w:sz w:val="18"/>
              </w:rPr>
              <w:t xml:space="preserve">−18,2 / −2,0</w:t>
            </w:r>
          </w:p>
        </w:tc>
      </w:tr>
      <w:tr>
        <w:tc>
          <w:tcPr/>
          <w:p>
            <w:pPr>
              <w:pStyle w:val="Compact"/>
              <w:spacing w:line="240" w:lineRule="auto"/>
            </w:pPr>
            <w:r>
              <w:rPr>
                <w:sz w:val="18"/>
              </w:rPr>
              <w:t xml:space="preserve">GGHSE</w:t>
            </w:r>
          </w:p>
        </w:tc>
        <w:tc>
          <w:tcPr/>
          <w:p>
            <w:pPr>
              <w:pStyle w:val="Compact"/>
              <w:spacing w:line="240" w:lineRule="auto"/>
            </w:pPr>
            <w:r>
              <w:rPr>
                <w:sz w:val="18"/>
              </w:rPr>
              <w:t xml:space="preserve">cíclico</w:t>
            </w:r>
          </w:p>
        </w:tc>
        <w:tc>
          <w:tcPr/>
          <w:p>
            <w:pPr>
              <w:pStyle w:val="Compact"/>
              <w:spacing w:line="240" w:lineRule="auto"/>
            </w:pPr>
            <w:r>
              <w:rPr>
                <w:i/>
                <w:iCs/>
                <w:sz w:val="18"/>
              </w:rPr>
              <w:t xml:space="preserve">S. frugiperda</w:t>
            </w:r>
          </w:p>
        </w:tc>
        <w:tc>
          <w:tcPr/>
          <w:p>
            <w:pPr>
              <w:pStyle w:val="Compact"/>
              <w:spacing w:line="240" w:lineRule="auto"/>
            </w:pPr>
            <w:r>
              <w:rPr>
                <w:sz w:val="18"/>
              </w:rPr>
              <w:t xml:space="preserve">5</w:t>
            </w:r>
          </w:p>
        </w:tc>
        <w:tc>
          <w:tcPr/>
          <w:p>
            <w:pPr>
              <w:pStyle w:val="Compact"/>
              <w:spacing w:line="240" w:lineRule="auto"/>
            </w:pPr>
            <w:r>
              <w:rPr>
                <w:sz w:val="18"/>
              </w:rPr>
              <w:t xml:space="preserve">0,908</w:t>
            </w:r>
          </w:p>
        </w:tc>
        <w:tc>
          <w:tcPr/>
          <w:p>
            <w:pPr>
              <w:pStyle w:val="Compact"/>
              <w:spacing w:line="240" w:lineRule="auto"/>
            </w:pPr>
            <w:r>
              <w:rPr>
                <w:sz w:val="18"/>
              </w:rPr>
              <w:t xml:space="preserve">0,015</w:t>
            </w:r>
          </w:p>
        </w:tc>
        <w:tc>
          <w:tcPr/>
          <w:p>
            <w:pPr>
              <w:pStyle w:val="Compact"/>
              <w:spacing w:line="240" w:lineRule="auto"/>
            </w:pPr>
            <w:r>
              <w:rPr>
                <w:sz w:val="18"/>
              </w:rPr>
              <w:t xml:space="preserve">His</w:t>
            </w:r>
          </w:p>
        </w:tc>
        <w:tc>
          <w:tcPr/>
          <w:p>
            <w:pPr>
              <w:pStyle w:val="Compact"/>
              <w:spacing w:line="240" w:lineRule="auto"/>
            </w:pPr>
            <w:r>
              <w:rPr>
                <w:sz w:val="18"/>
              </w:rPr>
              <w:t xml:space="preserve">2,86</w:t>
            </w:r>
          </w:p>
        </w:tc>
        <w:tc>
          <w:tcPr/>
          <w:p>
            <w:pPr>
              <w:pStyle w:val="Compact"/>
              <w:spacing w:line="240" w:lineRule="auto"/>
            </w:pPr>
            <w:r>
              <w:rPr>
                <w:sz w:val="18"/>
              </w:rPr>
              <w:t xml:space="preserve">3,07</w:t>
            </w:r>
          </w:p>
        </w:tc>
        <w:tc>
          <w:tcPr/>
          <w:p>
            <w:pPr>
              <w:pStyle w:val="Compact"/>
              <w:spacing w:line="240" w:lineRule="auto"/>
            </w:pPr>
            <w:r>
              <w:rPr>
                <w:sz w:val="18"/>
              </w:rPr>
              <w:t xml:space="preserve">0,99</w:t>
            </w:r>
          </w:p>
        </w:tc>
        <w:tc>
          <w:tcPr/>
          <w:p>
            <w:pPr>
              <w:pStyle w:val="Compact"/>
              <w:spacing w:line="240" w:lineRule="auto"/>
            </w:pPr>
            <w:r>
              <w:rPr>
                <w:sz w:val="18"/>
              </w:rPr>
              <w:t xml:space="preserve">estrito</w:t>
            </w:r>
          </w:p>
        </w:tc>
        <w:tc>
          <w:tcPr/>
          <w:p>
            <w:pPr>
              <w:pStyle w:val="Compact"/>
              <w:spacing w:line="240" w:lineRule="auto"/>
            </w:pPr>
            <w:r>
              <w:rPr>
                <w:sz w:val="18"/>
              </w:rPr>
              <w:t xml:space="preserve">−8,8 (−1,76)</w:t>
            </w:r>
          </w:p>
        </w:tc>
        <w:tc>
          <w:tcPr/>
          <w:p>
            <w:pPr>
              <w:pStyle w:val="Compact"/>
              <w:spacing w:line="240" w:lineRule="auto"/>
            </w:pPr>
            <w:r>
              <w:rPr>
                <w:sz w:val="18"/>
              </w:rPr>
              <w:t xml:space="preserve">−26,5 / −23,9</w:t>
            </w:r>
          </w:p>
        </w:tc>
      </w:tr>
      <w:tr>
        <w:tc>
          <w:tcPr/>
          <w:p>
            <w:pPr>
              <w:pStyle w:val="Compact"/>
              <w:spacing w:line="240" w:lineRule="auto"/>
            </w:pPr>
            <w:r>
              <w:rPr>
                <w:sz w:val="18"/>
              </w:rPr>
              <w:t xml:space="preserve">GGKPGEP</w:t>
            </w:r>
          </w:p>
        </w:tc>
        <w:tc>
          <w:tcPr/>
          <w:p>
            <w:pPr>
              <w:pStyle w:val="Compact"/>
              <w:spacing w:line="240" w:lineRule="auto"/>
            </w:pPr>
            <w:r>
              <w:rPr>
                <w:sz w:val="18"/>
              </w:rPr>
              <w:t xml:space="preserve">cíclico</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7</w:t>
            </w:r>
          </w:p>
        </w:tc>
        <w:tc>
          <w:tcPr/>
          <w:p>
            <w:pPr>
              <w:pStyle w:val="Compact"/>
              <w:spacing w:line="240" w:lineRule="auto"/>
            </w:pPr>
            <w:r>
              <w:rPr>
                <w:sz w:val="18"/>
              </w:rPr>
              <w:t xml:space="preserve">0,923</w:t>
            </w:r>
          </w:p>
        </w:tc>
        <w:tc>
          <w:tcPr/>
          <w:p>
            <w:pPr>
              <w:pStyle w:val="Compact"/>
              <w:spacing w:line="240" w:lineRule="auto"/>
            </w:pPr>
            <w:r>
              <w:rPr>
                <w:sz w:val="18"/>
              </w:rPr>
              <w:t xml:space="preserve">0,020</w:t>
            </w:r>
          </w:p>
        </w:tc>
        <w:tc>
          <w:tcPr/>
          <w:p>
            <w:pPr>
              <w:pStyle w:val="Compact"/>
              <w:spacing w:line="240" w:lineRule="auto"/>
            </w:pPr>
            <w:r>
              <w:rPr>
                <w:sz w:val="18"/>
              </w:rPr>
              <w:t xml:space="preserve">Lys</w:t>
            </w:r>
          </w:p>
        </w:tc>
        <w:tc>
          <w:tcPr/>
          <w:p>
            <w:pPr>
              <w:pStyle w:val="Compact"/>
              <w:spacing w:line="240" w:lineRule="auto"/>
            </w:pPr>
            <w:r>
              <w:rPr>
                <w:sz w:val="18"/>
              </w:rPr>
              <w:t xml:space="preserve">2,71</w:t>
            </w:r>
          </w:p>
        </w:tc>
        <w:tc>
          <w:tcPr/>
          <w:p>
            <w:pPr>
              <w:pStyle w:val="Compact"/>
              <w:spacing w:line="240" w:lineRule="auto"/>
            </w:pPr>
            <w:r>
              <w:rPr>
                <w:sz w:val="18"/>
              </w:rPr>
              <w:t xml:space="preserve">2,71</w:t>
            </w:r>
          </w:p>
        </w:tc>
        <w:tc>
          <w:tcPr/>
          <w:p>
            <w:pPr>
              <w:pStyle w:val="Compact"/>
              <w:spacing w:line="240" w:lineRule="auto"/>
            </w:pPr>
            <w:r>
              <w:rPr>
                <w:sz w:val="18"/>
              </w:rPr>
              <w:t xml:space="preserve">1,00</w:t>
            </w:r>
          </w:p>
        </w:tc>
        <w:tc>
          <w:tcPr/>
          <w:p>
            <w:pPr>
              <w:pStyle w:val="Compact"/>
              <w:spacing w:line="240" w:lineRule="auto"/>
            </w:pPr>
            <w:r>
              <w:rPr>
                <w:sz w:val="18"/>
              </w:rPr>
              <w:t xml:space="preserve">não estrito</w:t>
            </w:r>
          </w:p>
        </w:tc>
        <w:tc>
          <w:tcPr/>
          <w:p>
            <w:pPr>
              <w:pStyle w:val="Compact"/>
              <w:spacing w:line="240" w:lineRule="auto"/>
            </w:pPr>
            <w:r>
              <w:rPr>
                <w:sz w:val="18"/>
              </w:rPr>
              <w:t xml:space="preserve">−9,7 (−1,39)</w:t>
            </w:r>
          </w:p>
        </w:tc>
        <w:tc>
          <w:tcPr/>
          <w:p>
            <w:pPr>
              <w:pStyle w:val="Compact"/>
              <w:spacing w:line="240" w:lineRule="auto"/>
            </w:pPr>
            <w:r>
              <w:rPr>
                <w:sz w:val="18"/>
              </w:rPr>
              <w:t xml:space="preserve">−35,4 / −27,7</w:t>
            </w:r>
          </w:p>
        </w:tc>
      </w:tr>
    </w:tbl>
    <w:p>
      <w:pPr>
        <w:pStyle w:val="CaptionedFigure"/>
      </w:pPr>
      <w:r>
        <w:drawing>
          <wp:inline>
            <wp:extent cx="5334000" cy="3853030"/>
            <wp:effectExtent b="0" l="0" r="0" t="0"/>
            <wp:docPr descr="Figura 8. Poses iniciais (Boltz-2) dos quatro peptídeos da lista curta no sítio ativo. Peptídeo em ciano com o resíduo âncora (o mais próximo do carboxilato do Asp189) em magenta; Asp189 em laranja; His57 e Ser195 em verde; a linha pontilhada é a distância âncora–Asp189; receptor em cartoon até 12 Å do peptídeo. (A) NGGRPDAP (linear, A. gemmatalis). (B) GQNDS (linear, O. nubilalis). (C) GGHSE (cíclico, S. frugiperda). (D) GGKPGEP (cíclico, A. gemmatalis)." title="" id="55" name="Picture"/>
            <a:graphic>
              <a:graphicData uri="http://schemas.openxmlformats.org/drawingml/2006/picture">
                <pic:pic>
                  <pic:nvPicPr>
                    <pic:cNvPr descr="figures/final/Figure8_candidate_poses.png" id="56" name="Picture"/>
                    <pic:cNvPicPr>
                      <a:picLocks noChangeArrowheads="1" noChangeAspect="1"/>
                    </pic:cNvPicPr>
                  </pic:nvPicPr>
                  <pic:blipFill>
                    <a:blip r:embed="rId54"/>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Poses iniciais (Boltz-2) dos quatro peptídeos da lista curta no sítio ativo. Peptídeo em ciano com o resíduo âncora (o mais próximo do carboxilato do Asp189) em magenta; Asp189 em laranja; His57 e Ser195 em verde; a linha pontilhada é a distância âncora–Asp189; receptor em</w:t>
      </w:r>
      <w:r>
        <w:t xml:space="preserve"> </w:t>
      </w:r>
      <w:r>
        <w:rPr>
          <w:i/>
          <w:iCs/>
        </w:rPr>
        <w:t xml:space="preserve">cartoon</w:t>
      </w:r>
      <w:r>
        <w:t xml:space="preserve"> </w:t>
      </w:r>
      <w:r>
        <w:t xml:space="preserve">até 12 Å do peptídeo. (A) NGGRPDAP (linear,</w:t>
      </w:r>
      <w:r>
        <w:t xml:space="preserve"> </w:t>
      </w:r>
      <w:r>
        <w:rPr>
          <w:i/>
          <w:iCs/>
        </w:rPr>
        <w:t xml:space="preserve">A. gemmatalis</w:t>
      </w:r>
      <w:r>
        <w:t xml:space="preserve">). (B) GQNDS (linear,</w:t>
      </w:r>
      <w:r>
        <w:t xml:space="preserve"> </w:t>
      </w:r>
      <w:r>
        <w:rPr>
          <w:i/>
          <w:iCs/>
        </w:rPr>
        <w:t xml:space="preserve">O. nubilalis</w:t>
      </w:r>
      <w:r>
        <w:t xml:space="preserve">). (C) GGHSE (cíclico,</w:t>
      </w:r>
      <w:r>
        <w:t xml:space="preserve"> </w:t>
      </w:r>
      <w:r>
        <w:rPr>
          <w:i/>
          <w:iCs/>
        </w:rPr>
        <w:t xml:space="preserve">S. frugiperda</w:t>
      </w:r>
      <w:r>
        <w:t xml:space="preserve">). (D) GGKPGEP (cíclico,</w:t>
      </w:r>
      <w:r>
        <w:t xml:space="preserve"> </w:t>
      </w:r>
      <w:r>
        <w:rPr>
          <w:i/>
          <w:iCs/>
        </w:rPr>
        <w:t xml:space="preserve">A. gemmatalis</w:t>
      </w:r>
      <w:r>
        <w:t xml:space="preserve">).</w:t>
      </w:r>
    </w:p>
    <w:p>
      <w:r>
        <w:pict>
          <v:rect style="width:0;height:1.5pt" o:hralign="center" o:hrstd="t" o:hr="t"/>
        </w:pict>
      </w:r>
    </w:p>
    <w:bookmarkEnd w:id="57"/>
    <w:bookmarkEnd w:id="58"/>
    <w:bookmarkStart w:id="64" w:name="discussão"/>
    <w:p>
      <w:pPr>
        <w:pStyle w:val="Heading2"/>
      </w:pPr>
      <w:r>
        <w:t xml:space="preserve">4 Discussão</w:t>
      </w:r>
    </w:p>
    <w:bookmarkStart w:id="59" w:name="principais-achados"/>
    <w:p>
      <w:pPr>
        <w:pStyle w:val="Heading3"/>
      </w:pPr>
      <w:r>
        <w:t xml:space="preserve">4.1 Principais achados</w:t>
      </w:r>
    </w:p>
    <w:p>
      <w:pPr>
        <w:pStyle w:val="FirstParagraph"/>
      </w:pPr>
      <w:r>
        <w:t xml:space="preserve">Montamos e calibramos um pipeline que vai de oito tripsinas digestivas de lepidópteros a peptídeos candidatos ordenados, com a não clivabilidade pelas proteases do intestino médio como requisito binário explícito. A parte estrutural foi robusta: os subsítios de dois complexos cristalográficos foram transferidos para os dez receptores, e o equivalente do Asp189 achado pela estrutura coincidiu com o achado pela sequência. A escada de escores foi mais fraca: o Boltz-2 separou inibidores reais de iscas dentro dos pares, mas não como limiar absoluto. Exigir não clivabilidade deixou 527 sequências lineares e 543 cíclicas, curtas e com quase metade de glicina. As simulações de 10 ns mostraram que a ocupância de S1 acompanha a pose inicial do Boltz-2, de modo que as simulações verificam a estabilidade de uma pose e não são evidência de ligação; as mesmas 48 simulações em pH 8,2 não diferiram do pH 10,0 em nenhum teste pareado, e só dois peptídeos (NGGRPDAP, GGKPGEP) mantiveram S1 nos dois pH. Nenhum resultado diz respeito a atividade inibitória ou a seletividade.</w:t>
      </w:r>
    </w:p>
    <w:p>
      <w:pPr>
        <w:pStyle w:val="BodyText"/>
      </w:pPr>
      <w:r>
        <w:t xml:space="preserve">Os inibidores naturais forneceram os subsítios (2PTC, 1SFI), os padrões de calibração e a lógica de ancoragem em S1. Não forneceram sua característica definidora: os peptídeos desenhados não têm cisteína, de modo que as alças estabilizadas por dissulfeto de BPTI, SKTI e SFTI-1 (Luckett et al., 1999; Kelly et al., 2005) não são reproduzidas, e o anel cabeça-cauda é a única restrição mantida, em uma das duas frentes. A rigidez não é simplesmente uma vantagem contra tripsinas adaptadas de lepidópteros: um inibidor de Bowman–Birk com sete ligações dissulfeto inibiu as enzimas tipo tripsina de</w:t>
      </w:r>
      <w:r>
        <w:t xml:space="preserve"> </w:t>
      </w:r>
      <w:r>
        <w:rPr>
          <w:i/>
          <w:iCs/>
        </w:rPr>
        <w:t xml:space="preserve">A. gemmatalis</w:t>
      </w:r>
      <w:r>
        <w:t xml:space="preserve"> </w:t>
      </w:r>
      <w:r>
        <w:t xml:space="preserve">menos que o inibidor de Kunitz da soja (Patarroyo-Vargas et al., 2020).</w:t>
      </w:r>
    </w:p>
    <w:bookmarkEnd w:id="59"/>
    <w:bookmarkStart w:id="60" w:name="o-que-a-escada-de-escores-sustenta"/>
    <w:p>
      <w:pPr>
        <w:pStyle w:val="Heading3"/>
      </w:pPr>
      <w:r>
        <w:t xml:space="preserve">4.2 O que a escada de escores sustenta</w:t>
      </w:r>
    </w:p>
    <w:p>
      <w:pPr>
        <w:pStyle w:val="FirstParagraph"/>
      </w:pPr>
      <w:r>
        <w:t xml:space="preserve">O Boltz-2 preferiu o inibidor real em todos os pares, mas os escores absolutos se sobrepuseram, e uma isca embaralhada de 14 resíduos do SFTI-1 pontuou 0,944. Os candidatos têm 5–8 resíduos e foram em sua maioria pontuados entre 0,80 e 0,95, de modo que a calibração sustenta comparar um candidato com um controle pareado e não ler 0,9 como evidência de ligação. Isso concorda com uma avaliação do Boltz-2 em dois conjuntos de pequenas moléculas, que achou só correlações fracas a moderadas de suas predições de afinidade com energias livres físicas e concluiu que ele não tem a resolução energética para identificar líderes (Wan et al., 2026), e com um</w:t>
      </w:r>
      <w:r>
        <w:t xml:space="preserve"> </w:t>
      </w:r>
      <w:r>
        <w:rPr>
          <w:i/>
          <w:iCs/>
        </w:rPr>
        <w:t xml:space="preserve">benchmark</w:t>
      </w:r>
      <w:r>
        <w:t xml:space="preserve"> </w:t>
      </w:r>
      <w:r>
        <w:t xml:space="preserve">de 111 complexos peptídeo cíclico–proteína, em que a confiança do modelo se correlacionou só moderadamente com a qualidade da pose (Spearman 0,53–0,66) e cerca de 12% das poses tinham confiança alta apesar de qualidade ruim (Li et al., 2026). Usamos o escore de confiança e não a saída de afinidade do Boltz-2, de modo que o primeiro resultado é uma cautela e não um teste do nosso uso. A correlação de postos de 0,57 entre execuções com entrada idêntica acrescenta um limite: diferenças de poucos centésimos na confiança não devem ser interpretadas, e a concordância entre as formas linear e cíclica (ρ = 0,50) não pode ser lida como efeito da modalidade até ser comparada com esse teto. As iscas são sequências embaralhadas de proteínas dobradas, de modo que diferem dos inibidores no enovelamento e não só na ligação, os ligantes da calibração têm 14–176 resíduos contra 5–8 dos candidatos, e os pares não são independentes.</w:t>
      </w:r>
    </w:p>
    <w:p>
      <w:pPr>
        <w:pStyle w:val="BodyText"/>
      </w:pPr>
      <w:r>
        <w:t xml:space="preserve">O MM-GBSA de uma única trajetória sem entropia e o PRODIGY, treinado em complexos proteína–proteína (Vangone e Bonvin, 2015), são sensíveis à amostragem e ao tipo de sistema (Hou et al., 2011; Genheden e Ryde, 2015; Xu et al., 2025). São usados, por isso, para ordenar peptídeos do mesmo receptor e do mesmo protocolo, com um valor por resíduo, e não para estimar afinidade. Para comparação, um estudo de um peptídeo derivado de interface contra tripsinas de</w:t>
      </w:r>
      <w:r>
        <w:t xml:space="preserve"> </w:t>
      </w:r>
      <w:r>
        <w:rPr>
          <w:i/>
          <w:iCs/>
        </w:rPr>
        <w:t xml:space="preserve">S. frugiperda</w:t>
      </w:r>
      <w:r>
        <w:t xml:space="preserve"> </w:t>
      </w:r>
      <w:r>
        <w:t xml:space="preserve">usou simulações de 100 ns em triplicata e MM/GBSA (Severiche-Castro et al., 2026); nossa triagem é uma única execução de 10 ns por candidato e não consegue estabelecer estabilidade.</w:t>
      </w:r>
    </w:p>
    <w:p>
      <w:pPr>
        <w:pStyle w:val="BodyText"/>
      </w:pPr>
      <w:r>
        <w:t xml:space="preserve">Um ponto metodológico merece ênfase: moléculas separadas de receptor e ligante podem ser gravadas em imagens periódicas diferentes da caixa. Em um de nossos sistemas a distância entre os centros de massa de receptor e peptídeo chegou a 94,8 Å numa caixa de 116 Å enquanto as moléculas estavam em contato em todos os quadros. Qualquer análise de RMSD ou de contatos de simulações proteína–peptídeo que não corrija isso relata o deslocamento da imagem como instabilidade.</w:t>
      </w:r>
    </w:p>
    <w:bookmarkEnd w:id="60"/>
    <w:bookmarkStart w:id="61" w:name="Xe9dfdcff25bd151c47ff6de27d373c777e68813"/>
    <w:p>
      <w:pPr>
        <w:pStyle w:val="Heading3"/>
      </w:pPr>
      <w:r>
        <w:t xml:space="preserve">4.3 Resistência à proteólise e engajamento de S1 puxam em sentidos opostos</w:t>
      </w:r>
    </w:p>
    <w:p>
      <w:pPr>
        <w:pStyle w:val="FirstParagraph"/>
      </w:pPr>
      <w:r>
        <w:t xml:space="preserve">A triagem seleciona peptídeos curtos (comprimento médio de 7,7 resíduos) e quase sem resíduos básicos. Nos inibidores canônicos o resíduo P1 se insere em S1 (Laskowski e Kato, 1980; Laskowski e Qasim, 2000), e as enzimas tipo tripsina, inclusive as de</w:t>
      </w:r>
      <w:r>
        <w:t xml:space="preserve"> </w:t>
      </w:r>
      <w:r>
        <w:rPr>
          <w:i/>
          <w:iCs/>
        </w:rPr>
        <w:t xml:space="preserve">A. gemmatalis</w:t>
      </w:r>
      <w:r>
        <w:t xml:space="preserve">, preferem arginina ou lisina ali (Patarroyo-Vargas et al., 2017; Meriño-Cabrera et al., 2022); o critério duro seleciona, portanto, contra o resíduo mais adequado para engajar o Asp189. Ao proibir todo resíduo que uma enzima tipo tripsina, quimotripsina ou elastase pode assumir em P1, ele deixa peptídeos com quase metade de glicina e só nove resíduos básicos, cada um protegido por uma prolina seguinte, uma exceção tirada da especificidade geral das enzimas e aproximada para cada espécie. Tais sequências são provavelmente flexíveis, o que pode custar entropia de ligação, e lhes faltam as cadeias laterais que definem a interação de S1 dos inibidores canônicos. A alternativa canônica é a rigidez, que melhora a ligação em cerca de seis ordens de grandeza e protege contra a proteólise (Kelly et al., 2005); um macrociclo poderia tolerar um P1 básico que uma regra linear de motivos sinaliza. Os três candidatos que carregam uma Lys ou Arg (NGGRPDAP, PISQIDSGSR, GGKPGEP) são aqueles em que isso pode ser examinado, e a presente triagem não diz se sua conformação mantém esse resíduo protegido (a Seção 3.8 relata a geometria de ataque nas simulações). A ciclização remove as extremidades expostas, mas não os sítios internos (o macrociclo ganhou só 16 sequências sobre o conjunto linear), e a aminopeptidase N, que precisa de um N-terminal livre, não é tratada nos peptídeos lineares. As regras de motivos são grosseiras (uma contagem ponderada de sítios; a regra tipo elastase sinaliza quatro resíduos comuns), e RESISTENTE é uma previsão de baixa carga de motivos, não uma medida de estabilidade no intestino médio.</w:t>
      </w:r>
    </w:p>
    <w:p>
      <w:pPr>
        <w:pStyle w:val="BodyText"/>
      </w:pPr>
      <w:r>
        <w:rPr>
          <w:i/>
          <w:iCs/>
        </w:rPr>
        <w:t xml:space="preserve">Relação com trabalhos anteriores com peptídeos.</w:t>
      </w:r>
      <w:r>
        <w:t xml:space="preserve"> </w:t>
      </w:r>
      <w:r>
        <w:t xml:space="preserve">Os candidatos têm o mesmo porte dos tripeptídeos GORE1 e GORE2 e dos tripeptídeos da alça Pin-II, de potência milimolar (de Almeida Barros et al., 2021; Saikhedkar et al., 2018), assim como os peptídeos da região pró do tripsinogênio (Ki de 0,78–1,80 mM contra enzimas de</w:t>
      </w:r>
      <w:r>
        <w:t xml:space="preserve"> </w:t>
      </w:r>
      <w:r>
        <w:rPr>
          <w:i/>
          <w:iCs/>
        </w:rPr>
        <w:t xml:space="preserve">A. gemmatalis</w:t>
      </w:r>
      <w:r>
        <w:t xml:space="preserve"> </w:t>
      </w:r>
      <w:r>
        <w:t xml:space="preserve">(Mariano et al., 2026)), e são mais curtos que o peptídeo de interface de 11 resíduos proposto para</w:t>
      </w:r>
      <w:r>
        <w:t xml:space="preserve"> </w:t>
      </w:r>
      <w:r>
        <w:rPr>
          <w:i/>
          <w:iCs/>
        </w:rPr>
        <w:t xml:space="preserve">S. frugiperda</w:t>
      </w:r>
      <w:r>
        <w:t xml:space="preserve"> </w:t>
      </w:r>
      <w:r>
        <w:t xml:space="preserve">(Severiche-Castro et al., 2026). O que este trabalho acrescenta é uma exigência explícita, baseada em regras, de não clivabilidade e uma escada de escores calibrada; não acrescenta evidência de afinidade maior. Como há Ki medido para o GORE2 e para peptídeos derivados de alças e da região pró (de Almeida Barros et al., 2021; Paulo et al., 2026; Mariano et al., 2026), o GORE2 é o controle positivo natural: um candidato só interessa se seu Ki, medido nas mesmas condições, ficar abaixo da faixa milimolar desses peptídeos ou se persistir por mais tempo em extrato de intestino médio.</w:t>
      </w:r>
    </w:p>
    <w:bookmarkEnd w:id="61"/>
    <w:bookmarkStart w:id="62" w:name="limitações"/>
    <w:p>
      <w:pPr>
        <w:pStyle w:val="Heading3"/>
      </w:pPr>
      <w:r>
        <w:t xml:space="preserve">4.4 Limitações</w:t>
      </w:r>
    </w:p>
    <w:p>
      <w:pPr>
        <w:pStyle w:val="Compact"/>
        <w:numPr>
          <w:ilvl w:val="0"/>
          <w:numId w:val="1003"/>
        </w:numPr>
      </w:pPr>
      <w:r>
        <w:t xml:space="preserve">Todos os resultados são computacionais; nenhum ensaio de inibição ou de estabilidade foi feito. (ii) A seletividade não foi tratada: S1 é conservado entre tripsinas, e um peptídeo ancorado ali não pode ser presumido como poupando proteases não alvo. (iii) Os receptores são modelos do AlphaFold, e a expressão no intestino médio não está documentada nas espécies-praga. (iv) O ProteinMPNN redesenhou o receptor junto com o peptídeo, só oito dos 15 resíduos de ponto quente chegaram ao RFdiffusion, e as sequências foram desenhadas sobre esqueletos cíclicos, de modo que a frente linear avalia as mesmas sequências sem redesenho. (v) O critério de não clivabilidade é uma previsão em nível de motivo; a exceção K/R–Pro é uma aproximação e a aminopeptidase N não é excluída nos peptídeos lineares. (vi) Cada simulação é uma única execução de 10 ns com um campo de força, e trajetórias únicas podem dar conclusões falso-positivas (Knapp et al., 2018);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nos dois pH; dez nanossegundos só fazem triagem, e repetir oito candidatos no mesmo pH mudou a ocupância da segunda metade em mais de 0,5 em três de 16 pares, de modo que uma execução não decide se um peptídeo mantém S1. A equilibração NPT usou o barostato de Parrinello–Rahman, onde um barostato de relaxação é o padrão, e</w:t>
      </w:r>
      <w:r>
        <w:t xml:space="preserve"> </w:t>
      </w:r>
      <w:r>
        <w:rPr>
          <w:rStyle w:val="VerbatimChar"/>
        </w:rPr>
        <w:t xml:space="preserve">refcoord_scaling</w:t>
      </w:r>
      <w:r>
        <w:t xml:space="preserve"> </w:t>
      </w:r>
      <w:r>
        <w:t xml:space="preserve">não foi definido com restrições de posição sob acoplamento de pressão; os dois desvios foram mantidos para que todas as simulações sigam um só protocolo (pH 10,0 e 8,2 usaram o mesmo código), e em três sistemas a densidade ficou em 1022–1033 kg m</w:t>
      </w:r>
      <w:r>
        <w:rPr>
          <w:vertAlign w:val="superscript"/>
        </w:rPr>
        <w:t xml:space="preserve">−3</w:t>
      </w:r>
      <w:r>
        <w:t xml:space="preserve"> </w:t>
      </w:r>
      <w:r>
        <w:t xml:space="preserve">com flutuação quadrática média de 0,2% e deriva desprezível. (vii) O critério de ocupância de S1 não tem especificidade demonstrada: toda isca da calibração o satisfez, e os controles de sequência embaralhada e de troca de âncora não separaram sequência de pose inicial (Seção 3.5); a âncora é definida</w:t>
      </w:r>
      <w:r>
        <w:t xml:space="preserve"> </w:t>
      </w:r>
      <w:r>
        <w:rPr>
          <w:i/>
          <w:iCs/>
        </w:rPr>
        <w:t xml:space="preserve">post hoc</w:t>
      </w:r>
      <w:r>
        <w:t xml:space="preserve"> </w:t>
      </w:r>
      <w:r>
        <w:t xml:space="preserve">como o resíduo de menor distância média. (viii) Uma única predição do Boltz-2 é um ordenador ruidoso (ρ = 0,57 para entrada idêntica), e os controles embaralhados do E3 são fracos para sequências ricas em glicina. (ix) Os sistemas de calibração foram simulados por 2 ns a partir de uma estrutura predita cada, com ligantes muito maiores que os candidatos. (x) O MM-GBSA e o PRODIGY não separaram inibidores de iscas, de modo que a classificação de energia é uma triagem grosseira.</w:t>
      </w:r>
    </w:p>
    <w:bookmarkEnd w:id="62"/>
    <w:bookmarkStart w:id="63" w:name="perspectivas"/>
    <w:p>
      <w:pPr>
        <w:pStyle w:val="Heading3"/>
      </w:pPr>
      <w:r>
        <w:t xml:space="preserve">4.5 Perspectivas</w:t>
      </w:r>
    </w:p>
    <w:p>
      <w:pPr>
        <w:pStyle w:val="FirstParagraph"/>
      </w:pPr>
      <w:r>
        <w:t xml:space="preserve">Os aperfeiçoamentos mais diretos são fixar a sequência do receptor durante o desenho e permitir exatamente um P1 básico seguido de prolina já no desenho; desenhar esqueletos lineares diretamente e proteger as extremidades dos peptídeos lineares; fazer simulações replicadas dos peptídeos da lista curta, estendidas a centenas de nanossegundos; e acrescentar uma contrasseleção contra proteases não alvo para que a seletividade vire objetivo. O teste decisivo é enzimático: ensaios de inibição com extratos do intestino médio de</w:t>
      </w:r>
      <w:r>
        <w:t xml:space="preserve"> </w:t>
      </w:r>
      <w:r>
        <w:rPr>
          <w:i/>
          <w:iCs/>
        </w:rPr>
        <w:t xml:space="preserve">A. gemmatalis</w:t>
      </w:r>
      <w:r>
        <w:t xml:space="preserve"> </w:t>
      </w:r>
      <w:r>
        <w:t xml:space="preserve">e com tripsinas não alvo, e um ensaio de estabilidade dos candidatos nos mesmos extratos.</w:t>
      </w:r>
    </w:p>
    <w:p>
      <w:r>
        <w:pict>
          <v:rect style="width:0;height:1.5pt" o:hralign="center" o:hrstd="t" o:hr="t"/>
        </w:pict>
      </w:r>
    </w:p>
    <w:bookmarkEnd w:id="63"/>
    <w:bookmarkEnd w:id="64"/>
    <w:bookmarkStart w:id="65" w:name="conclusão"/>
    <w:p>
      <w:pPr>
        <w:pStyle w:val="Heading2"/>
      </w:pPr>
      <w:r>
        <w:t xml:space="preserve">5 Conclusão</w:t>
      </w:r>
    </w:p>
    <w:p>
      <w:pPr>
        <w:pStyle w:val="FirstParagraph"/>
      </w:pPr>
      <w:r>
        <w:t xml:space="preserve">Os inibidores naturais serviram como moldes e padrões de calibração para um pipeline que leva oito tripsinas digestivas de lepidópteros a um conjunto ordenado de peptídeos curtos e não clivaveis. O Boltz-2 sustenta comparações pareadas; o MM-GBSA e o PRODIGY apenas ordenam candidatos contra o mesmo receptor; e a ocupância de S1 em 10 ns acompanha a pose inicial, de modo que, por si só, não indica ligação; a ocupância de nove candidatos diferiu em mais de 0,5 entre pH 8,2 e pH 10,0, nos dois sentidos e sem desvio líquido, e repetições no mesmo pH diferiram em mais de 0,5 em três de 16 pares. Os quatro peptídeos da lista curta (NGGRPDAP, GQNDS, GGHSE, GGKPGEP) sobreviveram aos filtros disponíveis e não carregam alegação de seletividade ou atividade. Os testes decisivos são enzimáticos.</w:t>
      </w:r>
    </w:p>
    <w:bookmarkEnd w:id="65"/>
    <w:bookmarkStart w:id="66"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a visibilidade do repositório e o DOI de arquivamento (por exemplo, Zenodo) antes da submissão.</w:t>
      </w:r>
    </w:p>
    <w:bookmarkEnd w:id="66"/>
    <w:bookmarkStart w:id="67"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67"/>
    <w:bookmarkStart w:id="68"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68"/>
    <w:bookmarkStart w:id="69" w:name="financiamento"/>
    <w:p>
      <w:pPr>
        <w:pStyle w:val="Heading2"/>
      </w:pPr>
      <w:r>
        <w:t xml:space="preserve">Financiamento</w:t>
      </w:r>
    </w:p>
    <w:p>
      <w:pPr>
        <w:pStyle w:val="FirstParagraph"/>
      </w:pPr>
      <w:r>
        <w:rPr>
          <w:rStyle w:val="Pendente"/>
        </w:rPr>
        <w:t xml:space="preserve">PENDENTE: a completar pelos autores.</w:t>
      </w:r>
    </w:p>
    <w:bookmarkEnd w:id="69"/>
    <w:bookmarkStart w:id="70" w:name="agradecimentos"/>
    <w:p>
      <w:pPr>
        <w:pStyle w:val="Heading2"/>
      </w:pPr>
      <w:r>
        <w:t xml:space="preserve">Agradecimentos</w:t>
      </w:r>
    </w:p>
    <w:p>
      <w:pPr>
        <w:pStyle w:val="FirstParagraph"/>
      </w:pPr>
      <w:r>
        <w:rPr>
          <w:rStyle w:val="Pendente"/>
        </w:rPr>
        <w:t xml:space="preserve">PENDENTE: a completar pelos autores.</w:t>
      </w:r>
    </w:p>
    <w:bookmarkEnd w:id="70"/>
    <w:bookmarkStart w:id="71" w:name="conflito-de-interesses"/>
    <w:p>
      <w:pPr>
        <w:pStyle w:val="Heading2"/>
      </w:pPr>
      <w:r>
        <w:t xml:space="preserve">Conflito de interesses</w:t>
      </w:r>
    </w:p>
    <w:p>
      <w:pPr>
        <w:pStyle w:val="FirstParagraph"/>
      </w:pPr>
      <w:r>
        <w:rPr>
          <w:rStyle w:val="Pendente"/>
        </w:rPr>
        <w:t xml:space="preserve">PENDENTE: a completar pelos autores. Texto padrão da Frontiers usado em dois dos três artigos de exemplo:</w:t>
      </w:r>
      <w:r>
        <w:rPr>
          <w:rStyle w:val="Pendente"/>
        </w:rPr>
        <w:t xml:space="preserve"> </w:t>
      </w:r>
      <w:r>
        <w:rPr>
          <w:rStyle w:val="Pendente"/>
        </w:rPr>
        <w:t xml:space="preserve">“The author(s) declared that this work was conducted in the absence of any commercial or financial relationships that could be construed as a potential conflict of interest.”</w:t>
      </w:r>
    </w:p>
    <w:bookmarkEnd w:id="71"/>
    <w:bookmarkStart w:id="72" w:name="declaração-de-ia-generativa"/>
    <w:p>
      <w:pPr>
        <w:pStyle w:val="Heading2"/>
      </w:pPr>
      <w:r>
        <w:t xml:space="preserve">Declaração de IA generativa</w:t>
      </w:r>
    </w:p>
    <w:p>
      <w:pPr>
        <w:pStyle w:val="FirstParagraph"/>
      </w:pPr>
      <w:r>
        <w:rPr>
          <w:rStyle w:val="Pendente"/>
        </w:rPr>
        <w:t xml:space="preserve">PENDENTE, autores a confirmar o texto, no formato usado pela Frontiers in Natural Products:</w:t>
      </w:r>
      <w:r>
        <w:rPr>
          <w:rStyle w:val="Pendente"/>
        </w:rPr>
        <w:t xml:space="preserve"> </w:t>
      </w:r>
      <w:r>
        <w:rPr>
          <w:rStyle w:val="Pendente"/>
        </w:rPr>
        <w:t xml:space="preserve">“The author(s) declared that generative AI was used in the creation of this manuscript. During the preparation of this manuscript, the authors used Claude (Anthropic) to write analysis scripts, generate figures, and draft and translate text. The authors verified all numerical results against the output files, verified every reference against Crossref or PubMed, and take full responsibility for the content.”</w:t>
      </w:r>
    </w:p>
    <w:bookmarkEnd w:id="72"/>
    <w:bookmarkStart w:id="73" w:name="material-suplementar"/>
    <w:p>
      <w:pPr>
        <w:pStyle w:val="Heading2"/>
      </w:pPr>
      <w:r>
        <w:t xml:space="preserve">Material suplementar</w:t>
      </w:r>
    </w:p>
    <w:p>
      <w:pPr>
        <w:pStyle w:val="FirstParagraph"/>
      </w:pPr>
      <w:r>
        <w:t xml:space="preserve">As Figuras S1–S11 e as Tabelas S1–S2 (legendas e tabelas abaixo) são fornecidas como material suplementar.</w:t>
      </w:r>
    </w:p>
    <w:bookmarkEnd w:id="73"/>
    <w:bookmarkStart w:id="104" w:name="figuras-suplementares"/>
    <w:p>
      <w:pPr>
        <w:pStyle w:val="Heading2"/>
      </w:pPr>
      <w:r>
        <w:t xml:space="preserve">Figuras suplementares</w:t>
      </w:r>
    </w:p>
    <w:p>
      <w:pPr>
        <w:pStyle w:val="CaptionedFigure"/>
      </w:pPr>
      <w:r>
        <w:drawing>
          <wp:inline>
            <wp:extent cx="4679999" cy="1486588"/>
            <wp:effectExtent b="0" l="0" r="0" t="0"/>
            <wp:docPr descr="Figura S1. Resíduos proibidos em P1 por classe de protease do intestino médio no critério duro. Um resíduo é tolerado quando o seguinte é prolina; a isoleucina é proibida só no C-terminal livre do peptídeo linear." title="" id="75" name="Picture"/>
            <a:graphic>
              <a:graphicData uri="http://schemas.openxmlformats.org/drawingml/2006/picture">
                <pic:pic>
                  <pic:nvPicPr>
                    <pic:cNvPr descr="figures/pt/fig2_regra_dura.png" id="76" name="Picture"/>
                    <pic:cNvPicPr>
                      <a:picLocks noChangeArrowheads="1" noChangeAspect="1"/>
                    </pic:cNvPicPr>
                  </pic:nvPicPr>
                  <pic:blipFill>
                    <a:blip r:embed="rId74"/>
                    <a:stretch>
                      <a:fillRect/>
                    </a:stretch>
                  </pic:blipFill>
                  <pic:spPr bwMode="auto">
                    <a:xfrm>
                      <a:off x="0" y="0"/>
                      <a:ext cx="4679999" cy="1486588"/>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Resíduos proibidos em P1 por classe de protease do intestino médio no critério duro. Um resíduo é tolerado quando o seguinte é prolina; a isoleucina é proibida só no C-terminal livre do peptídeo linear.</w:t>
      </w:r>
    </w:p>
    <w:p>
      <w:pPr>
        <w:pStyle w:val="CaptionedFigure"/>
      </w:pPr>
      <w:r>
        <w:drawing>
          <wp:inline>
            <wp:extent cx="4679999" cy="1819143"/>
            <wp:effectExtent b="0" l="0" r="0" t="0"/>
            <wp:docPr descr="Figura S2. 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 title="" id="78" name="Picture"/>
            <a:graphic>
              <a:graphicData uri="http://schemas.openxmlformats.org/drawingml/2006/picture">
                <pic:pic>
                  <pic:nvPicPr>
                    <pic:cNvPr descr="figures/final/FigureS2_motif_screen.png" id="79" name="Picture"/>
                    <pic:cNvPicPr>
                      <a:picLocks noChangeArrowheads="1" noChangeAspect="1"/>
                    </pic:cNvPicPr>
                  </pic:nvPicPr>
                  <pic:blipFill>
                    <a:blip r:embed="rId77"/>
                    <a:stretch>
                      <a:fillRect/>
                    </a:stretch>
                  </pic:blipFill>
                  <pic:spPr bwMode="auto">
                    <a:xfrm>
                      <a:off x="0" y="0"/>
                      <a:ext cx="4679999" cy="1819143"/>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w:t>
      </w:r>
    </w:p>
    <w:p>
      <w:pPr>
        <w:pStyle w:val="CaptionedFigure"/>
      </w:pPr>
      <w:r>
        <w:drawing>
          <wp:inline>
            <wp:extent cx="4679999" cy="1647359"/>
            <wp:effectExtent b="0" l="0" r="0" t="0"/>
            <wp:docPr descr="Figura S3. Composição do conjunto semelhante a resistente sob o critério duro: composição de aminoácidos (todas as sequências e as 527 lineares) e distribuição de comprimento." title="" id="81" name="Picture"/>
            <a:graphic>
              <a:graphicData uri="http://schemas.openxmlformats.org/drawingml/2006/picture">
                <pic:pic>
                  <pic:nvPicPr>
                    <pic:cNvPr descr="figures/pt/fig6_composicao.png" id="82" name="Picture"/>
                    <pic:cNvPicPr>
                      <a:picLocks noChangeArrowheads="1" noChangeAspect="1"/>
                    </pic:cNvPicPr>
                  </pic:nvPicPr>
                  <pic:blipFill>
                    <a:blip r:embed="rId80"/>
                    <a:stretch>
                      <a:fillRect/>
                    </a:stretch>
                  </pic:blipFill>
                  <pic:spPr bwMode="auto">
                    <a:xfrm>
                      <a:off x="0" y="0"/>
                      <a:ext cx="4679999" cy="1647359"/>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Composição do conjunto semelhante a resistente sob o critério duro: composição de aminoácidos (todas as sequências e as 527 lineares) e distribuição de comprimento.</w:t>
      </w:r>
    </w:p>
    <w:p>
      <w:pPr>
        <w:pStyle w:val="CaptionedFigure"/>
      </w:pPr>
      <w:r>
        <w:drawing>
          <wp:inline>
            <wp:extent cx="4679999" cy="2028367"/>
            <wp:effectExtent b="0" l="0" r="0" t="0"/>
            <wp:docPr descr="Figura S4. Reescore dos dez melhores candidatos por espécie e frente (E2). (A) Confiança média do E2 contra a confiança do E1. (B) Confiança do E2 por candidato e espécie. (C) Fração das 15 amostras que passam no controle de qualidade de pose." title="" id="84" name="Picture"/>
            <a:graphic>
              <a:graphicData uri="http://schemas.openxmlformats.org/drawingml/2006/picture">
                <pic:pic>
                  <pic:nvPicPr>
                    <pic:cNvPr descr="figures/pt/fig9_reescore_e2.png" id="85" name="Picture"/>
                    <pic:cNvPicPr>
                      <a:picLocks noChangeArrowheads="1" noChangeAspect="1"/>
                    </pic:cNvPicPr>
                  </pic:nvPicPr>
                  <pic:blipFill>
                    <a:blip r:embed="rId83"/>
                    <a:stretch>
                      <a:fillRect/>
                    </a:stretch>
                  </pic:blipFill>
                  <pic:spPr bwMode="auto">
                    <a:xfrm>
                      <a:off x="0" y="0"/>
                      <a:ext cx="4679999" cy="2028367"/>
                    </a:xfrm>
                    <a:prstGeom prst="rect">
                      <a:avLst/>
                    </a:prstGeom>
                    <a:noFill/>
                    <a:ln w="9525">
                      <a:noFill/>
                      <a:headEnd/>
                      <a:tailEnd/>
                    </a:ln>
                  </pic:spPr>
                </pic:pic>
              </a:graphicData>
            </a:graphic>
          </wp:inline>
        </w:drawing>
      </w:r>
    </w:p>
    <w:p>
      <w:pPr>
        <w:pStyle w:val="ImageCaption"/>
      </w:pPr>
      <w:r>
        <w:rPr>
          <w:b/>
          <w:bCs/>
        </w:rPr>
        <w:t xml:space="preserve">Figura S4.</w:t>
      </w:r>
      <w:r>
        <w:t xml:space="preserve"> </w:t>
      </w:r>
      <w:r>
        <w:t xml:space="preserve">Reescore dos dez melhores candidatos por espécie e frente (E2). (A) Confiança média do E2 contra a confiança do E1. (B) Confiança do E2 por candidato e espécie. (C) Fração das 15 amostras que passam no controle de qualidade de pose.</w:t>
      </w:r>
    </w:p>
    <w:p>
      <w:pPr>
        <w:pStyle w:val="CaptionedFigure"/>
      </w:pPr>
      <w:r>
        <w:drawing>
          <wp:inline>
            <wp:extent cx="4679999" cy="1975510"/>
            <wp:effectExtent b="0" l="0" r="0" t="0"/>
            <wp:docPr descr="Figura S5. Os 48 candidatos finais. (A) Confiança do E2. (B) Distância mínima entre o peptídeo e o carboxilato do Asp189 na estrutura inicial (tracejado: 5 Å)." title="" id="87" name="Picture"/>
            <a:graphic>
              <a:graphicData uri="http://schemas.openxmlformats.org/drawingml/2006/picture">
                <pic:pic>
                  <pic:nvPicPr>
                    <pic:cNvPr descr="figures/pt/fig10_top3_pose.png" id="88" name="Picture"/>
                    <pic:cNvPicPr>
                      <a:picLocks noChangeArrowheads="1" noChangeAspect="1"/>
                    </pic:cNvPicPr>
                  </pic:nvPicPr>
                  <pic:blipFill>
                    <a:blip r:embed="rId86"/>
                    <a:stretch>
                      <a:fillRect/>
                    </a:stretch>
                  </pic:blipFill>
                  <pic:spPr bwMode="auto">
                    <a:xfrm>
                      <a:off x="0" y="0"/>
                      <a:ext cx="4679999" cy="1975510"/>
                    </a:xfrm>
                    <a:prstGeom prst="rect">
                      <a:avLst/>
                    </a:prstGeom>
                    <a:noFill/>
                    <a:ln w="9525">
                      <a:noFill/>
                      <a:headEnd/>
                      <a:tailEnd/>
                    </a:ln>
                  </pic:spPr>
                </pic:pic>
              </a:graphicData>
            </a:graphic>
          </wp:inline>
        </w:drawing>
      </w:r>
    </w:p>
    <w:p>
      <w:pPr>
        <w:pStyle w:val="ImageCaption"/>
      </w:pPr>
      <w:r>
        <w:rPr>
          <w:b/>
          <w:bCs/>
        </w:rPr>
        <w:t xml:space="preserve">Figura S5.</w:t>
      </w:r>
      <w:r>
        <w:t xml:space="preserve"> </w:t>
      </w:r>
      <w:r>
        <w:t xml:space="preserve">Os 48 candidatos finais. (A) Confiança do E2. (B) Distância mínima entre o peptídeo e o carboxilato do Asp189 na estrutura inicial (tracejado: 5 Å).</w:t>
      </w:r>
    </w:p>
    <w:p>
      <w:pPr>
        <w:pStyle w:val="CaptionedFigure"/>
      </w:pPr>
      <w:r>
        <w:drawing>
          <wp:inline>
            <wp:extent cx="4679999" cy="1768489"/>
            <wp:effectExtent b="0" l="0" r="0" t="0"/>
            <wp:docPr descr="Figura S6. Integridade do anel nas simulações cíclicas de A. gemmatalis (10 ns, pH 10,0): distância C–N de fechamento, ângulo ω de fechamento em valor absoluto ao longo do tempo e distribuição de ω. Linhas tracejadas: os limites declarados de antemão (C–N ≤ 1,5 Å, ω ≥ 150°)." title="" id="90" name="Picture"/>
            <a:graphic>
              <a:graphicData uri="http://schemas.openxmlformats.org/drawingml/2006/picture">
                <pic:pic>
                  <pic:nvPicPr>
                    <pic:cNvPr descr="figures/pt/figS2_anel_ciclico_charmm36.png" id="91" name="Picture"/>
                    <pic:cNvPicPr>
                      <a:picLocks noChangeArrowheads="1" noChangeAspect="1"/>
                    </pic:cNvPicPr>
                  </pic:nvPicPr>
                  <pic:blipFill>
                    <a:blip r:embed="rId89"/>
                    <a:stretch>
                      <a:fillRect/>
                    </a:stretch>
                  </pic:blipFill>
                  <pic:spPr bwMode="auto">
                    <a:xfrm>
                      <a:off x="0" y="0"/>
                      <a:ext cx="4679999" cy="1768489"/>
                    </a:xfrm>
                    <a:prstGeom prst="rect">
                      <a:avLst/>
                    </a:prstGeom>
                    <a:noFill/>
                    <a:ln w="9525">
                      <a:noFill/>
                      <a:headEnd/>
                      <a:tailEnd/>
                    </a:ln>
                  </pic:spPr>
                </pic:pic>
              </a:graphicData>
            </a:graphic>
          </wp:inline>
        </w:drawing>
      </w:r>
    </w:p>
    <w:p>
      <w:pPr>
        <w:pStyle w:val="ImageCaption"/>
      </w:pPr>
      <w:r>
        <w:rPr>
          <w:b/>
          <w:bCs/>
        </w:rPr>
        <w:t xml:space="preserve">Figura S6.</w:t>
      </w:r>
      <w:r>
        <w:t xml:space="preserve"> </w:t>
      </w:r>
      <w:r>
        <w:t xml:space="preserve">Integridade do anel nas simulações cíclicas de</w:t>
      </w:r>
      <w:r>
        <w:t xml:space="preserve"> </w:t>
      </w:r>
      <w:r>
        <w:rPr>
          <w:i/>
          <w:iCs/>
        </w:rPr>
        <w:t xml:space="preserve">A. gemmatalis</w:t>
      </w:r>
      <w:r>
        <w:t xml:space="preserve"> </w:t>
      </w:r>
      <w:r>
        <w:t xml:space="preserve">(10 ns, pH 10,0): distância C–N de fechamento, ângulo ω de fechamento em valor absoluto ao longo do tempo e distribuição de ω. Linhas tracejadas: os limites declarados de antemão (C–N ≤ 1,5 Å, ω ≥ 150°).</w:t>
      </w:r>
    </w:p>
    <w:p>
      <w:pPr>
        <w:pStyle w:val="CaptionedFigure"/>
      </w:pPr>
      <w:r>
        <w:drawing>
          <wp:inline>
            <wp:extent cx="4679999" cy="3419999"/>
            <wp:effectExtent b="0" l="0" r="0" t="0"/>
            <wp:docPr descr="Figura S7. Matriz de evidências e camadas (A, B, C) dos 48 candidatos finais, ordenados dentro de uma camada pela diferença pareada, pela confiança do Boltz-2 e pela ocupância de S1 (a ocupância não define a camada)." title="" id="93" name="Picture"/>
            <a:graphic>
              <a:graphicData uri="http://schemas.openxmlformats.org/drawingml/2006/picture">
                <pic:pic>
                  <pic:nvPicPr>
                    <pic:cNvPr descr="figures/pt/fig12_candidatos_finais.png" id="94" name="Picture"/>
                    <pic:cNvPicPr>
                      <a:picLocks noChangeArrowheads="1" noChangeAspect="1"/>
                    </pic:cNvPicPr>
                  </pic:nvPicPr>
                  <pic:blipFill>
                    <a:blip r:embed="rId92"/>
                    <a:stretch>
                      <a:fillRect/>
                    </a:stretch>
                  </pic:blipFill>
                  <pic:spPr bwMode="auto">
                    <a:xfrm>
                      <a:off x="0" y="0"/>
                      <a:ext cx="4679999" cy="3419999"/>
                    </a:xfrm>
                    <a:prstGeom prst="rect">
                      <a:avLst/>
                    </a:prstGeom>
                    <a:noFill/>
                    <a:ln w="9525">
                      <a:noFill/>
                      <a:headEnd/>
                      <a:tailEnd/>
                    </a:ln>
                  </pic:spPr>
                </pic:pic>
              </a:graphicData>
            </a:graphic>
          </wp:inline>
        </w:drawing>
      </w:r>
    </w:p>
    <w:p>
      <w:pPr>
        <w:pStyle w:val="ImageCaption"/>
      </w:pPr>
      <w:r>
        <w:rPr>
          <w:b/>
          <w:bCs/>
        </w:rPr>
        <w:t xml:space="preserve">Figura S7.</w:t>
      </w:r>
      <w:r>
        <w:t xml:space="preserve"> </w:t>
      </w:r>
      <w:r>
        <w:t xml:space="preserve">Matriz de evidências e camadas (A, B, C) dos 48 candidatos finais, ordenados dentro de uma camada pela diferença pareada, pela confiança do Boltz-2 e pela ocupância de S1 (a ocupância não define a camada).</w:t>
      </w:r>
    </w:p>
    <w:p>
      <w:pPr>
        <w:pStyle w:val="CaptionedFigure"/>
      </w:pPr>
      <w:r>
        <w:drawing>
          <wp:inline>
            <wp:extent cx="4679999" cy="1546051"/>
            <wp:effectExtent b="0" l="0" r="0" t="0"/>
            <wp:docPr descr="Figura S8. Co-dobramento com o Boltz-2 dos 1.829 macrociclos da primeira rodada: ipTM e pLDDT do complexo por espécie e ipTM médio por comprimento." title="" id="96" name="Picture"/>
            <a:graphic>
              <a:graphicData uri="http://schemas.openxmlformats.org/drawingml/2006/picture">
                <pic:pic>
                  <pic:nvPicPr>
                    <pic:cNvPr descr="figures/pt/fig7_boltz2_1a_rodada.png" id="97" name="Picture"/>
                    <pic:cNvPicPr>
                      <a:picLocks noChangeArrowheads="1" noChangeAspect="1"/>
                    </pic:cNvPicPr>
                  </pic:nvPicPr>
                  <pic:blipFill>
                    <a:blip r:embed="rId95"/>
                    <a:stretch>
                      <a:fillRect/>
                    </a:stretch>
                  </pic:blipFill>
                  <pic:spPr bwMode="auto">
                    <a:xfrm>
                      <a:off x="0" y="0"/>
                      <a:ext cx="4679999" cy="1546051"/>
                    </a:xfrm>
                    <a:prstGeom prst="rect">
                      <a:avLst/>
                    </a:prstGeom>
                    <a:noFill/>
                    <a:ln w="9525">
                      <a:noFill/>
                      <a:headEnd/>
                      <a:tailEnd/>
                    </a:ln>
                  </pic:spPr>
                </pic:pic>
              </a:graphicData>
            </a:graphic>
          </wp:inline>
        </w:drawing>
      </w:r>
    </w:p>
    <w:p>
      <w:pPr>
        <w:pStyle w:val="ImageCaption"/>
      </w:pPr>
      <w:r>
        <w:rPr>
          <w:b/>
          <w:bCs/>
        </w:rPr>
        <w:t xml:space="preserve">Figura S8.</w:t>
      </w:r>
      <w:r>
        <w:t xml:space="preserve"> </w:t>
      </w:r>
      <w:r>
        <w:t xml:space="preserve">Co-dobramento com o Boltz-2 dos 1.829 macrociclos da primeira rodada: ipTM e pLDDT do complexo por espécie e ipTM médio por comprimento.</w:t>
      </w:r>
    </w:p>
    <w:p>
      <w:pPr>
        <w:pStyle w:val="CaptionedFigure"/>
      </w:pPr>
      <w:r>
        <w:drawing>
          <wp:inline>
            <wp:extent cx="4679999" cy="2092235"/>
            <wp:effectExtent b="0" l="0" r="0" t="0"/>
            <wp:docPr descr="Figura S9. Triagem por escore de motivos por espécie sob a regra linear-estrita e a circular." title="" id="99" name="Picture"/>
            <a:graphic>
              <a:graphicData uri="http://schemas.openxmlformats.org/drawingml/2006/picture">
                <pic:pic>
                  <pic:nvPicPr>
                    <pic:cNvPr descr="figures/pt/figS1_regras_motivo.png" id="100" name="Picture"/>
                    <pic:cNvPicPr>
                      <a:picLocks noChangeArrowheads="1" noChangeAspect="1"/>
                    </pic:cNvPicPr>
                  </pic:nvPicPr>
                  <pic:blipFill>
                    <a:blip r:embed="rId98"/>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S9.</w:t>
      </w:r>
      <w:r>
        <w:t xml:space="preserve"> </w:t>
      </w:r>
      <w:r>
        <w:t xml:space="preserve">Triagem por escore de motivos por espécie sob a regra linear-estrita e a circular.</w:t>
      </w:r>
    </w:p>
    <w:p>
      <w:pPr>
        <w:pStyle w:val="CaptionedFigure"/>
      </w:pPr>
      <w:r>
        <w:drawing>
          <wp:inline>
            <wp:extent cx="4679999" cy="1689204"/>
            <wp:effectExtent b="0" l="0" r="0" t="0"/>
            <wp:docPr descr="Figura S10. MM-GBSA e PRODIGY nas trajetórias das 48 simulações de pH 10,0 (segunda metade; ΔG sem entropia). (A) ΔG do MM-GBSA contra o comprimento do peptídeo. (B) ΔG do MM-GBSA contra a distância final âncora–Asp189. (C) ΔG do PRODIGY em 30 quadros contra o ΔG do MM-GBSA. ρ: correlação de Spearman." title="" id="102" name="Picture"/>
            <a:graphic>
              <a:graphicData uri="http://schemas.openxmlformats.org/drawingml/2006/picture">
                <pic:pic>
                  <pic:nvPicPr>
                    <pic:cNvPr descr="figures/final/FigureS10_energy_trajectories.png" id="103" name="Picture"/>
                    <pic:cNvPicPr>
                      <a:picLocks noChangeArrowheads="1" noChangeAspect="1"/>
                    </pic:cNvPicPr>
                  </pic:nvPicPr>
                  <pic:blipFill>
                    <a:blip r:embed="rId101"/>
                    <a:stretch>
                      <a:fillRect/>
                    </a:stretch>
                  </pic:blipFill>
                  <pic:spPr bwMode="auto">
                    <a:xfrm>
                      <a:off x="0" y="0"/>
                      <a:ext cx="4679999" cy="1689204"/>
                    </a:xfrm>
                    <a:prstGeom prst="rect">
                      <a:avLst/>
                    </a:prstGeom>
                    <a:noFill/>
                    <a:ln w="9525">
                      <a:noFill/>
                      <a:headEnd/>
                      <a:tailEnd/>
                    </a:ln>
                  </pic:spPr>
                </pic:pic>
              </a:graphicData>
            </a:graphic>
          </wp:inline>
        </w:drawing>
      </w:r>
    </w:p>
    <w:p>
      <w:pPr>
        <w:pStyle w:val="ImageCaption"/>
      </w:pPr>
      <w:r>
        <w:rPr>
          <w:b/>
          <w:bCs/>
        </w:rPr>
        <w:t xml:space="preserve">Figura S10.</w:t>
      </w:r>
      <w:r>
        <w:t xml:space="preserve"> </w:t>
      </w:r>
      <w:r>
        <w:t xml:space="preserve">MM-GBSA e PRODIGY nas trajetórias das 48 simulações de pH 10,0 (segunda metade; ΔG sem entropia). (A) ΔG do MM-GBSA contra o comprimento do peptídeo. (B) ΔG do MM-GBSA contra a distância final âncora–Asp189. (C) ΔG do PRODIGY em 30 quadros contra o ΔG do MM-GBSA. ρ: correlação de Spearman.</w:t>
      </w:r>
    </w:p>
    <w:bookmarkEnd w:id="104"/>
    <w:bookmarkStart w:id="105" w:name="tabelas-suplementares"/>
    <w:p>
      <w:pPr>
        <w:pStyle w:val="Heading2"/>
      </w:pPr>
      <w:r>
        <w:t xml:space="preserve">Tabelas suplementares</w:t>
      </w:r>
    </w:p>
    <w:p>
      <w:pPr>
        <w:pStyle w:val="FirstParagraph"/>
      </w:pPr>
      <w:r>
        <w:rPr>
          <w:b/>
          <w:bCs/>
        </w:rPr>
        <w:t xml:space="preserve">Tabela S1.</w:t>
      </w:r>
      <w:r>
        <w:t xml:space="preserve"> </w:t>
      </w:r>
      <w:r>
        <w:t xml:space="preserve">Subsítios de referência (resíduos da tripsina bovina a até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p>
      <w:pPr>
        <w:pStyle w:val="BodyText"/>
      </w:pPr>
      <w:r>
        <w:rPr>
          <w:b/>
          <w:bCs/>
        </w:rPr>
        <w:t xml:space="preserve">Tabela S2.</w:t>
      </w:r>
      <w:r>
        <w:t xml:space="preserve"> </w:t>
      </w:r>
      <w:r>
        <w:t xml:space="preserve">Tríade catalítica e bolsão S1 dos dez receptores (modelos do AlphaFold). As posições estão na numeração do modelo; a coluna da tripsina bovina (P00760) dá a numeração de referência. Negrito: resíduo diferente do da tripsina bovina. O bolsão S1 é o conjunto dos 14 resíduos da tripsina em contato com o P1 em 2PTC e 1SFI (Tabela S1); a His57 e a Ser195 pertencem a ele e aparecem uma só vez, na tríade. O Asp189 é o resíduo de especificidade. Distâncias: NE2 da His à OG da Ser e ND1 da His ao oxigênio do carboxilato do Asp102 mais próximo, no modelo. Dados:</w:t>
      </w:r>
      <w:r>
        <w:t xml:space="preserve"> </w:t>
      </w:r>
      <w:r>
        <w:rPr>
          <w:rStyle w:val="VerbatimChar"/>
        </w:rPr>
        <w:t xml:space="preserve">data-lepidoptera-panel/triad_s1_by_receptor.csv</w:t>
      </w:r>
      <w:r>
        <w:t xml:space="preserve">; script:</w:t>
      </w:r>
      <w:r>
        <w:t xml:space="preserve"> </w:t>
      </w:r>
      <w:r>
        <w:rPr>
          <w:rStyle w:val="VerbatimChar"/>
        </w:rPr>
        <w:t xml:space="preserve">manuscript/make_table_s2.py</w:t>
      </w:r>
      <w:r>
        <w:t xml:space="preserv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40" w:lineRule="auto"/>
            </w:pPr>
            <w:r>
              <w:rPr>
                <w:b/>
                <w:sz w:val="18"/>
              </w:rPr>
              <w:t xml:space="preserve">Grupo</w:t>
            </w:r>
          </w:p>
        </w:tc>
        <w:tc>
          <w:tcPr/>
          <w:p>
            <w:pPr>
              <w:pStyle w:val="Compact"/>
              <w:spacing w:line="240" w:lineRule="auto"/>
            </w:pPr>
            <w:r>
              <w:rPr>
                <w:b/>
                <w:sz w:val="18"/>
              </w:rPr>
              <w:t xml:space="preserve">Posição</w:t>
            </w:r>
          </w:p>
        </w:tc>
        <w:tc>
          <w:tcPr/>
          <w:p>
            <w:pPr>
              <w:pStyle w:val="Compact"/>
              <w:spacing w:line="240" w:lineRule="auto"/>
            </w:pPr>
            <w:r>
              <w:rPr>
                <w:b/>
                <w:sz w:val="18"/>
              </w:rPr>
              <w:t xml:space="preserve">Tripsina bovina</w:t>
            </w:r>
          </w:p>
        </w:tc>
        <w:tc>
          <w:tcPr/>
          <w:p>
            <w:pPr>
              <w:pStyle w:val="Compact"/>
              <w:spacing w:line="240" w:lineRule="auto"/>
            </w:pPr>
            <w:r>
              <w:rPr>
                <w:b/>
                <w:i/>
                <w:iCs/>
                <w:sz w:val="18"/>
              </w:rPr>
              <w:t xml:space="preserve">S. frugiperda</w:t>
            </w:r>
          </w:p>
        </w:tc>
        <w:tc>
          <w:tcPr/>
          <w:p>
            <w:pPr>
              <w:pStyle w:val="Compact"/>
              <w:spacing w:line="240" w:lineRule="auto"/>
            </w:pPr>
            <w:r>
              <w:rPr>
                <w:b/>
                <w:i/>
                <w:iCs/>
                <w:sz w:val="18"/>
              </w:rPr>
              <w:t xml:space="preserve">S. litura</w:t>
            </w:r>
          </w:p>
        </w:tc>
        <w:tc>
          <w:tcPr/>
          <w:p>
            <w:pPr>
              <w:pStyle w:val="Compact"/>
              <w:spacing w:line="240" w:lineRule="auto"/>
            </w:pPr>
            <w:r>
              <w:rPr>
                <w:b/>
                <w:i/>
                <w:iCs/>
                <w:sz w:val="18"/>
              </w:rPr>
              <w:t xml:space="preserve">O. nubilalis</w:t>
            </w:r>
          </w:p>
        </w:tc>
        <w:tc>
          <w:tcPr/>
          <w:p>
            <w:pPr>
              <w:pStyle w:val="Compact"/>
              <w:spacing w:line="240" w:lineRule="auto"/>
            </w:pPr>
            <w:r>
              <w:rPr>
                <w:b/>
                <w:i/>
                <w:iCs/>
                <w:sz w:val="18"/>
              </w:rPr>
              <w:t xml:space="preserve">D. saccharalis</w:t>
            </w:r>
          </w:p>
        </w:tc>
        <w:tc>
          <w:tcPr/>
          <w:p>
            <w:pPr>
              <w:pStyle w:val="Compact"/>
              <w:spacing w:line="240" w:lineRule="auto"/>
            </w:pPr>
            <w:r>
              <w:rPr>
                <w:b/>
                <w:i/>
                <w:iCs/>
                <w:sz w:val="18"/>
              </w:rPr>
              <w:t xml:space="preserve">C. includens</w:t>
            </w:r>
          </w:p>
        </w:tc>
        <w:tc>
          <w:tcPr/>
          <w:p>
            <w:pPr>
              <w:pStyle w:val="Compact"/>
              <w:spacing w:line="240" w:lineRule="auto"/>
            </w:pPr>
            <w:r>
              <w:rPr>
                <w:b/>
                <w:i/>
                <w:iCs/>
                <w:sz w:val="18"/>
              </w:rPr>
              <w:t xml:space="preserve">H. virescens</w:t>
            </w:r>
          </w:p>
        </w:tc>
        <w:tc>
          <w:tcPr/>
          <w:p>
            <w:pPr>
              <w:pStyle w:val="Compact"/>
              <w:spacing w:line="240" w:lineRule="auto"/>
            </w:pPr>
            <w:r>
              <w:rPr>
                <w:b/>
                <w:i/>
                <w:iCs/>
                <w:sz w:val="18"/>
              </w:rPr>
              <w:t xml:space="preserve">P. xylostella</w:t>
            </w:r>
          </w:p>
        </w:tc>
        <w:tc>
          <w:tcPr/>
          <w:p>
            <w:pPr>
              <w:pStyle w:val="Compact"/>
              <w:spacing w:line="240" w:lineRule="auto"/>
            </w:pPr>
            <w:r>
              <w:rPr>
                <w:b/>
                <w:i/>
                <w:iCs/>
                <w:sz w:val="18"/>
              </w:rPr>
              <w:t xml:space="preserve">A. gemmatalis</w:t>
            </w:r>
          </w:p>
        </w:tc>
        <w:tc>
          <w:tcPr/>
          <w:p>
            <w:pPr>
              <w:pStyle w:val="Compact"/>
              <w:spacing w:line="240" w:lineRule="auto"/>
            </w:pPr>
            <w:r>
              <w:rPr>
                <w:b/>
                <w:i/>
                <w:iCs/>
                <w:sz w:val="18"/>
              </w:rPr>
              <w:t xml:space="preserve">M. sexta</w:t>
            </w:r>
          </w:p>
        </w:tc>
        <w:tc>
          <w:tcPr/>
          <w:p>
            <w:pPr>
              <w:pStyle w:val="Compact"/>
              <w:spacing w:line="240" w:lineRule="auto"/>
            </w:pPr>
            <w:r>
              <w:rPr>
                <w:b/>
                <w:i/>
                <w:iCs/>
                <w:sz w:val="18"/>
              </w:rPr>
              <w:t xml:space="preserve">B. mori</w:t>
            </w:r>
          </w:p>
        </w:tc>
      </w:tr>
      <w:tr>
        <w:tc>
          <w:tcPr/>
          <w:p>
            <w:pPr>
              <w:pStyle w:val="Compact"/>
              <w:spacing w:line="240" w:lineRule="auto"/>
            </w:pPr>
            <w:r>
              <w:rPr>
                <w:sz w:val="18"/>
              </w:rPr>
              <w:t xml:space="preserve">Tríade catalítica</w:t>
            </w:r>
          </w:p>
        </w:tc>
        <w:tc>
          <w:tcPr/>
          <w:p>
            <w:pPr>
              <w:pStyle w:val="Compact"/>
              <w:spacing w:line="240" w:lineRule="auto"/>
            </w:pPr>
            <w:r>
              <w:rPr>
                <w:sz w:val="18"/>
              </w:rPr>
              <w:t xml:space="preserve">His57</w:t>
            </w:r>
          </w:p>
        </w:tc>
        <w:tc>
          <w:tcPr/>
          <w:p>
            <w:pPr>
              <w:pStyle w:val="Compact"/>
              <w:spacing w:line="240" w:lineRule="auto"/>
            </w:pPr>
            <w:r>
              <w:rPr>
                <w:sz w:val="18"/>
              </w:rPr>
              <w:t xml:space="preserve">H57</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H68</w:t>
            </w:r>
          </w:p>
        </w:tc>
        <w:tc>
          <w:tcPr/>
          <w:p>
            <w:pPr>
              <w:pStyle w:val="Compact"/>
              <w:spacing w:line="240" w:lineRule="auto"/>
            </w:pPr>
            <w:r>
              <w:rPr>
                <w:sz w:val="18"/>
              </w:rPr>
              <w:t xml:space="preserve">H70</w:t>
            </w:r>
          </w:p>
        </w:tc>
        <w:tc>
          <w:tcPr/>
          <w:p>
            <w:pPr>
              <w:pStyle w:val="Compact"/>
              <w:spacing w:line="240" w:lineRule="auto"/>
            </w:pPr>
            <w:r>
              <w:rPr>
                <w:sz w:val="18"/>
              </w:rPr>
              <w:t xml:space="preserve">H71</w:t>
            </w:r>
          </w:p>
        </w:tc>
        <w:tc>
          <w:tcPr/>
          <w:p>
            <w:pPr>
              <w:pStyle w:val="Compact"/>
              <w:spacing w:line="240" w:lineRule="auto"/>
            </w:pPr>
            <w:r>
              <w:rPr>
                <w:sz w:val="18"/>
              </w:rPr>
              <w:t xml:space="preserve">H70</w:t>
            </w:r>
          </w:p>
        </w:tc>
        <w:tc>
          <w:tcPr/>
          <w:p>
            <w:pPr>
              <w:pStyle w:val="Compact"/>
              <w:spacing w:line="240" w:lineRule="auto"/>
            </w:pPr>
            <w:r>
              <w:rPr>
                <w:sz w:val="18"/>
              </w:rPr>
              <w:t xml:space="preserve">H70</w:t>
            </w:r>
          </w:p>
        </w:tc>
      </w:tr>
      <w:tr>
        <w:tc>
          <w:tcPr/>
          <w:p>
            <w:pPr>
              <w:pStyle w:val="Compact"/>
              <w:spacing w:line="240" w:lineRule="auto"/>
            </w:pPr>
          </w:p>
        </w:tc>
        <w:tc>
          <w:tcPr/>
          <w:p>
            <w:pPr>
              <w:pStyle w:val="Compact"/>
              <w:spacing w:line="240" w:lineRule="auto"/>
            </w:pPr>
            <w:r>
              <w:rPr>
                <w:sz w:val="18"/>
              </w:rPr>
              <w:t xml:space="preserve">Asp102</w:t>
            </w:r>
          </w:p>
        </w:tc>
        <w:tc>
          <w:tcPr/>
          <w:p>
            <w:pPr>
              <w:pStyle w:val="Compact"/>
              <w:spacing w:line="240" w:lineRule="auto"/>
            </w:pPr>
            <w:r>
              <w:rPr>
                <w:sz w:val="18"/>
              </w:rPr>
              <w:t xml:space="preserve">D102</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D113</w:t>
            </w:r>
          </w:p>
        </w:tc>
        <w:tc>
          <w:tcPr/>
          <w:p>
            <w:pPr>
              <w:pStyle w:val="Compact"/>
              <w:spacing w:line="240" w:lineRule="auto"/>
            </w:pPr>
            <w:r>
              <w:rPr>
                <w:sz w:val="18"/>
              </w:rPr>
              <w:t xml:space="preserve">D116</w:t>
            </w:r>
          </w:p>
        </w:tc>
        <w:tc>
          <w:tcPr/>
          <w:p>
            <w:pPr>
              <w:pStyle w:val="Compact"/>
              <w:spacing w:line="240" w:lineRule="auto"/>
            </w:pPr>
            <w:r>
              <w:rPr>
                <w:sz w:val="18"/>
              </w:rPr>
              <w:t xml:space="preserve">D116</w:t>
            </w:r>
          </w:p>
        </w:tc>
        <w:tc>
          <w:tcPr/>
          <w:p>
            <w:pPr>
              <w:pStyle w:val="Compact"/>
              <w:spacing w:line="240" w:lineRule="auto"/>
            </w:pPr>
            <w:r>
              <w:rPr>
                <w:sz w:val="18"/>
              </w:rPr>
              <w:t xml:space="preserve">D115</w:t>
            </w:r>
          </w:p>
        </w:tc>
        <w:tc>
          <w:tcPr/>
          <w:p>
            <w:pPr>
              <w:pStyle w:val="Compact"/>
              <w:spacing w:line="240" w:lineRule="auto"/>
            </w:pPr>
            <w:r>
              <w:rPr>
                <w:sz w:val="18"/>
              </w:rPr>
              <w:t xml:space="preserve">D115</w:t>
            </w:r>
          </w:p>
        </w:tc>
      </w:tr>
      <w:tr>
        <w:tc>
          <w:tcPr/>
          <w:p>
            <w:pPr>
              <w:pStyle w:val="Compact"/>
              <w:spacing w:line="240" w:lineRule="auto"/>
            </w:pPr>
          </w:p>
        </w:tc>
        <w:tc>
          <w:tcPr/>
          <w:p>
            <w:pPr>
              <w:pStyle w:val="Compact"/>
              <w:spacing w:line="240" w:lineRule="auto"/>
            </w:pPr>
            <w:r>
              <w:rPr>
                <w:sz w:val="18"/>
              </w:rPr>
              <w:t xml:space="preserve">Ser195</w:t>
            </w:r>
          </w:p>
        </w:tc>
        <w:tc>
          <w:tcPr/>
          <w:p>
            <w:pPr>
              <w:pStyle w:val="Compact"/>
              <w:spacing w:line="240" w:lineRule="auto"/>
            </w:pPr>
            <w:r>
              <w:rPr>
                <w:sz w:val="18"/>
              </w:rPr>
              <w:t xml:space="preserve">S195</w:t>
            </w:r>
          </w:p>
        </w:tc>
        <w:tc>
          <w:tcPr/>
          <w:p>
            <w:pPr>
              <w:pStyle w:val="Compact"/>
              <w:spacing w:line="240" w:lineRule="auto"/>
            </w:pPr>
            <w:r>
              <w:rPr>
                <w:sz w:val="18"/>
              </w:rPr>
              <w:t xml:space="preserve">S220</w:t>
            </w:r>
          </w:p>
        </w:tc>
        <w:tc>
          <w:tcPr/>
          <w:p>
            <w:pPr>
              <w:pStyle w:val="Compact"/>
              <w:spacing w:line="240" w:lineRule="auto"/>
            </w:pPr>
            <w:r>
              <w:rPr>
                <w:sz w:val="18"/>
              </w:rPr>
              <w:t xml:space="preserve">S211</w:t>
            </w:r>
          </w:p>
        </w:tc>
        <w:tc>
          <w:tcPr/>
          <w:p>
            <w:pPr>
              <w:pStyle w:val="Compact"/>
              <w:spacing w:line="240" w:lineRule="auto"/>
            </w:pPr>
            <w:r>
              <w:rPr>
                <w:sz w:val="18"/>
              </w:rPr>
              <w:t xml:space="preserve">S213</w:t>
            </w:r>
          </w:p>
        </w:tc>
        <w:tc>
          <w:tcPr/>
          <w:p>
            <w:pPr>
              <w:pStyle w:val="Compact"/>
              <w:spacing w:line="240" w:lineRule="auto"/>
            </w:pPr>
            <w:r>
              <w:rPr>
                <w:sz w:val="18"/>
              </w:rPr>
              <w:t xml:space="preserve">S213</w:t>
            </w:r>
          </w:p>
        </w:tc>
        <w:tc>
          <w:tcPr/>
          <w:p>
            <w:pPr>
              <w:pStyle w:val="Compact"/>
              <w:spacing w:line="240" w:lineRule="auto"/>
            </w:pPr>
            <w:r>
              <w:rPr>
                <w:sz w:val="18"/>
              </w:rPr>
              <w:t xml:space="preserve">S212</w:t>
            </w:r>
          </w:p>
        </w:tc>
        <w:tc>
          <w:tcPr/>
          <w:p>
            <w:pPr>
              <w:pStyle w:val="Compact"/>
              <w:spacing w:line="240" w:lineRule="auto"/>
            </w:pPr>
            <w:r>
              <w:rPr>
                <w:sz w:val="18"/>
              </w:rPr>
              <w:t xml:space="preserve">S219</w:t>
            </w:r>
          </w:p>
        </w:tc>
        <w:tc>
          <w:tcPr/>
          <w:p>
            <w:pPr>
              <w:pStyle w:val="Compact"/>
              <w:spacing w:line="240" w:lineRule="auto"/>
            </w:pPr>
            <w:r>
              <w:rPr>
                <w:sz w:val="18"/>
              </w:rPr>
              <w:t xml:space="preserve">S211</w:t>
            </w:r>
          </w:p>
        </w:tc>
        <w:tc>
          <w:tcPr/>
          <w:p>
            <w:pPr>
              <w:pStyle w:val="Compact"/>
              <w:spacing w:line="240" w:lineRule="auto"/>
            </w:pPr>
            <w:r>
              <w:rPr>
                <w:sz w:val="18"/>
              </w:rPr>
              <w:t xml:space="preserve">S217</w:t>
            </w:r>
          </w:p>
        </w:tc>
        <w:tc>
          <w:tcPr/>
          <w:p>
            <w:pPr>
              <w:pStyle w:val="Compact"/>
              <w:spacing w:line="240" w:lineRule="auto"/>
            </w:pPr>
            <w:r>
              <w:rPr>
                <w:sz w:val="18"/>
              </w:rPr>
              <w:t xml:space="preserve">S213</w:t>
            </w:r>
          </w:p>
        </w:tc>
        <w:tc>
          <w:tcPr/>
          <w:p>
            <w:pPr>
              <w:pStyle w:val="Compact"/>
              <w:spacing w:line="240" w:lineRule="auto"/>
            </w:pPr>
            <w:r>
              <w:rPr>
                <w:sz w:val="18"/>
              </w:rPr>
              <w:t xml:space="preserve">S212</w:t>
            </w:r>
          </w:p>
        </w:tc>
      </w:tr>
      <w:tr>
        <w:tc>
          <w:tcPr/>
          <w:p>
            <w:pPr>
              <w:pStyle w:val="Compact"/>
              <w:spacing w:line="240" w:lineRule="auto"/>
            </w:pPr>
            <w:r>
              <w:rPr>
                <w:sz w:val="18"/>
              </w:rPr>
              <w:t xml:space="preserve">Bolsão S1</w:t>
            </w:r>
          </w:p>
        </w:tc>
        <w:tc>
          <w:tcPr/>
          <w:p>
            <w:pPr>
              <w:pStyle w:val="Compact"/>
              <w:spacing w:line="240" w:lineRule="auto"/>
            </w:pPr>
            <w:r>
              <w:rPr>
                <w:sz w:val="18"/>
              </w:rPr>
              <w:t xml:space="preserve">Asp189</w:t>
            </w:r>
          </w:p>
        </w:tc>
        <w:tc>
          <w:tcPr/>
          <w:p>
            <w:pPr>
              <w:pStyle w:val="Compact"/>
              <w:spacing w:line="240" w:lineRule="auto"/>
            </w:pPr>
            <w:r>
              <w:rPr>
                <w:sz w:val="18"/>
              </w:rPr>
              <w:t xml:space="preserve">D189</w:t>
            </w:r>
          </w:p>
        </w:tc>
        <w:tc>
          <w:tcPr/>
          <w:p>
            <w:pPr>
              <w:pStyle w:val="Compact"/>
              <w:spacing w:line="240" w:lineRule="auto"/>
            </w:pPr>
            <w:r>
              <w:rPr>
                <w:sz w:val="18"/>
              </w:rPr>
              <w:t xml:space="preserve">D214</w:t>
            </w:r>
          </w:p>
        </w:tc>
        <w:tc>
          <w:tcPr/>
          <w:p>
            <w:pPr>
              <w:pStyle w:val="Compact"/>
              <w:spacing w:line="240" w:lineRule="auto"/>
            </w:pPr>
            <w:r>
              <w:rPr>
                <w:sz w:val="18"/>
              </w:rPr>
              <w:t xml:space="preserve">D205</w:t>
            </w:r>
          </w:p>
        </w:tc>
        <w:tc>
          <w:tcPr/>
          <w:p>
            <w:pPr>
              <w:pStyle w:val="Compact"/>
              <w:spacing w:line="240" w:lineRule="auto"/>
            </w:pPr>
            <w:r>
              <w:rPr>
                <w:sz w:val="18"/>
              </w:rPr>
              <w:t xml:space="preserve">D207</w:t>
            </w:r>
          </w:p>
        </w:tc>
        <w:tc>
          <w:tcPr/>
          <w:p>
            <w:pPr>
              <w:pStyle w:val="Compact"/>
              <w:spacing w:line="240" w:lineRule="auto"/>
            </w:pPr>
            <w:r>
              <w:rPr>
                <w:sz w:val="18"/>
              </w:rPr>
              <w:t xml:space="preserve">D207</w:t>
            </w:r>
          </w:p>
        </w:tc>
        <w:tc>
          <w:tcPr/>
          <w:p>
            <w:pPr>
              <w:pStyle w:val="Compact"/>
              <w:spacing w:line="240" w:lineRule="auto"/>
            </w:pPr>
            <w:r>
              <w:rPr>
                <w:sz w:val="18"/>
              </w:rPr>
              <w:t xml:space="preserve">D206</w:t>
            </w:r>
          </w:p>
        </w:tc>
        <w:tc>
          <w:tcPr/>
          <w:p>
            <w:pPr>
              <w:pStyle w:val="Compact"/>
              <w:spacing w:line="240" w:lineRule="auto"/>
            </w:pPr>
            <w:r>
              <w:rPr>
                <w:sz w:val="18"/>
              </w:rPr>
              <w:t xml:space="preserve">D213</w:t>
            </w:r>
          </w:p>
        </w:tc>
        <w:tc>
          <w:tcPr/>
          <w:p>
            <w:pPr>
              <w:pStyle w:val="Compact"/>
              <w:spacing w:line="240" w:lineRule="auto"/>
            </w:pPr>
            <w:r>
              <w:rPr>
                <w:sz w:val="18"/>
              </w:rPr>
              <w:t xml:space="preserve">D205</w:t>
            </w:r>
          </w:p>
        </w:tc>
        <w:tc>
          <w:tcPr/>
          <w:p>
            <w:pPr>
              <w:pStyle w:val="Compact"/>
              <w:spacing w:line="240" w:lineRule="auto"/>
            </w:pPr>
            <w:r>
              <w:rPr>
                <w:sz w:val="18"/>
              </w:rPr>
              <w:t xml:space="preserve">D211</w:t>
            </w:r>
          </w:p>
        </w:tc>
        <w:tc>
          <w:tcPr/>
          <w:p>
            <w:pPr>
              <w:pStyle w:val="Compact"/>
              <w:spacing w:line="240" w:lineRule="auto"/>
            </w:pPr>
            <w:r>
              <w:rPr>
                <w:sz w:val="18"/>
              </w:rPr>
              <w:t xml:space="preserve">D207</w:t>
            </w:r>
          </w:p>
        </w:tc>
        <w:tc>
          <w:tcPr/>
          <w:p>
            <w:pPr>
              <w:pStyle w:val="Compact"/>
              <w:spacing w:line="240" w:lineRule="auto"/>
            </w:pPr>
            <w:r>
              <w:rPr>
                <w:sz w:val="18"/>
              </w:rPr>
              <w:t xml:space="preserve">D206</w:t>
            </w:r>
          </w:p>
        </w:tc>
      </w:tr>
      <w:tr>
        <w:tc>
          <w:tcPr/>
          <w:p>
            <w:pPr>
              <w:pStyle w:val="Compact"/>
              <w:spacing w:line="240" w:lineRule="auto"/>
            </w:pPr>
          </w:p>
        </w:tc>
        <w:tc>
          <w:tcPr/>
          <w:p>
            <w:pPr>
              <w:pStyle w:val="Compact"/>
              <w:spacing w:line="240" w:lineRule="auto"/>
            </w:pPr>
            <w:r>
              <w:rPr>
                <w:sz w:val="18"/>
              </w:rPr>
              <w:t xml:space="preserve">Ser190</w:t>
            </w:r>
          </w:p>
        </w:tc>
        <w:tc>
          <w:tcPr/>
          <w:p>
            <w:pPr>
              <w:pStyle w:val="Compact"/>
              <w:spacing w:line="240" w:lineRule="auto"/>
            </w:pPr>
            <w:r>
              <w:rPr>
                <w:sz w:val="18"/>
              </w:rPr>
              <w:t xml:space="preserve">S190</w:t>
            </w:r>
          </w:p>
        </w:tc>
        <w:tc>
          <w:tcPr/>
          <w:p>
            <w:pPr>
              <w:pStyle w:val="Compact"/>
              <w:spacing w:line="240" w:lineRule="auto"/>
            </w:pPr>
            <w:r>
              <w:rPr>
                <w:b/>
                <w:bCs/>
                <w:sz w:val="18"/>
              </w:rPr>
              <w:t xml:space="preserve">A215</w:t>
            </w:r>
          </w:p>
        </w:tc>
        <w:tc>
          <w:tcPr/>
          <w:p>
            <w:pPr>
              <w:pStyle w:val="Compact"/>
              <w:spacing w:line="240" w:lineRule="auto"/>
            </w:pPr>
            <w:r>
              <w:rPr>
                <w:b/>
                <w:bCs/>
                <w:sz w:val="18"/>
              </w:rPr>
              <w:t xml:space="preserve">Q206</w:t>
            </w:r>
          </w:p>
        </w:tc>
        <w:tc>
          <w:tcPr/>
          <w:p>
            <w:pPr>
              <w:pStyle w:val="Compact"/>
              <w:spacing w:line="240" w:lineRule="auto"/>
            </w:pPr>
            <w:r>
              <w:rPr>
                <w:b/>
                <w:bCs/>
                <w:sz w:val="18"/>
              </w:rPr>
              <w:t xml:space="preserve">Q208</w:t>
            </w:r>
          </w:p>
        </w:tc>
        <w:tc>
          <w:tcPr/>
          <w:p>
            <w:pPr>
              <w:pStyle w:val="Compact"/>
              <w:spacing w:line="240" w:lineRule="auto"/>
            </w:pPr>
            <w:r>
              <w:rPr>
                <w:b/>
                <w:bCs/>
                <w:sz w:val="18"/>
              </w:rPr>
              <w:t xml:space="preserve">Q208</w:t>
            </w:r>
          </w:p>
        </w:tc>
        <w:tc>
          <w:tcPr/>
          <w:p>
            <w:pPr>
              <w:pStyle w:val="Compact"/>
              <w:spacing w:line="240" w:lineRule="auto"/>
            </w:pPr>
            <w:r>
              <w:rPr>
                <w:b/>
                <w:bCs/>
                <w:sz w:val="18"/>
              </w:rPr>
              <w:t xml:space="preserve">Q207</w:t>
            </w:r>
          </w:p>
        </w:tc>
        <w:tc>
          <w:tcPr/>
          <w:p>
            <w:pPr>
              <w:pStyle w:val="Compact"/>
              <w:spacing w:line="240" w:lineRule="auto"/>
            </w:pPr>
            <w:r>
              <w:rPr>
                <w:b/>
                <w:bCs/>
                <w:sz w:val="18"/>
              </w:rPr>
              <w:t xml:space="preserve">A214</w:t>
            </w:r>
          </w:p>
        </w:tc>
        <w:tc>
          <w:tcPr/>
          <w:p>
            <w:pPr>
              <w:pStyle w:val="Compact"/>
              <w:spacing w:line="240" w:lineRule="auto"/>
            </w:pPr>
            <w:r>
              <w:rPr>
                <w:b/>
                <w:bCs/>
                <w:sz w:val="18"/>
              </w:rPr>
              <w:t xml:space="preserve">A206</w:t>
            </w:r>
          </w:p>
        </w:tc>
        <w:tc>
          <w:tcPr/>
          <w:p>
            <w:pPr>
              <w:pStyle w:val="Compact"/>
              <w:spacing w:line="240" w:lineRule="auto"/>
            </w:pPr>
            <w:r>
              <w:rPr>
                <w:b/>
                <w:bCs/>
                <w:sz w:val="18"/>
              </w:rPr>
              <w:t xml:space="preserve">Q212</w:t>
            </w:r>
          </w:p>
        </w:tc>
        <w:tc>
          <w:tcPr/>
          <w:p>
            <w:pPr>
              <w:pStyle w:val="Compact"/>
              <w:spacing w:line="240" w:lineRule="auto"/>
            </w:pPr>
            <w:r>
              <w:rPr>
                <w:b/>
                <w:bCs/>
                <w:sz w:val="18"/>
              </w:rPr>
              <w:t xml:space="preserve">Q208</w:t>
            </w:r>
          </w:p>
        </w:tc>
        <w:tc>
          <w:tcPr/>
          <w:p>
            <w:pPr>
              <w:pStyle w:val="Compact"/>
              <w:spacing w:line="240" w:lineRule="auto"/>
            </w:pPr>
            <w:r>
              <w:rPr>
                <w:sz w:val="18"/>
              </w:rPr>
              <w:t xml:space="preserve">S207</w:t>
            </w:r>
          </w:p>
        </w:tc>
      </w:tr>
      <w:tr>
        <w:tc>
          <w:tcPr/>
          <w:p>
            <w:pPr>
              <w:pStyle w:val="Compact"/>
              <w:spacing w:line="240" w:lineRule="auto"/>
            </w:pPr>
          </w:p>
        </w:tc>
        <w:tc>
          <w:tcPr/>
          <w:p>
            <w:pPr>
              <w:pStyle w:val="Compact"/>
              <w:spacing w:line="240" w:lineRule="auto"/>
            </w:pPr>
            <w:r>
              <w:rPr>
                <w:sz w:val="18"/>
              </w:rPr>
              <w:t xml:space="preserve">Cys191</w:t>
            </w:r>
          </w:p>
        </w:tc>
        <w:tc>
          <w:tcPr/>
          <w:p>
            <w:pPr>
              <w:pStyle w:val="Compact"/>
              <w:spacing w:line="240" w:lineRule="auto"/>
            </w:pPr>
            <w:r>
              <w:rPr>
                <w:sz w:val="18"/>
              </w:rPr>
              <w:t xml:space="preserve">C191</w:t>
            </w:r>
          </w:p>
        </w:tc>
        <w:tc>
          <w:tcPr/>
          <w:p>
            <w:pPr>
              <w:pStyle w:val="Compact"/>
              <w:spacing w:line="240" w:lineRule="auto"/>
            </w:pPr>
            <w:r>
              <w:rPr>
                <w:sz w:val="18"/>
              </w:rPr>
              <w:t xml:space="preserve">C216</w:t>
            </w:r>
          </w:p>
        </w:tc>
        <w:tc>
          <w:tcPr/>
          <w:p>
            <w:pPr>
              <w:pStyle w:val="Compact"/>
              <w:spacing w:line="240" w:lineRule="auto"/>
            </w:pPr>
            <w:r>
              <w:rPr>
                <w:sz w:val="18"/>
              </w:rPr>
              <w:t xml:space="preserve">C207</w:t>
            </w:r>
          </w:p>
        </w:tc>
        <w:tc>
          <w:tcPr/>
          <w:p>
            <w:pPr>
              <w:pStyle w:val="Compact"/>
              <w:spacing w:line="240" w:lineRule="auto"/>
            </w:pPr>
            <w:r>
              <w:rPr>
                <w:sz w:val="18"/>
              </w:rPr>
              <w:t xml:space="preserve">C209</w:t>
            </w:r>
          </w:p>
        </w:tc>
        <w:tc>
          <w:tcPr/>
          <w:p>
            <w:pPr>
              <w:pStyle w:val="Compact"/>
              <w:spacing w:line="240" w:lineRule="auto"/>
            </w:pPr>
            <w:r>
              <w:rPr>
                <w:sz w:val="18"/>
              </w:rPr>
              <w:t xml:space="preserve">C209</w:t>
            </w:r>
          </w:p>
        </w:tc>
        <w:tc>
          <w:tcPr/>
          <w:p>
            <w:pPr>
              <w:pStyle w:val="Compact"/>
              <w:spacing w:line="240" w:lineRule="auto"/>
            </w:pPr>
            <w:r>
              <w:rPr>
                <w:sz w:val="18"/>
              </w:rPr>
              <w:t xml:space="preserve">C208</w:t>
            </w:r>
          </w:p>
        </w:tc>
        <w:tc>
          <w:tcPr/>
          <w:p>
            <w:pPr>
              <w:pStyle w:val="Compact"/>
              <w:spacing w:line="240" w:lineRule="auto"/>
            </w:pPr>
            <w:r>
              <w:rPr>
                <w:sz w:val="18"/>
              </w:rPr>
              <w:t xml:space="preserve">C215</w:t>
            </w:r>
          </w:p>
        </w:tc>
        <w:tc>
          <w:tcPr/>
          <w:p>
            <w:pPr>
              <w:pStyle w:val="Compact"/>
              <w:spacing w:line="240" w:lineRule="auto"/>
            </w:pPr>
            <w:r>
              <w:rPr>
                <w:sz w:val="18"/>
              </w:rPr>
              <w:t xml:space="preserve">C207</w:t>
            </w:r>
          </w:p>
        </w:tc>
        <w:tc>
          <w:tcPr/>
          <w:p>
            <w:pPr>
              <w:pStyle w:val="Compact"/>
              <w:spacing w:line="240" w:lineRule="auto"/>
            </w:pPr>
            <w:r>
              <w:rPr>
                <w:sz w:val="18"/>
              </w:rPr>
              <w:t xml:space="preserve">C213</w:t>
            </w:r>
          </w:p>
        </w:tc>
        <w:tc>
          <w:tcPr/>
          <w:p>
            <w:pPr>
              <w:pStyle w:val="Compact"/>
              <w:spacing w:line="240" w:lineRule="auto"/>
            </w:pPr>
            <w:r>
              <w:rPr>
                <w:sz w:val="18"/>
              </w:rPr>
              <w:t xml:space="preserve">C209</w:t>
            </w:r>
          </w:p>
        </w:tc>
        <w:tc>
          <w:tcPr/>
          <w:p>
            <w:pPr>
              <w:pStyle w:val="Compact"/>
              <w:spacing w:line="240" w:lineRule="auto"/>
            </w:pPr>
            <w:r>
              <w:rPr>
                <w:sz w:val="18"/>
              </w:rPr>
              <w:t xml:space="preserve">C208</w:t>
            </w:r>
          </w:p>
        </w:tc>
      </w:tr>
      <w:tr>
        <w:tc>
          <w:tcPr/>
          <w:p>
            <w:pPr>
              <w:pStyle w:val="Compact"/>
              <w:spacing w:line="240" w:lineRule="auto"/>
            </w:pPr>
          </w:p>
        </w:tc>
        <w:tc>
          <w:tcPr/>
          <w:p>
            <w:pPr>
              <w:pStyle w:val="Compact"/>
              <w:spacing w:line="240" w:lineRule="auto"/>
            </w:pPr>
            <w:r>
              <w:rPr>
                <w:sz w:val="18"/>
              </w:rPr>
              <w:t xml:space="preserve">Gln192</w:t>
            </w:r>
          </w:p>
        </w:tc>
        <w:tc>
          <w:tcPr/>
          <w:p>
            <w:pPr>
              <w:pStyle w:val="Compact"/>
              <w:spacing w:line="240" w:lineRule="auto"/>
            </w:pPr>
            <w:r>
              <w:rPr>
                <w:sz w:val="18"/>
              </w:rPr>
              <w:t xml:space="preserve">Q192</w:t>
            </w:r>
          </w:p>
        </w:tc>
        <w:tc>
          <w:tcPr/>
          <w:p>
            <w:pPr>
              <w:pStyle w:val="Compact"/>
              <w:spacing w:line="240" w:lineRule="auto"/>
            </w:pPr>
            <w:r>
              <w:rPr>
                <w:sz w:val="18"/>
              </w:rPr>
              <w:t xml:space="preserve">Q217</w:t>
            </w:r>
          </w:p>
        </w:tc>
        <w:tc>
          <w:tcPr/>
          <w:p>
            <w:pPr>
              <w:pStyle w:val="Compact"/>
              <w:spacing w:line="240" w:lineRule="auto"/>
            </w:pPr>
            <w:r>
              <w:rPr>
                <w:sz w:val="18"/>
              </w:rPr>
              <w:t xml:space="preserve">Q208</w:t>
            </w:r>
          </w:p>
        </w:tc>
        <w:tc>
          <w:tcPr/>
          <w:p>
            <w:pPr>
              <w:pStyle w:val="Compact"/>
              <w:spacing w:line="240" w:lineRule="auto"/>
            </w:pPr>
            <w:r>
              <w:rPr>
                <w:sz w:val="18"/>
              </w:rPr>
              <w:t xml:space="preserve">Q210</w:t>
            </w:r>
          </w:p>
        </w:tc>
        <w:tc>
          <w:tcPr/>
          <w:p>
            <w:pPr>
              <w:pStyle w:val="Compact"/>
              <w:spacing w:line="240" w:lineRule="auto"/>
            </w:pPr>
            <w:r>
              <w:rPr>
                <w:sz w:val="18"/>
              </w:rPr>
              <w:t xml:space="preserve">Q210</w:t>
            </w:r>
          </w:p>
        </w:tc>
        <w:tc>
          <w:tcPr/>
          <w:p>
            <w:pPr>
              <w:pStyle w:val="Compact"/>
              <w:spacing w:line="240" w:lineRule="auto"/>
            </w:pPr>
            <w:r>
              <w:rPr>
                <w:sz w:val="18"/>
              </w:rPr>
              <w:t xml:space="preserve">Q209</w:t>
            </w:r>
          </w:p>
        </w:tc>
        <w:tc>
          <w:tcPr/>
          <w:p>
            <w:pPr>
              <w:pStyle w:val="Compact"/>
              <w:spacing w:line="240" w:lineRule="auto"/>
            </w:pPr>
            <w:r>
              <w:rPr>
                <w:sz w:val="18"/>
              </w:rPr>
              <w:t xml:space="preserve">Q216</w:t>
            </w:r>
          </w:p>
        </w:tc>
        <w:tc>
          <w:tcPr/>
          <w:p>
            <w:pPr>
              <w:pStyle w:val="Compact"/>
              <w:spacing w:line="240" w:lineRule="auto"/>
            </w:pPr>
            <w:r>
              <w:rPr>
                <w:sz w:val="18"/>
              </w:rPr>
              <w:t xml:space="preserve">Q208</w:t>
            </w:r>
          </w:p>
        </w:tc>
        <w:tc>
          <w:tcPr/>
          <w:p>
            <w:pPr>
              <w:pStyle w:val="Compact"/>
              <w:spacing w:line="240" w:lineRule="auto"/>
            </w:pPr>
            <w:r>
              <w:rPr>
                <w:sz w:val="18"/>
              </w:rPr>
              <w:t xml:space="preserve">Q214</w:t>
            </w:r>
          </w:p>
        </w:tc>
        <w:tc>
          <w:tcPr/>
          <w:p>
            <w:pPr>
              <w:pStyle w:val="Compact"/>
              <w:spacing w:line="240" w:lineRule="auto"/>
            </w:pPr>
            <w:r>
              <w:rPr>
                <w:sz w:val="18"/>
              </w:rPr>
              <w:t xml:space="preserve">Q210</w:t>
            </w:r>
          </w:p>
        </w:tc>
        <w:tc>
          <w:tcPr/>
          <w:p>
            <w:pPr>
              <w:pStyle w:val="Compact"/>
              <w:spacing w:line="240" w:lineRule="auto"/>
            </w:pPr>
            <w:r>
              <w:rPr>
                <w:b/>
                <w:bCs/>
                <w:sz w:val="18"/>
              </w:rPr>
              <w:t xml:space="preserve">T209</w:t>
            </w:r>
          </w:p>
        </w:tc>
      </w:tr>
      <w:tr>
        <w:tc>
          <w:tcPr/>
          <w:p>
            <w:pPr>
              <w:pStyle w:val="Compact"/>
              <w:spacing w:line="240" w:lineRule="auto"/>
            </w:pPr>
          </w:p>
        </w:tc>
        <w:tc>
          <w:tcPr/>
          <w:p>
            <w:pPr>
              <w:pStyle w:val="Compact"/>
              <w:spacing w:line="240" w:lineRule="auto"/>
            </w:pPr>
            <w:r>
              <w:rPr>
                <w:sz w:val="18"/>
              </w:rPr>
              <w:t xml:space="preserve">Gly193</w:t>
            </w:r>
          </w:p>
        </w:tc>
        <w:tc>
          <w:tcPr/>
          <w:p>
            <w:pPr>
              <w:pStyle w:val="Compact"/>
              <w:spacing w:line="240" w:lineRule="auto"/>
            </w:pPr>
            <w:r>
              <w:rPr>
                <w:sz w:val="18"/>
              </w:rPr>
              <w:t xml:space="preserve">G193</w:t>
            </w:r>
          </w:p>
        </w:tc>
        <w:tc>
          <w:tcPr/>
          <w:p>
            <w:pPr>
              <w:pStyle w:val="Compact"/>
              <w:spacing w:line="240" w:lineRule="auto"/>
            </w:pPr>
            <w:r>
              <w:rPr>
                <w:sz w:val="18"/>
              </w:rPr>
              <w:t xml:space="preserve">G218</w:t>
            </w:r>
          </w:p>
        </w:tc>
        <w:tc>
          <w:tcPr/>
          <w:p>
            <w:pPr>
              <w:pStyle w:val="Compact"/>
              <w:spacing w:line="240" w:lineRule="auto"/>
            </w:pPr>
            <w:r>
              <w:rPr>
                <w:sz w:val="18"/>
              </w:rPr>
              <w:t xml:space="preserve">G209</w:t>
            </w:r>
          </w:p>
        </w:tc>
        <w:tc>
          <w:tcPr/>
          <w:p>
            <w:pPr>
              <w:pStyle w:val="Compact"/>
              <w:spacing w:line="240" w:lineRule="auto"/>
            </w:pPr>
            <w:r>
              <w:rPr>
                <w:sz w:val="18"/>
              </w:rPr>
              <w:t xml:space="preserve">G211</w:t>
            </w:r>
          </w:p>
        </w:tc>
        <w:tc>
          <w:tcPr/>
          <w:p>
            <w:pPr>
              <w:pStyle w:val="Compact"/>
              <w:spacing w:line="240" w:lineRule="auto"/>
            </w:pPr>
            <w:r>
              <w:rPr>
                <w:sz w:val="18"/>
              </w:rPr>
              <w:t xml:space="preserve">G211</w:t>
            </w:r>
          </w:p>
        </w:tc>
        <w:tc>
          <w:tcPr/>
          <w:p>
            <w:pPr>
              <w:pStyle w:val="Compact"/>
              <w:spacing w:line="240" w:lineRule="auto"/>
            </w:pPr>
            <w:r>
              <w:rPr>
                <w:sz w:val="18"/>
              </w:rPr>
              <w:t xml:space="preserve">G210</w:t>
            </w:r>
          </w:p>
        </w:tc>
        <w:tc>
          <w:tcPr/>
          <w:p>
            <w:pPr>
              <w:pStyle w:val="Compact"/>
              <w:spacing w:line="240" w:lineRule="auto"/>
            </w:pPr>
            <w:r>
              <w:rPr>
                <w:sz w:val="18"/>
              </w:rPr>
              <w:t xml:space="preserve">G217</w:t>
            </w:r>
          </w:p>
        </w:tc>
        <w:tc>
          <w:tcPr/>
          <w:p>
            <w:pPr>
              <w:pStyle w:val="Compact"/>
              <w:spacing w:line="240" w:lineRule="auto"/>
            </w:pPr>
            <w:r>
              <w:rPr>
                <w:sz w:val="18"/>
              </w:rPr>
              <w:t xml:space="preserve">G209</w:t>
            </w:r>
          </w:p>
        </w:tc>
        <w:tc>
          <w:tcPr/>
          <w:p>
            <w:pPr>
              <w:pStyle w:val="Compact"/>
              <w:spacing w:line="240" w:lineRule="auto"/>
            </w:pPr>
            <w:r>
              <w:rPr>
                <w:sz w:val="18"/>
              </w:rPr>
              <w:t xml:space="preserve">G215</w:t>
            </w:r>
          </w:p>
        </w:tc>
        <w:tc>
          <w:tcPr/>
          <w:p>
            <w:pPr>
              <w:pStyle w:val="Compact"/>
              <w:spacing w:line="240" w:lineRule="auto"/>
            </w:pPr>
            <w:r>
              <w:rPr>
                <w:sz w:val="18"/>
              </w:rPr>
              <w:t xml:space="preserve">G211</w:t>
            </w:r>
          </w:p>
        </w:tc>
        <w:tc>
          <w:tcPr/>
          <w:p>
            <w:pPr>
              <w:pStyle w:val="Compact"/>
              <w:spacing w:line="240" w:lineRule="auto"/>
            </w:pPr>
            <w:r>
              <w:rPr>
                <w:sz w:val="18"/>
              </w:rPr>
              <w:t xml:space="preserve">G210</w:t>
            </w:r>
          </w:p>
        </w:tc>
      </w:tr>
      <w:tr>
        <w:tc>
          <w:tcPr/>
          <w:p>
            <w:pPr>
              <w:pStyle w:val="Compact"/>
              <w:spacing w:line="240" w:lineRule="auto"/>
            </w:pPr>
          </w:p>
        </w:tc>
        <w:tc>
          <w:tcPr/>
          <w:p>
            <w:pPr>
              <w:pStyle w:val="Compact"/>
              <w:spacing w:line="240" w:lineRule="auto"/>
            </w:pPr>
            <w:r>
              <w:rPr>
                <w:sz w:val="18"/>
              </w:rPr>
              <w:t xml:space="preserve">Asp194</w:t>
            </w:r>
          </w:p>
        </w:tc>
        <w:tc>
          <w:tcPr/>
          <w:p>
            <w:pPr>
              <w:pStyle w:val="Compact"/>
              <w:spacing w:line="240" w:lineRule="auto"/>
            </w:pPr>
            <w:r>
              <w:rPr>
                <w:sz w:val="18"/>
              </w:rPr>
              <w:t xml:space="preserve">D194</w:t>
            </w:r>
          </w:p>
        </w:tc>
        <w:tc>
          <w:tcPr/>
          <w:p>
            <w:pPr>
              <w:pStyle w:val="Compact"/>
              <w:spacing w:line="240" w:lineRule="auto"/>
            </w:pPr>
            <w:r>
              <w:rPr>
                <w:sz w:val="18"/>
              </w:rPr>
              <w:t xml:space="preserve">D219</w:t>
            </w:r>
          </w:p>
        </w:tc>
        <w:tc>
          <w:tcPr/>
          <w:p>
            <w:pPr>
              <w:pStyle w:val="Compact"/>
              <w:spacing w:line="240" w:lineRule="auto"/>
            </w:pPr>
            <w:r>
              <w:rPr>
                <w:sz w:val="18"/>
              </w:rPr>
              <w:t xml:space="preserve">D210</w:t>
            </w:r>
          </w:p>
        </w:tc>
        <w:tc>
          <w:tcPr/>
          <w:p>
            <w:pPr>
              <w:pStyle w:val="Compact"/>
              <w:spacing w:line="240" w:lineRule="auto"/>
            </w:pPr>
            <w:r>
              <w:rPr>
                <w:sz w:val="18"/>
              </w:rPr>
              <w:t xml:space="preserve">D212</w:t>
            </w:r>
          </w:p>
        </w:tc>
        <w:tc>
          <w:tcPr/>
          <w:p>
            <w:pPr>
              <w:pStyle w:val="Compact"/>
              <w:spacing w:line="240" w:lineRule="auto"/>
            </w:pPr>
            <w:r>
              <w:rPr>
                <w:sz w:val="18"/>
              </w:rPr>
              <w:t xml:space="preserve">D212</w:t>
            </w:r>
          </w:p>
        </w:tc>
        <w:tc>
          <w:tcPr/>
          <w:p>
            <w:pPr>
              <w:pStyle w:val="Compact"/>
              <w:spacing w:line="240" w:lineRule="auto"/>
            </w:pPr>
            <w:r>
              <w:rPr>
                <w:sz w:val="18"/>
              </w:rPr>
              <w:t xml:space="preserve">D211</w:t>
            </w:r>
          </w:p>
        </w:tc>
        <w:tc>
          <w:tcPr/>
          <w:p>
            <w:pPr>
              <w:pStyle w:val="Compact"/>
              <w:spacing w:line="240" w:lineRule="auto"/>
            </w:pPr>
            <w:r>
              <w:rPr>
                <w:sz w:val="18"/>
              </w:rPr>
              <w:t xml:space="preserve">D218</w:t>
            </w:r>
          </w:p>
        </w:tc>
        <w:tc>
          <w:tcPr/>
          <w:p>
            <w:pPr>
              <w:pStyle w:val="Compact"/>
              <w:spacing w:line="240" w:lineRule="auto"/>
            </w:pPr>
            <w:r>
              <w:rPr>
                <w:sz w:val="18"/>
              </w:rPr>
              <w:t xml:space="preserve">D210</w:t>
            </w:r>
          </w:p>
        </w:tc>
        <w:tc>
          <w:tcPr/>
          <w:p>
            <w:pPr>
              <w:pStyle w:val="Compact"/>
              <w:spacing w:line="240" w:lineRule="auto"/>
            </w:pPr>
            <w:r>
              <w:rPr>
                <w:sz w:val="18"/>
              </w:rPr>
              <w:t xml:space="preserve">D216</w:t>
            </w:r>
          </w:p>
        </w:tc>
        <w:tc>
          <w:tcPr/>
          <w:p>
            <w:pPr>
              <w:pStyle w:val="Compact"/>
              <w:spacing w:line="240" w:lineRule="auto"/>
            </w:pPr>
            <w:r>
              <w:rPr>
                <w:sz w:val="18"/>
              </w:rPr>
              <w:t xml:space="preserve">D212</w:t>
            </w:r>
          </w:p>
        </w:tc>
        <w:tc>
          <w:tcPr/>
          <w:p>
            <w:pPr>
              <w:pStyle w:val="Compact"/>
              <w:spacing w:line="240" w:lineRule="auto"/>
            </w:pPr>
            <w:r>
              <w:rPr>
                <w:sz w:val="18"/>
              </w:rPr>
              <w:t xml:space="preserve">D211</w:t>
            </w:r>
          </w:p>
        </w:tc>
      </w:tr>
      <w:tr>
        <w:tc>
          <w:tcPr/>
          <w:p>
            <w:pPr>
              <w:pStyle w:val="Compact"/>
              <w:spacing w:line="240" w:lineRule="auto"/>
            </w:pPr>
          </w:p>
        </w:tc>
        <w:tc>
          <w:tcPr/>
          <w:p>
            <w:pPr>
              <w:pStyle w:val="Compact"/>
              <w:spacing w:line="240" w:lineRule="auto"/>
            </w:pPr>
            <w:r>
              <w:rPr>
                <w:sz w:val="18"/>
              </w:rPr>
              <w:t xml:space="preserve">Val213</w:t>
            </w:r>
          </w:p>
        </w:tc>
        <w:tc>
          <w:tcPr/>
          <w:p>
            <w:pPr>
              <w:pStyle w:val="Compact"/>
              <w:spacing w:line="240" w:lineRule="auto"/>
            </w:pPr>
            <w:r>
              <w:rPr>
                <w:sz w:val="18"/>
              </w:rPr>
              <w:t xml:space="preserve">V213</w:t>
            </w:r>
          </w:p>
        </w:tc>
        <w:tc>
          <w:tcPr/>
          <w:p>
            <w:pPr>
              <w:pStyle w:val="Compact"/>
              <w:spacing w:line="240" w:lineRule="auto"/>
            </w:pPr>
            <w:r>
              <w:rPr>
                <w:b/>
                <w:bCs/>
                <w:sz w:val="18"/>
              </w:rPr>
              <w:t xml:space="preserve">T235</w:t>
            </w:r>
          </w:p>
        </w:tc>
        <w:tc>
          <w:tcPr/>
          <w:p>
            <w:pPr>
              <w:pStyle w:val="Compact"/>
              <w:spacing w:line="240" w:lineRule="auto"/>
            </w:pPr>
            <w:r>
              <w:rPr>
                <w:b/>
                <w:bCs/>
                <w:sz w:val="18"/>
              </w:rPr>
              <w:t xml:space="preserve">C225</w:t>
            </w:r>
          </w:p>
        </w:tc>
        <w:tc>
          <w:tcPr/>
          <w:p>
            <w:pPr>
              <w:pStyle w:val="Compact"/>
              <w:spacing w:line="240" w:lineRule="auto"/>
            </w:pPr>
            <w:r>
              <w:rPr>
                <w:b/>
                <w:bCs/>
                <w:sz w:val="18"/>
              </w:rPr>
              <w:t xml:space="preserve">C227</w:t>
            </w:r>
          </w:p>
        </w:tc>
        <w:tc>
          <w:tcPr/>
          <w:p>
            <w:pPr>
              <w:pStyle w:val="Compact"/>
              <w:spacing w:line="240" w:lineRule="auto"/>
            </w:pPr>
            <w:r>
              <w:rPr>
                <w:b/>
                <w:bCs/>
                <w:sz w:val="18"/>
              </w:rPr>
              <w:t xml:space="preserve">C227</w:t>
            </w:r>
          </w:p>
        </w:tc>
        <w:tc>
          <w:tcPr/>
          <w:p>
            <w:pPr>
              <w:pStyle w:val="Compact"/>
              <w:spacing w:line="240" w:lineRule="auto"/>
            </w:pPr>
            <w:r>
              <w:rPr>
                <w:b/>
                <w:bCs/>
                <w:sz w:val="18"/>
              </w:rPr>
              <w:t xml:space="preserve">C226</w:t>
            </w:r>
          </w:p>
        </w:tc>
        <w:tc>
          <w:tcPr/>
          <w:p>
            <w:pPr>
              <w:pStyle w:val="Compact"/>
              <w:spacing w:line="240" w:lineRule="auto"/>
            </w:pPr>
            <w:r>
              <w:rPr>
                <w:sz w:val="18"/>
              </w:rPr>
              <w:t xml:space="preserve">V234</w:t>
            </w:r>
          </w:p>
        </w:tc>
        <w:tc>
          <w:tcPr/>
          <w:p>
            <w:pPr>
              <w:pStyle w:val="Compact"/>
              <w:spacing w:line="240" w:lineRule="auto"/>
            </w:pPr>
            <w:r>
              <w:rPr>
                <w:sz w:val="18"/>
              </w:rPr>
              <w:t xml:space="preserve">V225</w:t>
            </w:r>
          </w:p>
        </w:tc>
        <w:tc>
          <w:tcPr/>
          <w:p>
            <w:pPr>
              <w:pStyle w:val="Compact"/>
              <w:spacing w:line="240" w:lineRule="auto"/>
            </w:pPr>
            <w:r>
              <w:rPr>
                <w:b/>
                <w:bCs/>
                <w:sz w:val="18"/>
              </w:rPr>
              <w:t xml:space="preserve">C231</w:t>
            </w:r>
          </w:p>
        </w:tc>
        <w:tc>
          <w:tcPr/>
          <w:p>
            <w:pPr>
              <w:pStyle w:val="Compact"/>
              <w:spacing w:line="240" w:lineRule="auto"/>
            </w:pPr>
            <w:r>
              <w:rPr>
                <w:b/>
                <w:bCs/>
                <w:sz w:val="18"/>
              </w:rPr>
              <w:t xml:space="preserve">C227</w:t>
            </w:r>
          </w:p>
        </w:tc>
        <w:tc>
          <w:tcPr/>
          <w:p>
            <w:pPr>
              <w:pStyle w:val="Compact"/>
              <w:spacing w:line="240" w:lineRule="auto"/>
            </w:pPr>
            <w:r>
              <w:rPr>
                <w:b/>
                <w:bCs/>
                <w:sz w:val="18"/>
              </w:rPr>
              <w:t xml:space="preserve">S226</w:t>
            </w:r>
          </w:p>
        </w:tc>
      </w:tr>
      <w:tr>
        <w:tc>
          <w:tcPr/>
          <w:p>
            <w:pPr>
              <w:pStyle w:val="Compact"/>
              <w:spacing w:line="240" w:lineRule="auto"/>
            </w:pPr>
          </w:p>
        </w:tc>
        <w:tc>
          <w:tcPr/>
          <w:p>
            <w:pPr>
              <w:pStyle w:val="Compact"/>
              <w:spacing w:line="240" w:lineRule="auto"/>
            </w:pPr>
            <w:r>
              <w:rPr>
                <w:sz w:val="18"/>
              </w:rPr>
              <w:t xml:space="preserve">Ser214</w:t>
            </w:r>
          </w:p>
        </w:tc>
        <w:tc>
          <w:tcPr/>
          <w:p>
            <w:pPr>
              <w:pStyle w:val="Compact"/>
              <w:spacing w:line="240" w:lineRule="auto"/>
            </w:pPr>
            <w:r>
              <w:rPr>
                <w:sz w:val="18"/>
              </w:rPr>
              <w:t xml:space="preserve">S214</w:t>
            </w:r>
          </w:p>
        </w:tc>
        <w:tc>
          <w:tcPr/>
          <w:p>
            <w:pPr>
              <w:pStyle w:val="Compact"/>
              <w:spacing w:line="240" w:lineRule="auto"/>
            </w:pPr>
            <w:r>
              <w:rPr>
                <w:sz w:val="18"/>
              </w:rPr>
              <w:t xml:space="preserve">S236</w:t>
            </w:r>
          </w:p>
        </w:tc>
        <w:tc>
          <w:tcPr/>
          <w:p>
            <w:pPr>
              <w:pStyle w:val="Compact"/>
              <w:spacing w:line="240" w:lineRule="auto"/>
            </w:pPr>
            <w:r>
              <w:rPr>
                <w:sz w:val="18"/>
              </w:rPr>
              <w:t xml:space="preserve">S226</w:t>
            </w:r>
          </w:p>
        </w:tc>
        <w:tc>
          <w:tcPr/>
          <w:p>
            <w:pPr>
              <w:pStyle w:val="Compact"/>
              <w:spacing w:line="240" w:lineRule="auto"/>
            </w:pPr>
            <w:r>
              <w:rPr>
                <w:sz w:val="18"/>
              </w:rPr>
              <w:t xml:space="preserve">S228</w:t>
            </w:r>
          </w:p>
        </w:tc>
        <w:tc>
          <w:tcPr/>
          <w:p>
            <w:pPr>
              <w:pStyle w:val="Compact"/>
              <w:spacing w:line="240" w:lineRule="auto"/>
            </w:pPr>
            <w:r>
              <w:rPr>
                <w:sz w:val="18"/>
              </w:rPr>
              <w:t xml:space="preserve">S228</w:t>
            </w:r>
          </w:p>
        </w:tc>
        <w:tc>
          <w:tcPr/>
          <w:p>
            <w:pPr>
              <w:pStyle w:val="Compact"/>
              <w:spacing w:line="240" w:lineRule="auto"/>
            </w:pPr>
            <w:r>
              <w:rPr>
                <w:sz w:val="18"/>
              </w:rPr>
              <w:t xml:space="preserve">S227</w:t>
            </w:r>
          </w:p>
        </w:tc>
        <w:tc>
          <w:tcPr/>
          <w:p>
            <w:pPr>
              <w:pStyle w:val="Compact"/>
              <w:spacing w:line="240" w:lineRule="auto"/>
            </w:pPr>
            <w:r>
              <w:rPr>
                <w:sz w:val="18"/>
              </w:rPr>
              <w:t xml:space="preserve">S235</w:t>
            </w:r>
          </w:p>
        </w:tc>
        <w:tc>
          <w:tcPr/>
          <w:p>
            <w:pPr>
              <w:pStyle w:val="Compact"/>
              <w:spacing w:line="240" w:lineRule="auto"/>
            </w:pPr>
            <w:r>
              <w:rPr>
                <w:sz w:val="18"/>
              </w:rPr>
              <w:t xml:space="preserve">S226</w:t>
            </w:r>
          </w:p>
        </w:tc>
        <w:tc>
          <w:tcPr/>
          <w:p>
            <w:pPr>
              <w:pStyle w:val="Compact"/>
              <w:spacing w:line="240" w:lineRule="auto"/>
            </w:pPr>
            <w:r>
              <w:rPr>
                <w:sz w:val="18"/>
              </w:rPr>
              <w:t xml:space="preserve">S232</w:t>
            </w:r>
          </w:p>
        </w:tc>
        <w:tc>
          <w:tcPr/>
          <w:p>
            <w:pPr>
              <w:pStyle w:val="Compact"/>
              <w:spacing w:line="240" w:lineRule="auto"/>
            </w:pPr>
            <w:r>
              <w:rPr>
                <w:sz w:val="18"/>
              </w:rPr>
              <w:t xml:space="preserve">S228</w:t>
            </w:r>
          </w:p>
        </w:tc>
        <w:tc>
          <w:tcPr/>
          <w:p>
            <w:pPr>
              <w:pStyle w:val="Compact"/>
              <w:spacing w:line="240" w:lineRule="auto"/>
            </w:pPr>
            <w:r>
              <w:rPr>
                <w:sz w:val="18"/>
              </w:rPr>
              <w:t xml:space="preserve">S227</w:t>
            </w:r>
          </w:p>
        </w:tc>
      </w:tr>
      <w:tr>
        <w:tc>
          <w:tcPr/>
          <w:p>
            <w:pPr>
              <w:pStyle w:val="Compact"/>
              <w:spacing w:line="240" w:lineRule="auto"/>
            </w:pPr>
          </w:p>
        </w:tc>
        <w:tc>
          <w:tcPr/>
          <w:p>
            <w:pPr>
              <w:pStyle w:val="Compact"/>
              <w:spacing w:line="240" w:lineRule="auto"/>
            </w:pPr>
            <w:r>
              <w:rPr>
                <w:sz w:val="18"/>
              </w:rPr>
              <w:t xml:space="preserve">Trp215</w:t>
            </w:r>
          </w:p>
        </w:tc>
        <w:tc>
          <w:tcPr/>
          <w:p>
            <w:pPr>
              <w:pStyle w:val="Compact"/>
              <w:spacing w:line="240" w:lineRule="auto"/>
            </w:pPr>
            <w:r>
              <w:rPr>
                <w:sz w:val="18"/>
              </w:rPr>
              <w:t xml:space="preserve">W215</w:t>
            </w:r>
          </w:p>
        </w:tc>
        <w:tc>
          <w:tcPr/>
          <w:p>
            <w:pPr>
              <w:pStyle w:val="Compact"/>
              <w:spacing w:line="240" w:lineRule="auto"/>
            </w:pPr>
            <w:r>
              <w:rPr>
                <w:sz w:val="18"/>
              </w:rPr>
              <w:t xml:space="preserve">W237</w:t>
            </w:r>
          </w:p>
        </w:tc>
        <w:tc>
          <w:tcPr/>
          <w:p>
            <w:pPr>
              <w:pStyle w:val="Compact"/>
              <w:spacing w:line="240" w:lineRule="auto"/>
            </w:pPr>
            <w:r>
              <w:rPr>
                <w:b/>
                <w:bCs/>
                <w:sz w:val="18"/>
              </w:rPr>
              <w:t xml:space="preserve">F227</w:t>
            </w:r>
          </w:p>
        </w:tc>
        <w:tc>
          <w:tcPr/>
          <w:p>
            <w:pPr>
              <w:pStyle w:val="Compact"/>
              <w:spacing w:line="240" w:lineRule="auto"/>
            </w:pPr>
            <w:r>
              <w:rPr>
                <w:sz w:val="18"/>
              </w:rPr>
              <w:t xml:space="preserve">W229</w:t>
            </w:r>
          </w:p>
        </w:tc>
        <w:tc>
          <w:tcPr/>
          <w:p>
            <w:pPr>
              <w:pStyle w:val="Compact"/>
              <w:spacing w:line="240" w:lineRule="auto"/>
            </w:pPr>
            <w:r>
              <w:rPr>
                <w:sz w:val="18"/>
              </w:rPr>
              <w:t xml:space="preserve">W229</w:t>
            </w:r>
          </w:p>
        </w:tc>
        <w:tc>
          <w:tcPr/>
          <w:p>
            <w:pPr>
              <w:pStyle w:val="Compact"/>
              <w:spacing w:line="240" w:lineRule="auto"/>
            </w:pPr>
            <w:r>
              <w:rPr>
                <w:sz w:val="18"/>
              </w:rPr>
              <w:t xml:space="preserve">W228</w:t>
            </w:r>
          </w:p>
        </w:tc>
        <w:tc>
          <w:tcPr/>
          <w:p>
            <w:pPr>
              <w:pStyle w:val="Compact"/>
              <w:spacing w:line="240" w:lineRule="auto"/>
            </w:pPr>
            <w:r>
              <w:rPr>
                <w:sz w:val="18"/>
              </w:rPr>
              <w:t xml:space="preserve">W236</w:t>
            </w:r>
          </w:p>
        </w:tc>
        <w:tc>
          <w:tcPr/>
          <w:p>
            <w:pPr>
              <w:pStyle w:val="Compact"/>
              <w:spacing w:line="240" w:lineRule="auto"/>
            </w:pPr>
            <w:r>
              <w:rPr>
                <w:sz w:val="18"/>
              </w:rPr>
              <w:t xml:space="preserve">W227</w:t>
            </w:r>
          </w:p>
        </w:tc>
        <w:tc>
          <w:tcPr/>
          <w:p>
            <w:pPr>
              <w:pStyle w:val="Compact"/>
              <w:spacing w:line="240" w:lineRule="auto"/>
            </w:pPr>
            <w:r>
              <w:rPr>
                <w:b/>
                <w:bCs/>
                <w:sz w:val="18"/>
              </w:rPr>
              <w:t xml:space="preserve">F233</w:t>
            </w:r>
          </w:p>
        </w:tc>
        <w:tc>
          <w:tcPr/>
          <w:p>
            <w:pPr>
              <w:pStyle w:val="Compact"/>
              <w:spacing w:line="240" w:lineRule="auto"/>
            </w:pPr>
            <w:r>
              <w:rPr>
                <w:sz w:val="18"/>
              </w:rPr>
              <w:t xml:space="preserve">W229</w:t>
            </w:r>
          </w:p>
        </w:tc>
        <w:tc>
          <w:tcPr/>
          <w:p>
            <w:pPr>
              <w:pStyle w:val="Compact"/>
              <w:spacing w:line="240" w:lineRule="auto"/>
            </w:pPr>
            <w:r>
              <w:rPr>
                <w:b/>
                <w:bCs/>
                <w:sz w:val="18"/>
              </w:rPr>
              <w:t xml:space="preserve">F228</w:t>
            </w:r>
          </w:p>
        </w:tc>
      </w:tr>
      <w:tr>
        <w:tc>
          <w:tcPr/>
          <w:p>
            <w:pPr>
              <w:pStyle w:val="Compact"/>
              <w:spacing w:line="240" w:lineRule="auto"/>
            </w:pPr>
          </w:p>
        </w:tc>
        <w:tc>
          <w:tcPr/>
          <w:p>
            <w:pPr>
              <w:pStyle w:val="Compact"/>
              <w:spacing w:line="240" w:lineRule="auto"/>
            </w:pPr>
            <w:r>
              <w:rPr>
                <w:sz w:val="18"/>
              </w:rPr>
              <w:t xml:space="preserve">Gly216</w:t>
            </w:r>
          </w:p>
        </w:tc>
        <w:tc>
          <w:tcPr/>
          <w:p>
            <w:pPr>
              <w:pStyle w:val="Compact"/>
              <w:spacing w:line="240" w:lineRule="auto"/>
            </w:pPr>
            <w:r>
              <w:rPr>
                <w:sz w:val="18"/>
              </w:rPr>
              <w:t xml:space="preserve">G216</w:t>
            </w:r>
          </w:p>
        </w:tc>
        <w:tc>
          <w:tcPr/>
          <w:p>
            <w:pPr>
              <w:pStyle w:val="Compact"/>
              <w:spacing w:line="240" w:lineRule="auto"/>
            </w:pPr>
            <w:r>
              <w:rPr>
                <w:sz w:val="18"/>
              </w:rPr>
              <w:t xml:space="preserve">G238</w:t>
            </w:r>
          </w:p>
        </w:tc>
        <w:tc>
          <w:tcPr/>
          <w:p>
            <w:pPr>
              <w:pStyle w:val="Compact"/>
              <w:spacing w:line="240" w:lineRule="auto"/>
            </w:pPr>
            <w:r>
              <w:rPr>
                <w:sz w:val="18"/>
              </w:rPr>
              <w:t xml:space="preserve">G228</w:t>
            </w:r>
          </w:p>
        </w:tc>
        <w:tc>
          <w:tcPr/>
          <w:p>
            <w:pPr>
              <w:pStyle w:val="Compact"/>
              <w:spacing w:line="240" w:lineRule="auto"/>
            </w:pPr>
            <w:r>
              <w:rPr>
                <w:sz w:val="18"/>
              </w:rPr>
              <w:t xml:space="preserve">G230</w:t>
            </w:r>
          </w:p>
        </w:tc>
        <w:tc>
          <w:tcPr/>
          <w:p>
            <w:pPr>
              <w:pStyle w:val="Compact"/>
              <w:spacing w:line="240" w:lineRule="auto"/>
            </w:pPr>
            <w:r>
              <w:rPr>
                <w:sz w:val="18"/>
              </w:rPr>
              <w:t xml:space="preserve">G230</w:t>
            </w:r>
          </w:p>
        </w:tc>
        <w:tc>
          <w:tcPr/>
          <w:p>
            <w:pPr>
              <w:pStyle w:val="Compact"/>
              <w:spacing w:line="240" w:lineRule="auto"/>
            </w:pPr>
            <w:r>
              <w:rPr>
                <w:sz w:val="18"/>
              </w:rPr>
              <w:t xml:space="preserve">G229</w:t>
            </w:r>
          </w:p>
        </w:tc>
        <w:tc>
          <w:tcPr/>
          <w:p>
            <w:pPr>
              <w:pStyle w:val="Compact"/>
              <w:spacing w:line="240" w:lineRule="auto"/>
            </w:pPr>
            <w:r>
              <w:rPr>
                <w:sz w:val="18"/>
              </w:rPr>
              <w:t xml:space="preserve">G237</w:t>
            </w:r>
          </w:p>
        </w:tc>
        <w:tc>
          <w:tcPr/>
          <w:p>
            <w:pPr>
              <w:pStyle w:val="Compact"/>
              <w:spacing w:line="240" w:lineRule="auto"/>
            </w:pPr>
            <w:r>
              <w:rPr>
                <w:sz w:val="18"/>
              </w:rPr>
              <w:t xml:space="preserve">G228</w:t>
            </w:r>
          </w:p>
        </w:tc>
        <w:tc>
          <w:tcPr/>
          <w:p>
            <w:pPr>
              <w:pStyle w:val="Compact"/>
              <w:spacing w:line="240" w:lineRule="auto"/>
            </w:pPr>
            <w:r>
              <w:rPr>
                <w:sz w:val="18"/>
              </w:rPr>
              <w:t xml:space="preserve">G234</w:t>
            </w:r>
          </w:p>
        </w:tc>
        <w:tc>
          <w:tcPr/>
          <w:p>
            <w:pPr>
              <w:pStyle w:val="Compact"/>
              <w:spacing w:line="240" w:lineRule="auto"/>
            </w:pPr>
            <w:r>
              <w:rPr>
                <w:sz w:val="18"/>
              </w:rPr>
              <w:t xml:space="preserve">G230</w:t>
            </w:r>
          </w:p>
        </w:tc>
        <w:tc>
          <w:tcPr/>
          <w:p>
            <w:pPr>
              <w:pStyle w:val="Compact"/>
              <w:spacing w:line="240" w:lineRule="auto"/>
            </w:pPr>
            <w:r>
              <w:rPr>
                <w:sz w:val="18"/>
              </w:rPr>
              <w:t xml:space="preserve">G229</w:t>
            </w:r>
          </w:p>
        </w:tc>
      </w:tr>
      <w:tr>
        <w:tc>
          <w:tcPr/>
          <w:p>
            <w:pPr>
              <w:pStyle w:val="Compact"/>
              <w:spacing w:line="240" w:lineRule="auto"/>
            </w:pPr>
          </w:p>
        </w:tc>
        <w:tc>
          <w:tcPr/>
          <w:p>
            <w:pPr>
              <w:pStyle w:val="Compact"/>
              <w:spacing w:line="240" w:lineRule="auto"/>
            </w:pPr>
            <w:r>
              <w:rPr>
                <w:sz w:val="18"/>
              </w:rPr>
              <w:t xml:space="preserve">Gly219</w:t>
            </w:r>
          </w:p>
        </w:tc>
        <w:tc>
          <w:tcPr/>
          <w:p>
            <w:pPr>
              <w:pStyle w:val="Compact"/>
              <w:spacing w:line="240" w:lineRule="auto"/>
            </w:pPr>
            <w:r>
              <w:rPr>
                <w:sz w:val="18"/>
              </w:rPr>
              <w:t xml:space="preserve">G219</w:t>
            </w:r>
          </w:p>
        </w:tc>
        <w:tc>
          <w:tcPr/>
          <w:p>
            <w:pPr>
              <w:pStyle w:val="Compact"/>
              <w:spacing w:line="240" w:lineRule="auto"/>
            </w:pPr>
            <w:r>
              <w:rPr>
                <w:b/>
                <w:bCs/>
                <w:sz w:val="18"/>
              </w:rPr>
              <w:t xml:space="preserve">E240</w:t>
            </w:r>
          </w:p>
        </w:tc>
        <w:tc>
          <w:tcPr/>
          <w:p>
            <w:pPr>
              <w:pStyle w:val="Compact"/>
              <w:spacing w:line="240" w:lineRule="auto"/>
            </w:pPr>
            <w:r>
              <w:rPr>
                <w:sz w:val="18"/>
              </w:rPr>
              <w:t xml:space="preserve">G230</w:t>
            </w:r>
          </w:p>
        </w:tc>
        <w:tc>
          <w:tcPr/>
          <w:p>
            <w:pPr>
              <w:pStyle w:val="Compact"/>
              <w:spacing w:line="240" w:lineRule="auto"/>
            </w:pPr>
            <w:r>
              <w:rPr>
                <w:sz w:val="18"/>
              </w:rPr>
              <w:t xml:space="preserve">G232</w:t>
            </w:r>
          </w:p>
        </w:tc>
        <w:tc>
          <w:tcPr/>
          <w:p>
            <w:pPr>
              <w:pStyle w:val="Compact"/>
              <w:spacing w:line="240" w:lineRule="auto"/>
            </w:pPr>
            <w:r>
              <w:rPr>
                <w:sz w:val="18"/>
              </w:rPr>
              <w:t xml:space="preserve">G232</w:t>
            </w:r>
          </w:p>
        </w:tc>
        <w:tc>
          <w:tcPr/>
          <w:p>
            <w:pPr>
              <w:pStyle w:val="Compact"/>
              <w:spacing w:line="240" w:lineRule="auto"/>
            </w:pPr>
            <w:r>
              <w:rPr>
                <w:b/>
                <w:bCs/>
                <w:sz w:val="18"/>
              </w:rPr>
              <w:t xml:space="preserve">Q231</w:t>
            </w:r>
          </w:p>
        </w:tc>
        <w:tc>
          <w:tcPr/>
          <w:p>
            <w:pPr>
              <w:pStyle w:val="Compact"/>
              <w:spacing w:line="240" w:lineRule="auto"/>
            </w:pPr>
            <w:r>
              <w:rPr>
                <w:b/>
                <w:bCs/>
                <w:sz w:val="18"/>
              </w:rPr>
              <w:t xml:space="preserve">Q239</w:t>
            </w:r>
          </w:p>
        </w:tc>
        <w:tc>
          <w:tcPr/>
          <w:p>
            <w:pPr>
              <w:pStyle w:val="Compact"/>
              <w:spacing w:line="240" w:lineRule="auto"/>
            </w:pPr>
            <w:r>
              <w:rPr>
                <w:sz w:val="18"/>
              </w:rPr>
              <w:t xml:space="preserve">G230</w:t>
            </w:r>
          </w:p>
        </w:tc>
        <w:tc>
          <w:tcPr/>
          <w:p>
            <w:pPr>
              <w:pStyle w:val="Compact"/>
              <w:spacing w:line="240" w:lineRule="auto"/>
            </w:pPr>
            <w:r>
              <w:rPr>
                <w:sz w:val="18"/>
              </w:rPr>
              <w:t xml:space="preserve">G236</w:t>
            </w:r>
          </w:p>
        </w:tc>
        <w:tc>
          <w:tcPr/>
          <w:p>
            <w:pPr>
              <w:pStyle w:val="Compact"/>
              <w:spacing w:line="240" w:lineRule="auto"/>
            </w:pPr>
            <w:r>
              <w:rPr>
                <w:b/>
                <w:bCs/>
                <w:sz w:val="18"/>
              </w:rPr>
              <w:t xml:space="preserve">E232</w:t>
            </w:r>
          </w:p>
        </w:tc>
        <w:tc>
          <w:tcPr/>
          <w:p>
            <w:pPr>
              <w:pStyle w:val="Compact"/>
              <w:spacing w:line="240" w:lineRule="auto"/>
            </w:pPr>
            <w:r>
              <w:rPr>
                <w:b/>
                <w:bCs/>
                <w:sz w:val="18"/>
              </w:rPr>
              <w:t xml:space="preserve">N231</w:t>
            </w:r>
          </w:p>
        </w:tc>
      </w:tr>
      <w:tr>
        <w:tc>
          <w:tcPr/>
          <w:p>
            <w:pPr>
              <w:pStyle w:val="Compact"/>
              <w:spacing w:line="240" w:lineRule="auto"/>
            </w:pPr>
          </w:p>
        </w:tc>
        <w:tc>
          <w:tcPr/>
          <w:p>
            <w:pPr>
              <w:pStyle w:val="Compact"/>
              <w:spacing w:line="240" w:lineRule="auto"/>
            </w:pPr>
            <w:r>
              <w:rPr>
                <w:sz w:val="18"/>
              </w:rPr>
              <w:t xml:space="preserve">Gly226</w:t>
            </w:r>
          </w:p>
        </w:tc>
        <w:tc>
          <w:tcPr/>
          <w:p>
            <w:pPr>
              <w:pStyle w:val="Compact"/>
              <w:spacing w:line="240" w:lineRule="auto"/>
            </w:pPr>
            <w:r>
              <w:rPr>
                <w:sz w:val="18"/>
              </w:rPr>
              <w:t xml:space="preserve">G226</w:t>
            </w:r>
          </w:p>
        </w:tc>
        <w:tc>
          <w:tcPr/>
          <w:p>
            <w:pPr>
              <w:pStyle w:val="Compact"/>
              <w:spacing w:line="240" w:lineRule="auto"/>
            </w:pPr>
            <w:r>
              <w:rPr>
                <w:sz w:val="18"/>
              </w:rPr>
              <w:t xml:space="preserve">G248</w:t>
            </w:r>
          </w:p>
        </w:tc>
        <w:tc>
          <w:tcPr/>
          <w:p>
            <w:pPr>
              <w:pStyle w:val="Compact"/>
              <w:spacing w:line="240" w:lineRule="auto"/>
            </w:pPr>
            <w:r>
              <w:rPr>
                <w:sz w:val="18"/>
              </w:rPr>
              <w:t xml:space="preserve">G238</w:t>
            </w:r>
          </w:p>
        </w:tc>
        <w:tc>
          <w:tcPr/>
          <w:p>
            <w:pPr>
              <w:pStyle w:val="Compact"/>
              <w:spacing w:line="240" w:lineRule="auto"/>
            </w:pPr>
            <w:r>
              <w:rPr>
                <w:sz w:val="18"/>
              </w:rPr>
              <w:t xml:space="preserve">G240</w:t>
            </w:r>
          </w:p>
        </w:tc>
        <w:tc>
          <w:tcPr/>
          <w:p>
            <w:pPr>
              <w:pStyle w:val="Compact"/>
              <w:spacing w:line="240" w:lineRule="auto"/>
            </w:pPr>
            <w:r>
              <w:rPr>
                <w:sz w:val="18"/>
              </w:rPr>
              <w:t xml:space="preserve">G240</w:t>
            </w:r>
          </w:p>
        </w:tc>
        <w:tc>
          <w:tcPr/>
          <w:p>
            <w:pPr>
              <w:pStyle w:val="Compact"/>
              <w:spacing w:line="240" w:lineRule="auto"/>
            </w:pPr>
            <w:r>
              <w:rPr>
                <w:sz w:val="18"/>
              </w:rPr>
              <w:t xml:space="preserve">G239</w:t>
            </w:r>
          </w:p>
        </w:tc>
        <w:tc>
          <w:tcPr/>
          <w:p>
            <w:pPr>
              <w:pStyle w:val="Compact"/>
              <w:spacing w:line="240" w:lineRule="auto"/>
            </w:pPr>
            <w:r>
              <w:rPr>
                <w:sz w:val="18"/>
              </w:rPr>
              <w:t xml:space="preserve">G247</w:t>
            </w:r>
          </w:p>
        </w:tc>
        <w:tc>
          <w:tcPr/>
          <w:p>
            <w:pPr>
              <w:pStyle w:val="Compact"/>
              <w:spacing w:line="240" w:lineRule="auto"/>
            </w:pPr>
            <w:r>
              <w:rPr>
                <w:sz w:val="18"/>
              </w:rPr>
              <w:t xml:space="preserve">G238</w:t>
            </w:r>
          </w:p>
        </w:tc>
        <w:tc>
          <w:tcPr/>
          <w:p>
            <w:pPr>
              <w:pStyle w:val="Compact"/>
              <w:spacing w:line="240" w:lineRule="auto"/>
            </w:pPr>
            <w:r>
              <w:rPr>
                <w:sz w:val="18"/>
              </w:rPr>
              <w:t xml:space="preserve">G244</w:t>
            </w:r>
          </w:p>
        </w:tc>
        <w:tc>
          <w:tcPr/>
          <w:p>
            <w:pPr>
              <w:pStyle w:val="Compact"/>
              <w:spacing w:line="240" w:lineRule="auto"/>
            </w:pPr>
            <w:r>
              <w:rPr>
                <w:sz w:val="18"/>
              </w:rPr>
              <w:t xml:space="preserve">G240</w:t>
            </w:r>
          </w:p>
        </w:tc>
        <w:tc>
          <w:tcPr/>
          <w:p>
            <w:pPr>
              <w:pStyle w:val="Compact"/>
              <w:spacing w:line="240" w:lineRule="auto"/>
            </w:pPr>
            <w:r>
              <w:rPr>
                <w:sz w:val="18"/>
              </w:rPr>
              <w:t xml:space="preserve">G239</w:t>
            </w:r>
          </w:p>
        </w:tc>
      </w:tr>
      <w:tr>
        <w:tc>
          <w:tcPr/>
          <w:p>
            <w:pPr>
              <w:pStyle w:val="Compact"/>
              <w:spacing w:line="240" w:lineRule="auto"/>
            </w:pPr>
            <w:r>
              <w:rPr>
                <w:sz w:val="18"/>
              </w:rPr>
              <w:t xml:space="preserve">Geometry</w:t>
            </w:r>
          </w:p>
        </w:tc>
        <w:tc>
          <w:tcPr/>
          <w:p>
            <w:pPr>
              <w:pStyle w:val="Compact"/>
              <w:spacing w:line="240" w:lineRule="auto"/>
            </w:pPr>
            <w:r>
              <w:rPr>
                <w:sz w:val="18"/>
              </w:rPr>
              <w:t xml:space="preserve">His NE2…Ser OG (Å)</w:t>
            </w:r>
          </w:p>
        </w:tc>
        <w:tc>
          <w:tcPr/>
          <w:p>
            <w:pPr>
              <w:pStyle w:val="Compact"/>
              <w:spacing w:line="240" w:lineRule="auto"/>
            </w:pPr>
            <w:r>
              <w:rPr>
                <w:sz w:val="18"/>
              </w:rPr>
              <w:t xml:space="preserve">–</w:t>
            </w:r>
          </w:p>
        </w:tc>
        <w:tc>
          <w:tcPr/>
          <w:p>
            <w:pPr>
              <w:pStyle w:val="Compact"/>
              <w:spacing w:line="240" w:lineRule="auto"/>
            </w:pPr>
            <w:r>
              <w:rPr>
                <w:sz w:val="18"/>
              </w:rPr>
              <w:t xml:space="preserve">3,12</w:t>
            </w:r>
          </w:p>
        </w:tc>
        <w:tc>
          <w:tcPr/>
          <w:p>
            <w:pPr>
              <w:pStyle w:val="Compact"/>
              <w:spacing w:line="240" w:lineRule="auto"/>
            </w:pPr>
            <w:r>
              <w:rPr>
                <w:sz w:val="18"/>
              </w:rPr>
              <w:t xml:space="preserve">3,00</w:t>
            </w:r>
          </w:p>
        </w:tc>
        <w:tc>
          <w:tcPr/>
          <w:p>
            <w:pPr>
              <w:pStyle w:val="Compact"/>
              <w:spacing w:line="240" w:lineRule="auto"/>
            </w:pPr>
            <w:r>
              <w:rPr>
                <w:sz w:val="18"/>
              </w:rPr>
              <w:t xml:space="preserve">2,95</w:t>
            </w:r>
          </w:p>
        </w:tc>
        <w:tc>
          <w:tcPr/>
          <w:p>
            <w:pPr>
              <w:pStyle w:val="Compact"/>
              <w:spacing w:line="240" w:lineRule="auto"/>
            </w:pPr>
            <w:r>
              <w:rPr>
                <w:sz w:val="18"/>
              </w:rPr>
              <w:t xml:space="preserve">2,92</w:t>
            </w:r>
          </w:p>
        </w:tc>
        <w:tc>
          <w:tcPr/>
          <w:p>
            <w:pPr>
              <w:pStyle w:val="Compact"/>
              <w:spacing w:line="240" w:lineRule="auto"/>
            </w:pPr>
            <w:r>
              <w:rPr>
                <w:sz w:val="18"/>
              </w:rPr>
              <w:t xml:space="preserve">3,00</w:t>
            </w:r>
          </w:p>
        </w:tc>
        <w:tc>
          <w:tcPr/>
          <w:p>
            <w:pPr>
              <w:pStyle w:val="Compact"/>
              <w:spacing w:line="240" w:lineRule="auto"/>
            </w:pPr>
            <w:r>
              <w:rPr>
                <w:sz w:val="18"/>
              </w:rPr>
              <w:t xml:space="preserve">3,13</w:t>
            </w:r>
          </w:p>
        </w:tc>
        <w:tc>
          <w:tcPr/>
          <w:p>
            <w:pPr>
              <w:pStyle w:val="Compact"/>
              <w:spacing w:line="240" w:lineRule="auto"/>
            </w:pPr>
            <w:r>
              <w:rPr>
                <w:sz w:val="18"/>
              </w:rPr>
              <w:t xml:space="preserve">2,98</w:t>
            </w:r>
          </w:p>
        </w:tc>
        <w:tc>
          <w:tcPr/>
          <w:p>
            <w:pPr>
              <w:pStyle w:val="Compact"/>
              <w:spacing w:line="240" w:lineRule="auto"/>
            </w:pPr>
            <w:r>
              <w:rPr>
                <w:sz w:val="18"/>
              </w:rPr>
              <w:t xml:space="preserve">2,95</w:t>
            </w:r>
          </w:p>
        </w:tc>
        <w:tc>
          <w:tcPr/>
          <w:p>
            <w:pPr>
              <w:pStyle w:val="Compact"/>
              <w:spacing w:line="240" w:lineRule="auto"/>
            </w:pPr>
            <w:r>
              <w:rPr>
                <w:sz w:val="18"/>
              </w:rPr>
              <w:t xml:space="preserve">2,95</w:t>
            </w:r>
          </w:p>
        </w:tc>
        <w:tc>
          <w:tcPr/>
          <w:p>
            <w:pPr>
              <w:pStyle w:val="Compact"/>
              <w:spacing w:line="240" w:lineRule="auto"/>
            </w:pPr>
            <w:r>
              <w:rPr>
                <w:sz w:val="18"/>
              </w:rPr>
              <w:t xml:space="preserve">3,00</w:t>
            </w:r>
          </w:p>
        </w:tc>
      </w:tr>
      <w:tr>
        <w:tc>
          <w:tcPr/>
          <w:p>
            <w:pPr>
              <w:pStyle w:val="Compact"/>
              <w:spacing w:line="240" w:lineRule="auto"/>
            </w:pPr>
          </w:p>
        </w:tc>
        <w:tc>
          <w:tcPr/>
          <w:p>
            <w:pPr>
              <w:pStyle w:val="Compact"/>
              <w:spacing w:line="240" w:lineRule="auto"/>
            </w:pPr>
            <w:r>
              <w:rPr>
                <w:sz w:val="18"/>
              </w:rPr>
              <w:t xml:space="preserve">His ND1…Asp102 OD (Å)</w:t>
            </w:r>
          </w:p>
        </w:tc>
        <w:tc>
          <w:tcPr/>
          <w:p>
            <w:pPr>
              <w:pStyle w:val="Compact"/>
              <w:spacing w:line="240" w:lineRule="auto"/>
            </w:pPr>
            <w:r>
              <w:rPr>
                <w:sz w:val="18"/>
              </w:rPr>
              <w:t xml:space="preserve">–</w:t>
            </w:r>
          </w:p>
        </w:tc>
        <w:tc>
          <w:tcPr/>
          <w:p>
            <w:pPr>
              <w:pStyle w:val="Compact"/>
              <w:spacing w:line="240" w:lineRule="auto"/>
            </w:pPr>
            <w:r>
              <w:rPr>
                <w:sz w:val="18"/>
              </w:rPr>
              <w:t xml:space="preserve">2,71</w:t>
            </w:r>
          </w:p>
        </w:tc>
        <w:tc>
          <w:tcPr/>
          <w:p>
            <w:pPr>
              <w:pStyle w:val="Compact"/>
              <w:spacing w:line="240" w:lineRule="auto"/>
            </w:pPr>
            <w:r>
              <w:rPr>
                <w:sz w:val="18"/>
              </w:rPr>
              <w:t xml:space="preserve">2,72</w:t>
            </w:r>
          </w:p>
        </w:tc>
        <w:tc>
          <w:tcPr/>
          <w:p>
            <w:pPr>
              <w:pStyle w:val="Compact"/>
              <w:spacing w:line="240" w:lineRule="auto"/>
            </w:pPr>
            <w:r>
              <w:rPr>
                <w:sz w:val="18"/>
              </w:rPr>
              <w:t xml:space="preserve">2,73</w:t>
            </w:r>
          </w:p>
        </w:tc>
        <w:tc>
          <w:tcPr/>
          <w:p>
            <w:pPr>
              <w:pStyle w:val="Compact"/>
              <w:spacing w:line="240" w:lineRule="auto"/>
            </w:pPr>
            <w:r>
              <w:rPr>
                <w:sz w:val="18"/>
              </w:rPr>
              <w:t xml:space="preserve">2,75</w:t>
            </w:r>
          </w:p>
        </w:tc>
        <w:tc>
          <w:tcPr/>
          <w:p>
            <w:pPr>
              <w:pStyle w:val="Compact"/>
              <w:spacing w:line="240" w:lineRule="auto"/>
            </w:pPr>
            <w:r>
              <w:rPr>
                <w:sz w:val="18"/>
              </w:rPr>
              <w:t xml:space="preserve">2,73</w:t>
            </w:r>
          </w:p>
        </w:tc>
        <w:tc>
          <w:tcPr/>
          <w:p>
            <w:pPr>
              <w:pStyle w:val="Compact"/>
              <w:spacing w:line="240" w:lineRule="auto"/>
            </w:pPr>
            <w:r>
              <w:rPr>
                <w:sz w:val="18"/>
              </w:rPr>
              <w:t xml:space="preserve">2,72</w:t>
            </w:r>
          </w:p>
        </w:tc>
        <w:tc>
          <w:tcPr/>
          <w:p>
            <w:pPr>
              <w:pStyle w:val="Compact"/>
              <w:spacing w:line="240" w:lineRule="auto"/>
            </w:pPr>
            <w:r>
              <w:rPr>
                <w:sz w:val="18"/>
              </w:rPr>
              <w:t xml:space="preserve">2,75</w:t>
            </w:r>
          </w:p>
        </w:tc>
        <w:tc>
          <w:tcPr/>
          <w:p>
            <w:pPr>
              <w:pStyle w:val="Compact"/>
              <w:spacing w:line="240" w:lineRule="auto"/>
            </w:pPr>
            <w:r>
              <w:rPr>
                <w:sz w:val="18"/>
              </w:rPr>
              <w:t xml:space="preserve">2,71</w:t>
            </w:r>
          </w:p>
        </w:tc>
        <w:tc>
          <w:tcPr/>
          <w:p>
            <w:pPr>
              <w:pStyle w:val="Compact"/>
              <w:spacing w:line="240" w:lineRule="auto"/>
            </w:pPr>
            <w:r>
              <w:rPr>
                <w:sz w:val="18"/>
              </w:rPr>
              <w:t xml:space="preserve">2,70</w:t>
            </w:r>
          </w:p>
        </w:tc>
        <w:tc>
          <w:tcPr/>
          <w:p>
            <w:pPr>
              <w:pStyle w:val="Compact"/>
              <w:spacing w:line="240" w:lineRule="auto"/>
            </w:pPr>
            <w:r>
              <w:rPr>
                <w:sz w:val="18"/>
              </w:rPr>
              <w:t xml:space="preserve">2,74</w:t>
            </w:r>
          </w:p>
        </w:tc>
      </w:tr>
    </w:tbl>
    <w:bookmarkEnd w:id="105"/>
    <w:bookmarkStart w:id="106"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Brandsdal BO, Smalås AO, Åqvist J (2006). Free energy calculations show that acidic P1 variants undergo large pKa shifts upon binding to trypsin. Proteins: Structure, Function, and Bioinformatics 64, 740-748. doi: 10.1002/prot.20940</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Castro JS, da Silva Junior NR, de Oliveira JVA, Schultz H, et al. (2022a).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de Almeida Barros R, Meriño-Cabrera Y, Severiche Castro JG, Rodrigues da Silva Júnior N, Schultz H, de Andrade RJ, et al. (2022b). Inhibition constant and stability of tripeptide inhibitors of gut trypsin-like enzyme of the soybean pest Anticarsia gemmatalis. Archives of Insect Biochemistry and Physiology 110, e21887. doi: 10.1002/arch.21887</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Helland R, Otlewski J, Sundheim O, Dadlez M, Smalås AO (1999). The crystal structures of the complexes between bovine β-trypsin and ten P1 variants of BPTI. Journal of Molecular Biology 287, 923-942. doi: 10.1006/jmbi.1999.2654</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Júnior NRDS, Santos EGDD, Paulo DGS, Meriño-Cabrera Y, Pinto IDPA, Summy MJ, et al. (2026). Integrated Transcriptomic and Physiological Analyses Reveal Disruption of Digestive Homeostasis Induced by Protease Inhibitors in Anticarsia gemmatalis Caterpillars. Archives of Insect Biochemistry and Physiology 123, e70223. doi: 10.1002/arch.70223</w:t>
      </w:r>
    </w:p>
    <w:p>
      <w:pPr>
        <w:pStyle w:val="BodyText"/>
      </w:pPr>
      <w:r>
        <w:t xml:space="preserve">Karna N, Łęgowska A, Malicki S, Dębowski D, Golik P, Gitlin A, et al. (2015). Investigation of Serine-Proteinase-Catalyzed Peptide Splicing in Analogues of Sunflower Trypsin Inhibitor 1 (SFTI-1). ChemBioChem 16, 2036-2045. doi: 10.1002/cbic.201500296</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Knapp B, Ospina L, Deane CM (2018). Avoiding false positive conclusions in molecular simulation: the importance of replicas. Journal of Chemical Theory and Computation 14, 6127-6138. doi: 10.1021/acs.jctc.8b00391</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Li Z, Yuan Y, Hu K, Pan P, He F (2026). Benchmarking confidence estimation and rescoring for cyclic peptide–protein complex predictions. bioRxiv. doi: 10.64898/2026.08.20.746104</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Mariano GA, de Oliveira JVA, Andrade RJD, Paulo DGS, Cabrera YBM, Santos EGDD, et al. (2026). Trypsinogen Pro-Region as a Molecular Scaffold for the Design of Competitive Peptide Inhibitors of Trypsin-Like Proteases. Archives of Insect Biochemistry and Physiology 123, e70224. doi: 10.1002/arch.70224</w:t>
      </w:r>
    </w:p>
    <w:p>
      <w:pPr>
        <w:pStyle w:val="BodyText"/>
      </w:pPr>
      <w:r>
        <w:t xml:space="preserve">Meriño-Cabrera Y, de Oliveira Mendes TA, Castro JGS, Barbosa SL, Macedo MLR, de Almeida Oliveira MG (2020a).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Severiche Castro JG, Rios Diez JD, Rodrigues Macedo ML, de Oliveira Mendes TA, Goreti de Almeida Oliveira M (2020b).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Miller BR, McGee TD, Swails JM, Homeyer N, Gohlke H, Roitberg AE (2012). MMPBSA.py: An Efficient Program for End-State Free Energy Calculations. Journal of Chemical Theory and Computation 8, 3314-3321. doi: 10.1021/ct300418h</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Onufriev A, Bashford D, Case DA (2004). Exploring protein native states and large‐scale conformational changes with a modified generalized born model. Proteins: Structure, Function, and Bioinformatics 55, 383-394. doi: 10.1002/prot.20033</w:t>
      </w:r>
    </w:p>
    <w:p>
      <w:pPr>
        <w:pStyle w:val="BodyText"/>
      </w:pPr>
      <w:r>
        <w:t xml:space="preserve">Pan Y, Cheng K, Mao J, Liu F, Liu J, Ye M, et al. (2014). Quantitative proteomics reveals the kinetics of trypsin-catalyzed protein digestion. Analytical and Bioanalytical Chemistry 406, 6247-6256. doi: 10.1007/s00216-014-8071-6</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Rodriguez J, Gupta N, Smith RD, Pevzner PA (2008). Does Trypsin Cut Before Proline? Journal of Proteome Research 7, 300-305. doi: 10.1021/pr0705035</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Song J, Markley JL (2003). Protein Inhibitors of Serine Proteinases: Role of Backbone Structure and Dynamics in Controlling the Hydrolysis Constant. Biochemistry 42, 5186-5194. doi: 10.1021/bi034041u</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Vangone A, Bonvin AMJJ (2015). Contacts-based prediction of binding affinity in protein–protein complexes. eLife 4, e07454. doi: 10.7554/eLife.07454</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Wan S, Zhang X, Xue X, Coveney PV (2026). Reliability of AI methods in drug discovery: evaluation of Boltz-2 for structure and binding affinity prediction. Journal of Chemical Theory and Computation 22, 7811-7824. doi: 10.1021/acs.jctc.6c01334</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Wei W, Ma J, Xie D, Zhou Y (2019). Linking inhibitor motions to proteolytic stability of sunflower trypsin inhibitor-1. RSC Advances 9, 13776-13786. doi: 10.1039/c9ra02114k</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(2013).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(2011).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106"/>
    <w:bookmarkEnd w:id="107"/>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30" Type="http://schemas.openxmlformats.org/officeDocument/2006/relationships/image" Target="media/rId30.png"/><Relationship Id="rId46" Type="http://schemas.openxmlformats.org/officeDocument/2006/relationships/image" Target="media/rId46.png"/><Relationship Id="rId50" Type="http://schemas.openxmlformats.org/officeDocument/2006/relationships/image" Target="media/rId50.png"/><Relationship Id="rId54" Type="http://schemas.openxmlformats.org/officeDocument/2006/relationships/image" Target="media/rId54.png"/><Relationship Id="rId101" Type="http://schemas.openxmlformats.org/officeDocument/2006/relationships/image" Target="media/rId101.png"/><Relationship Id="rId77" Type="http://schemas.openxmlformats.org/officeDocument/2006/relationships/image" Target="media/rId77.png"/><Relationship Id="rId86" Type="http://schemas.openxmlformats.org/officeDocument/2006/relationships/image" Target="media/rId86.png"/><Relationship Id="rId42" Type="http://schemas.openxmlformats.org/officeDocument/2006/relationships/image" Target="media/rId42.png"/><Relationship Id="rId92" Type="http://schemas.openxmlformats.org/officeDocument/2006/relationships/image" Target="media/rId92.png"/><Relationship Id="rId74" Type="http://schemas.openxmlformats.org/officeDocument/2006/relationships/image" Target="media/rId74.png"/><Relationship Id="rId34" Type="http://schemas.openxmlformats.org/officeDocument/2006/relationships/image" Target="media/rId34.png"/><Relationship Id="rId80" Type="http://schemas.openxmlformats.org/officeDocument/2006/relationships/image" Target="media/rId80.png"/><Relationship Id="rId95" Type="http://schemas.openxmlformats.org/officeDocument/2006/relationships/image" Target="media/rId95.png"/><Relationship Id="rId38" Type="http://schemas.openxmlformats.org/officeDocument/2006/relationships/image" Target="media/rId38.png"/><Relationship Id="rId83" Type="http://schemas.openxmlformats.org/officeDocument/2006/relationships/image" Target="media/rId83.png"/><Relationship Id="rId98" Type="http://schemas.openxmlformats.org/officeDocument/2006/relationships/image" Target="media/rId98.png"/><Relationship Id="rId89" Type="http://schemas.openxmlformats.org/officeDocument/2006/relationships/image" Target="media/rId8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2026-10-09T20:42:51Z</dcterms:created>
  <dcterms:modified xsi:type="dcterms:W3CDTF">2026-10-09T20:42:51Z</dcterms:modified>
</cp:coreProperties>
</file>

<file path=docProps/custom.xml><?xml version="1.0" encoding="utf-8"?>
<Properties xmlns="http://schemas.openxmlformats.org/officeDocument/2006/custom-properties" xmlns:vt="http://schemas.openxmlformats.org/officeDocument/2006/docPropsVTypes"/>
</file>