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7,166 palavras no original em inglês (corpo sem tabelas, títulos e legendas; cada citação contada como uma palavra); tradução: 7,776</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30092026-noite"/>
    <w:p>
      <w:pPr>
        <w:pStyle w:val="Heading2"/>
      </w:pPr>
      <w:r>
        <w:t xml:space="preserve">Estado dos cálculos (30/09/2026, noite)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b/>
                <w:bCs/>
                <w:sz w:val="18"/>
              </w:rPr>
              <w:t xml:space="preserve">em curso</w:t>
            </w:r>
          </w:p>
        </w:tc>
        <w:tc>
          <w:tcPr/>
          <w:p>
            <w:pPr>
              <w:pStyle w:val="Compact"/>
              <w:spacing w:line="240" w:lineRule="auto"/>
            </w:pPr>
            <w:r>
              <w:rPr>
                <w:sz w:val="18"/>
              </w:rPr>
              <w:t xml:space="preserve">frente L: semente 1 completa, semente 2 em andamento; frente M ainda não iniciada</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pendente</w:t>
            </w:r>
          </w:p>
        </w:tc>
        <w:tc>
          <w:tcPr/>
          <w:p>
            <w:pPr>
              <w:pStyle w:val="Compact"/>
              <w:spacing w:line="240" w:lineRule="auto"/>
            </w:pPr>
            <w:r>
              <w:rPr>
                <w:sz w:val="18"/>
              </w:rPr>
              <w:t xml:space="preserve">implementada e testada; roda após o E2</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pendente</w:t>
            </w:r>
          </w:p>
        </w:tc>
        <w:tc>
          <w:tcPr/>
          <w:p>
            <w:pPr>
              <w:pStyle w:val="Compact"/>
              <w:spacing w:line="240" w:lineRule="auto"/>
            </w:pPr>
            <w:r>
              <w:rPr>
                <w:sz w:val="18"/>
              </w:rPr>
              <w:t xml:space="preserve">QC já testado nas predições do E1 (18% passam na amostra única)</w:t>
            </w:r>
          </w:p>
        </w:tc>
      </w:tr>
      <w:tr>
        <w:tc>
          <w:tcPr/>
          <w:p>
            <w:pPr>
              <w:pStyle w:val="Compact"/>
              <w:spacing w:line="240" w:lineRule="auto"/>
            </w:pPr>
            <w:r>
              <w:rPr>
                <w:sz w:val="18"/>
              </w:rPr>
              <w:t xml:space="preserve">E6–E7 · MD de 10 ns (3 melhores por espécie e frente, 48 simulações)</w:t>
            </w:r>
          </w:p>
        </w:tc>
        <w:tc>
          <w:tcPr/>
          <w:p>
            <w:pPr>
              <w:pStyle w:val="Compact"/>
              <w:spacing w:line="240" w:lineRule="auto"/>
            </w:pPr>
            <w:r>
              <w:rPr>
                <w:sz w:val="18"/>
              </w:rPr>
              <w:t xml:space="preserve">pendente</w:t>
            </w:r>
          </w:p>
        </w:tc>
        <w:tc>
          <w:tcPr/>
          <w:p>
            <w:pPr>
              <w:pStyle w:val="Compact"/>
              <w:spacing w:line="240" w:lineRule="auto"/>
            </w:pPr>
            <w:r>
              <w:rPr>
                <w:sz w:val="18"/>
              </w:rPr>
              <w:t xml:space="preserve">topologia cíclica validada (C–N 1,34 Å; ω −179°)</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o restante do pipeline deve levar de 2 a 3 dias de GPU compartilhada; a MD de 10 ns das duas frentes (48 simulações) é a etapa mais longa.</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de ocupância de S1, de integridade do anel e da comparação linear × macrociclo, a gerar quando as simulações terminarem.</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82"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relato da distância C–N de fechamento e da integridade do anel (ω) no teste com CHARMM36 e nos 48 sistemas; a Figura S2 precisa ser refeita com este campo de força.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61"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58"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rStyle w:val="Pendente"/>
        </w:rPr>
        <w:t xml:space="preserve">PENDENTE: reescore dos dez melhores por espécie e frente com cinco amostras e três sementes (E2); diferença pareada Δ frente a três controles embaralhados (E3); controle de qualidade de pose (E4) nas estruturas iniciais selecionadas, incluindo quantos candidatos têm ao menos uma amostra que passa, e a matriz cruzada 8 × 8 do melhor candidato de cada espécie.</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bookmarkEnd w:id="58"/>
    <w:bookmarkStart w:id="59" w:name="Xac36dec43ef87c0d8dd6ab8b37eec853ef28fce"/>
    <w:p>
      <w:pPr>
        <w:pStyle w:val="Heading3"/>
      </w:pPr>
      <w:r>
        <w:t xml:space="preserve">3.9 Simulações de dez nanossegundos dos melhores candidatos</w:t>
      </w:r>
    </w:p>
    <w:p>
      <w:pPr>
        <w:pStyle w:val="FirstParagraph"/>
      </w:pPr>
      <w:r>
        <w:rPr>
          <w:rStyle w:val="Pendente"/>
        </w:rPr>
        <w:t xml:space="preserve">PENDENTE: para cada frente, quantos dos 24 candidatos passam na triagem da Seção 2.9 (ocupância de S1 ≥70% a 5 Å na segunda metade, mesma âncora nas duas metades, anel íntegro nos macrociclos); identidade do resíduo âncora; contato com a serina e a histidina catalíticas; RMSD local do peptídeo. O candidato que falha é relatado com o critério não cumprido. Por espécie:</w:t>
      </w:r>
      <w:r>
        <w:rPr>
          <w:rStyle w:val="Pendente"/>
        </w:rPr>
        <w:t xml:space="preserve"> </w:t>
      </w:r>
      <w:r>
        <w:rPr>
          <w:rStyle w:val="Pendente"/>
        </w:rPr>
        <w:t xml:space="preserve">“nenhum candidato ancorado em 10 ns”</w:t>
      </w:r>
      <w:r>
        <w:rPr>
          <w:rStyle w:val="Pendente"/>
        </w:rPr>
        <w:t xml:space="preserve"> </w:t>
      </w:r>
      <w:r>
        <w:rPr>
          <w:rStyle w:val="Pendente"/>
        </w:rPr>
        <w:t xml:space="preserve">se nenhum passar.</w:t>
      </w:r>
    </w:p>
    <w:bookmarkEnd w:id="59"/>
    <w:bookmarkStart w:id="60" w:name="frente-linear-versus-frente-macrocíclica"/>
    <w:p>
      <w:pPr>
        <w:pStyle w:val="Heading3"/>
      </w:pPr>
      <w:r>
        <w:t xml:space="preserve">3.10 Frente linear versus frente macrocíclica</w:t>
      </w:r>
    </w:p>
    <w:p>
      <w:pPr>
        <w:pStyle w:val="FirstParagraph"/>
      </w:pPr>
      <w:r>
        <w:rPr>
          <w:rStyle w:val="Pendente"/>
        </w:rPr>
        <w:t xml:space="preserve">PENDENTE: sobreposição dos conjuntos finais de três melhores das duas frentes e diferença na ocupância de S1 entre a forma linear e a cíclica da mesma sequência.</w:t>
      </w:r>
    </w:p>
    <w:p>
      <w:r>
        <w:pict>
          <v:rect style="width:0;height:1.5pt" o:hralign="center" o:hrstd="t" o:hr="t"/>
        </w:pict>
      </w:r>
    </w:p>
    <w:bookmarkEnd w:id="60"/>
    <w:bookmarkEnd w:id="61"/>
    <w:bookmarkStart w:id="67" w:name="discussão"/>
    <w:p>
      <w:pPr>
        <w:pStyle w:val="Heading2"/>
      </w:pPr>
      <w:r>
        <w:t xml:space="preserve">4 Discussão</w:t>
      </w:r>
    </w:p>
    <w:bookmarkStart w:id="62"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62"/>
    <w:bookmarkStart w:id="63"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63"/>
    <w:bookmarkStart w:id="64"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64"/>
    <w:bookmarkStart w:id="65"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65"/>
    <w:bookmarkStart w:id="66"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66"/>
    <w:bookmarkEnd w:id="67"/>
    <w:bookmarkStart w:id="68"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68"/>
    <w:bookmarkStart w:id="69"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9"/>
    <w:bookmarkStart w:id="70"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0"/>
    <w:bookmarkStart w:id="71" w:name="financiamento"/>
    <w:p>
      <w:pPr>
        <w:pStyle w:val="Heading2"/>
      </w:pPr>
      <w:r>
        <w:t xml:space="preserve">Financiamento</w:t>
      </w:r>
    </w:p>
    <w:p>
      <w:pPr>
        <w:pStyle w:val="FirstParagraph"/>
      </w:pPr>
      <w:r>
        <w:rPr>
          <w:rStyle w:val="Pendente"/>
        </w:rPr>
        <w:t xml:space="preserve">PENDENTE: a completar pelos autores.</w:t>
      </w:r>
    </w:p>
    <w:bookmarkEnd w:id="71"/>
    <w:bookmarkStart w:id="72"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72"/>
    <w:bookmarkStart w:id="73" w:name="conflito-de-interesses"/>
    <w:p>
      <w:pPr>
        <w:pStyle w:val="Heading2"/>
      </w:pPr>
      <w:r>
        <w:t xml:space="preserve">Conflito de interesses</w:t>
      </w:r>
    </w:p>
    <w:p>
      <w:pPr>
        <w:pStyle w:val="FirstParagraph"/>
      </w:pPr>
      <w:r>
        <w:rPr>
          <w:rStyle w:val="Pendente"/>
        </w:rPr>
        <w:t xml:space="preserve">PENDENTE: a completar pelos autores.</w:t>
      </w:r>
    </w:p>
    <w:bookmarkEnd w:id="73"/>
    <w:bookmarkStart w:id="80"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75" name="Picture"/>
            <a:graphic>
              <a:graphicData uri="http://schemas.openxmlformats.org/drawingml/2006/picture">
                <pic:pic>
                  <pic:nvPicPr>
                    <pic:cNvPr descr="figures/pt/figS1_regras_motivo.png" id="76" name="Picture"/>
                    <pic:cNvPicPr>
                      <a:picLocks noChangeArrowheads="1" noChangeAspect="1"/>
                    </pic:cNvPicPr>
                  </pic:nvPicPr>
                  <pic:blipFill>
                    <a:blip r:embed="rId7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583999"/>
            <wp:effectExtent b="0" l="0" r="0" t="0"/>
            <wp:docPr descr="Figura S2. PENDENTE: teste de fumaça da topologia cíclica com CHARMM36 (RMSD do esqueleto e número de ligações de hidrogênio em uma simulação curta de um macrociclo; distância C–N de fechamento e ω). A versão anterior desta figura usava outro campo de força e foi retirada." title="" id="78" name="Picture"/>
            <a:graphic>
              <a:graphicData uri="http://schemas.openxmlformats.org/drawingml/2006/picture">
                <pic:pic>
                  <pic:nvPicPr>
                    <pic:cNvPr descr="figures/pt/figS2_ciclica_fumaca.png" id="79" name="Picture"/>
                    <pic:cNvPicPr>
                      <a:picLocks noChangeArrowheads="1" noChangeAspect="1"/>
                    </pic:cNvPicPr>
                  </pic:nvPicPr>
                  <pic:blipFill>
                    <a:blip r:embed="rId77"/>
                    <a:stretch>
                      <a:fillRect/>
                    </a:stretch>
                  </pic:blipFill>
                  <pic:spPr bwMode="auto">
                    <a:xfrm>
                      <a:off x="0" y="0"/>
                      <a:ext cx="3959999" cy="1583999"/>
                    </a:xfrm>
                    <a:prstGeom prst="rect">
                      <a:avLst/>
                    </a:prstGeom>
                    <a:noFill/>
                    <a:ln w="9525">
                      <a:noFill/>
                      <a:headEnd/>
                      <a:tailEnd/>
                    </a:ln>
                  </pic:spPr>
                </pic:pic>
              </a:graphicData>
            </a:graphic>
          </wp:inline>
        </w:drawing>
      </w:r>
    </w:p>
    <w:p>
      <w:pPr>
        <w:pStyle w:val="ImageCaption"/>
      </w:pPr>
      <w:r>
        <w:rPr>
          <w:b/>
          <w:bCs/>
        </w:rPr>
        <w:t xml:space="preserve">Figura S2.</w:t>
      </w:r>
      <w:r>
        <w:t xml:space="preserve"> </w:t>
      </w:r>
      <w:r>
        <w:rPr>
          <w:rStyle w:val="Pendente"/>
        </w:rPr>
        <w:t xml:space="preserve">PENDENTE: teste de fumaça da topologia cíclica com CHARMM36 (RMSD do esqueleto e número de ligações de hidrogênio em uma simulação curta de um macrociclo; distância C–N de fechamento e ω). A versão anterior desta figura usava outro campo de força e foi retirada.</w:t>
      </w:r>
    </w:p>
    <w:bookmarkEnd w:id="80"/>
    <w:bookmarkStart w:id="81"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81"/>
    <w:bookmarkEnd w:id="82"/>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74" Type="http://schemas.openxmlformats.org/officeDocument/2006/relationships/image" Target="media/rId74.png"/><Relationship Id="rId77" Type="http://schemas.openxmlformats.org/officeDocument/2006/relationships/image" Target="media/rId7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2026-10-01T00:29:31Z</dcterms:created>
  <dcterms:modified xsi:type="dcterms:W3CDTF">2026-10-01T00:29:31Z</dcterms:modified>
</cp:coreProperties>
</file>

<file path=docProps/custom.xml><?xml version="1.0" encoding="utf-8"?>
<Properties xmlns="http://schemas.openxmlformats.org/officeDocument/2006/custom-properties" xmlns:vt="http://schemas.openxmlformats.org/officeDocument/2006/docPropsVTypes"/>
</file>