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8,244 palavras no original em inglês (corpo sem tabelas, títulos e legendas; cada citação contada como uma palavra); tradução: 8,975</w:t>
            </w:r>
          </w:p>
        </w:tc>
        <w:tc>
          <w:tcPr/>
          <w:p>
            <w:pPr>
              <w:pStyle w:val="Compact"/>
              <w:spacing w:line="240" w:lineRule="auto"/>
            </w:pPr>
            <w:r>
              <w:rPr>
                <w:sz w:val="18"/>
              </w:rPr>
              <w:t xml:space="preserve">OK (margem de 3,756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84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6"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 o pH dos ensaios enzimáticos com os peptídeos GORE (Tris-HCl 0,1 M, CaCl</w:t>
      </w:r>
      <w:r>
        <w:rPr>
          <w:vertAlign w:val="subscript"/>
        </w:rPr>
        <w:t xml:space="preserve">2</w:t>
      </w:r>
      <w:r>
        <w:t xml:space="preserve"> </w:t>
      </w:r>
      <w:r>
        <w:t xml:space="preserve">20 mM (Schultz et al., 2026)). Os dois valores foram escolhidos juntos porque o pH do intestino médio não é o mesmo em todas as lagartas de lepidópteros; um inibidor eficaz ao longo dessa faixa é mais viável contra o complexo de pragas do que um que funcione em um único pH, e o par também corresponde às condições em que um Ki seria medido.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w:t>
      </w:r>
      <w:r>
        <w:rPr>
          <w:rStyle w:val="VerbatimChar"/>
        </w:rPr>
        <w:t xml:space="preserve">scripts/scissile_geometry.py</w:t>
      </w:r>
      <w:r>
        <w:t xml:space="preserve">). Os limiares foram escolhidos para esta análise; aqui eles são calibrados não contra um substrato conhecido, mas contra um controle interno — as sequências embaralhadas da Seção 3.5, que põem um resíduo básico na S1 sem a prolina seguinte, no protocolo idêntico.</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Os dois pH foram simulados porque o intestino médio das lagartas de lepidópteros não tem um pH único: o lúmen é fortemente alcalino (Dow, 1992), com extratos de intestino de</w:t>
      </w:r>
      <w:r>
        <w:t xml:space="preserve"> </w:t>
      </w:r>
      <w:r>
        <w:rPr>
          <w:i/>
          <w:iCs/>
        </w:rPr>
        <w:t xml:space="preserve">H. virescens</w:t>
      </w:r>
      <w:r>
        <w:t xml:space="preserve"> </w:t>
      </w:r>
      <w:r>
        <w:t xml:space="preserve">em pH 9,56–10,0 (Karumbaiah et al., 2007), mas o valor difere entre espécies, e o pH 8,2 é também o dos ensaios enzimáticos contra os quais um Ki seria medido (Schultz et al., 2026). Um candidato que mantivesse sua posição em S1 nos dois pH seria eficaz ao longo da faixa encontrada nas espécies-alvo e, portanto, mais viável como agente de controle do que um que se ligasse em apenas um deles; este é o critério aplicado nesta seção, e a comparação pergunta se o resultado em um pH se reproduz no outro, não qual pH é melhor.</w:t>
      </w:r>
    </w:p>
    <w:p>
      <w:pPr>
        <w:pStyle w:val="BodyText"/>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e não mede catálise.</w:t>
      </w:r>
    </w:p>
    <w:p>
      <w:pPr>
        <w:pStyle w:val="BodyText"/>
      </w:pPr>
      <w:r>
        <w:rPr>
          <w:i/>
          <w:iCs/>
        </w:rPr>
        <w:t xml:space="preserve">Uma linha de base interna para a prolina protetora.</w:t>
      </w:r>
      <w:r>
        <w:t xml:space="preserve"> </w:t>
      </w:r>
      <w:r>
        <w:t xml:space="preserve">A pergunta que esses números precisam responder é se uma lisina ou arginina interna é clivada, e um dos controles embaralhados da Seção 3.5 fornece a linha de base. O PGRGDANP tem a composição do NGGRPDAP e foi simulado com o mesmo receptor de</w:t>
      </w:r>
      <w:r>
        <w:t xml:space="preserve"> </w:t>
      </w:r>
      <w:r>
        <w:rPr>
          <w:i/>
          <w:iCs/>
        </w:rPr>
        <w:t xml:space="preserve">A. gemmatalis</w:t>
      </w:r>
      <w:r>
        <w:t xml:space="preserve">, o mesmo campo de força e o mesmo protocolo em pH 10,0; seu Arg3 foi a âncora, a 2,73 Å do carboxilato do Asp189 tanto na janela inicial quanto na final, com ocupância de S1 de 1,00 — a mesma profundidade e a mesma exposição do Arg4 do NGGRPDAP (2,78 e 2,74 Å, ocupância 1,00). Os dois diferem no resíduo que segue o básico: glicina no controle, prolina no candidato. No controle, a ligação Arg3–Gly4 teve distância mediana do Oγ da Ser195 ao carbono de 3,68 Å (mínimo 3,03 Å), ficou a menos de 4 Å em 75,7% dos quadros da segunda metade e atingiu conformação quase de ataque em 8,0% deles. Nas nove execuções que carregam um sítio protegido por prolina — quatro do NGGRPDAP, quatro do GGKPGEP e uma do GGEKPPG, o controle embaralhado do GGKPGEP, em que a lisina também cai antes de uma prolina —, a fração quase de ataque foi de 0,0% sem exceção, e a ligação cindível só chegou a menos de 4 Å em 0,8% dos quadros de uma execução do GGKPGEP (Figura S11). A análise, portanto, registra a geometria de ataque quando o sítio de tripsina está exposto e não registra nenhuma quando há uma prolina em seguida, com a ocupância de S1 pareada.</w:t>
      </w:r>
    </w:p>
    <w:p>
      <w:pPr>
        <w:pStyle w:val="BodyText"/>
      </w:pPr>
      <w:r>
        <w:t xml:space="preserve">Esses controles foram simulados para outra pergunta — se a ocupância de S1 separa sequência de pose inicial —, que não responderam (Seção 3.5); a distância inicial pareada que os tornou inúteis lá é o que os torna uma linha de base válida aqui. A comparação se apoia em um sítio exposto, uma execução e um pH; uma fração quase de ataque não é uma taxa; e o critério é geométrico, não codifica especificidade, e é por isso que a ligação que mais se aproxima da serina nos peptídeos protegidos, a ligação glicina–resíduo básico que antecede a âncora, não é risco de clivagem para uma enzima que exige lisina ou arginina em P1. O resultado também nada diz sobre exopeptidases: o critério duro avalia o resíduo C-terminal, mas não a aminopeptidase N, que processa um N-terminal livre qualquer que seja a sequência interna; vale, portanto, sem ressalva para o macrociclo e, no peptídeo linear, só para as ligações internas. Um ensaio de estabilidade com tripsina e extrato do intestino médio das lagartas continua sendo o teste decisivo.</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S1–S11 e a Tabela S1 (legendas e tabela abaixo) são fornecidas como material suplementar.</w:t>
      </w:r>
    </w:p>
    <w:bookmarkEnd w:id="73"/>
    <w:bookmarkStart w:id="104"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CaptionedFigure"/>
      </w:pPr>
      <w:r>
        <w:drawing>
          <wp:inline>
            <wp:extent cx="4679999" cy="1689204"/>
            <wp:effectExtent b="0" l="0" r="0" t="0"/>
            <wp:docPr descr="Figura S10. 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 title="" id="102" name="Picture"/>
            <a:graphic>
              <a:graphicData uri="http://schemas.openxmlformats.org/drawingml/2006/picture">
                <pic:pic>
                  <pic:nvPicPr>
                    <pic:cNvPr descr="figures/final/FigureS10_energy_trajectories.png" id="103" name="Picture"/>
                    <pic:cNvPicPr>
                      <a:picLocks noChangeArrowheads="1" noChangeAspect="1"/>
                    </pic:cNvPicPr>
                  </pic:nvPicPr>
                  <pic:blipFill>
                    <a:blip r:embed="rId101"/>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bookmarkEnd w:id="104"/>
    <w:bookmarkStart w:id="105"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5"/>
    <w:bookmarkEnd w:id="106"/>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101" Type="http://schemas.openxmlformats.org/officeDocument/2006/relationships/image" Target="media/rId101.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2026-10-09T18:01:41Z</dcterms:created>
  <dcterms:modified xsi:type="dcterms:W3CDTF">2026-10-09T18:01:41Z</dcterms:modified>
</cp:coreProperties>
</file>

<file path=docProps/custom.xml><?xml version="1.0" encoding="utf-8"?>
<Properties xmlns="http://schemas.openxmlformats.org/officeDocument/2006/custom-properties" xmlns:vt="http://schemas.openxmlformats.org/officeDocument/2006/docPropsVTypes"/>
</file>