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Candidate Peptides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7,665 palavras no original em inglês (corpo sem tabelas, títulos e legendas; cada citação contada como uma palavra); tradução: 8,370</w:t>
            </w:r>
          </w:p>
        </w:tc>
        <w:tc>
          <w:tcPr/>
          <w:p>
            <w:pPr>
              <w:pStyle w:val="Compact"/>
              <w:spacing w:line="240" w:lineRule="auto"/>
            </w:pPr>
            <w:r>
              <w:rPr>
                <w:sz w:val="18"/>
              </w:rPr>
              <w:t xml:space="preserve">OK (margem de 4,335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348 palavras no original em inglês (reescrito em 05/10/2026 para caber no limite); tradução: 395</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48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84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276c565a0ecafafa450f8b4ee3d141ae153cd6b"/>
    <w:p>
      <w:pPr>
        <w:pStyle w:val="Heading2"/>
      </w:pPr>
      <w:r>
        <w:t xml:space="preserve">Estado dos cálculos (08/10/2026, revisão final)</w:t>
      </w:r>
    </w:p>
    <w:p>
      <w:pPr>
        <w:pStyle w:val="FirstParagraph"/>
      </w:pPr>
      <w:r>
        <w:t xml:space="preserve">Todas as análises computacionais previstas estão concluídas e integradas; nenhum job está rodando no servidor.</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MD de 10 ns em pH 8,2</w:t>
            </w:r>
          </w:p>
        </w:tc>
        <w:tc>
          <w:tcPr/>
          <w:p>
            <w:pPr>
              <w:pStyle w:val="Compact"/>
              <w:spacing w:line="240" w:lineRule="auto"/>
            </w:pPr>
            <w:r>
              <w:rPr>
                <w:sz w:val="18"/>
              </w:rPr>
              <w:t xml:space="preserve">concluída (48/48)</w:t>
            </w:r>
          </w:p>
        </w:tc>
        <w:tc>
          <w:tcPr/>
          <w:p>
            <w:pPr>
              <w:pStyle w:val="Compact"/>
              <w:spacing w:line="240" w:lineRule="auto"/>
            </w:pPr>
            <w:r>
              <w:rPr>
                <w:sz w:val="18"/>
              </w:rPr>
              <w:t xml:space="preserve">nenhuma métrica pareada difere de pH 10,0 (distância final P = 0,16; ocupância P = 0,88); só NGGRPDAP e GGKPGEP repetem S1 nos dois pH (Seção 3.7, Figura 7)</w:t>
            </w:r>
          </w:p>
        </w:tc>
      </w:tr>
      <w:tr>
        <w:tc>
          <w:tcPr/>
          <w:p>
            <w:pPr>
              <w:pStyle w:val="Compact"/>
              <w:spacing w:line="240" w:lineRule="auto"/>
            </w:pPr>
            <w:r>
              <w:rPr>
                <w:sz w:val="18"/>
              </w:rPr>
              <w:t xml:space="preserve">Execuções repetidas (16 pares)</w:t>
            </w:r>
          </w:p>
        </w:tc>
        <w:tc>
          <w:tcPr/>
          <w:p>
            <w:pPr>
              <w:pStyle w:val="Compact"/>
              <w:spacing w:line="240" w:lineRule="auto"/>
            </w:pPr>
            <w:r>
              <w:rPr>
                <w:sz w:val="18"/>
              </w:rPr>
              <w:t xml:space="preserve">concluídas</w:t>
            </w:r>
          </w:p>
        </w:tc>
        <w:tc>
          <w:tcPr/>
          <w:p>
            <w:pPr>
              <w:pStyle w:val="Compact"/>
              <w:spacing w:line="240" w:lineRule="auto"/>
            </w:pPr>
            <w:r>
              <w:rPr>
                <w:sz w:val="18"/>
              </w:rPr>
              <w:t xml:space="preserve">o ruído entre execuções do mesmo pH é da ordem da diferença entre pH (Seção 3.7)</w:t>
            </w:r>
          </w:p>
        </w:tc>
      </w:tr>
      <w:tr>
        <w:tc>
          <w:tcPr/>
          <w:p>
            <w:pPr>
              <w:pStyle w:val="Compact"/>
              <w:spacing w:line="240" w:lineRule="auto"/>
            </w:pPr>
            <w:r>
              <w:rPr>
                <w:sz w:val="18"/>
              </w:rPr>
              <w:t xml:space="preserve">MM-GBSA e PRODIGY nas trajetórias (pH 8,2 e 10,0) e classificação final</w:t>
            </w:r>
          </w:p>
        </w:tc>
        <w:tc>
          <w:tcPr/>
          <w:p>
            <w:pPr>
              <w:pStyle w:val="Compact"/>
              <w:spacing w:line="240" w:lineRule="auto"/>
            </w:pPr>
            <w:r>
              <w:rPr>
                <w:sz w:val="18"/>
              </w:rPr>
              <w:t xml:space="preserve">concluídos</w:t>
            </w:r>
          </w:p>
        </w:tc>
        <w:tc>
          <w:tcPr/>
          <w:p>
            <w:pPr>
              <w:pStyle w:val="Compact"/>
              <w:spacing w:line="240" w:lineRule="auto"/>
            </w:pPr>
            <w:r>
              <w:rPr>
                <w:sz w:val="18"/>
              </w:rPr>
              <w:t xml:space="preserve">Seções 3.6 e 3.7, Figuras 6, 7 e S10</w:t>
            </w:r>
          </w:p>
        </w:tc>
      </w:tr>
      <w:tr>
        <w:tc>
          <w:tcPr/>
          <w:p>
            <w:pPr>
              <w:pStyle w:val="Compact"/>
              <w:spacing w:line="240" w:lineRule="auto"/>
            </w:pPr>
            <w:r>
              <w:rPr>
                <w:sz w:val="18"/>
              </w:rPr>
              <w:t xml:space="preserve">Geometria de ataque da Ser195</w:t>
            </w:r>
          </w:p>
        </w:tc>
        <w:tc>
          <w:tcPr/>
          <w:p>
            <w:pPr>
              <w:pStyle w:val="Compact"/>
              <w:spacing w:line="240" w:lineRule="auto"/>
            </w:pPr>
            <w:r>
              <w:rPr>
                <w:sz w:val="18"/>
              </w:rPr>
              <w:t xml:space="preserve">concluída</w:t>
            </w:r>
          </w:p>
        </w:tc>
        <w:tc>
          <w:tcPr/>
          <w:p>
            <w:pPr>
              <w:pStyle w:val="Compact"/>
              <w:spacing w:line="240" w:lineRule="auto"/>
            </w:pPr>
            <w:r>
              <w:rPr>
                <w:sz w:val="18"/>
              </w:rPr>
              <w:t xml:space="preserve">1 de 20 execuções com algum quadro quase de ataque; sem linha de base com substrato conhecido (Seção 3.8)</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bookmarkEnd w:id="11"/>
    <w:bookmarkStart w:id="12" w:name="pendências-antes-da-submissão"/>
    <w:p>
      <w:pPr>
        <w:pStyle w:val="Heading2"/>
      </w:pPr>
      <w:r>
        <w:t xml:space="preserve">Pendências antes da submissão</w:t>
      </w:r>
    </w:p>
    <w:p>
      <w:pPr>
        <w:pStyle w:val="Compact"/>
        <w:numPr>
          <w:ilvl w:val="0"/>
          <w:numId w:val="1002"/>
        </w:numPr>
      </w:pPr>
      <w:r>
        <w:rPr>
          <w:b/>
          <w:bCs/>
        </w:rPr>
        <w:t xml:space="preserve">Resolvido:</w:t>
      </w:r>
      <w:r>
        <w:t xml:space="preserve"> </w:t>
      </w:r>
      <w:r>
        <w:t xml:space="preserve">resultados de pH 8,2, MM-GBSA e comparação com pH 10,0 (Seções 3.6 e 3.7, Figura 7), com resumo, 4.1, 4.4 e 5 ajustados.</w:t>
      </w:r>
    </w:p>
    <w:p>
      <w:pPr>
        <w:pStyle w:val="Compact"/>
        <w:numPr>
          <w:ilvl w:val="0"/>
          <w:numId w:val="1002"/>
        </w:numPr>
      </w:pPr>
      <w:r>
        <w:rPr>
          <w:b/>
          <w:bCs/>
        </w:rPr>
        <w:t xml:space="preserve">Parcialmente resolvido:</w:t>
      </w:r>
      <w:r>
        <w:t xml:space="preserve"> </w:t>
      </w:r>
      <w:r>
        <w:t xml:space="preserve">(a) motivo do pH 8,2 (Seção 2.6) conferido no texto completo de Schultz et al. (2026): todos os ensaios cinéticos com os peptídeos usaram Tris-HCl 0,1 M, CaCl</w:t>
      </w:r>
      <w:r>
        <w:rPr>
          <w:vertAlign w:val="subscript"/>
        </w:rPr>
        <w:t xml:space="preserve">2</w:t>
      </w:r>
      <w:r>
        <w:t xml:space="preserve"> </w:t>
      </w:r>
      <w:r>
        <w:t xml:space="preserve">20 mM, pH 8,2; o artigo não justifica a escolha, e a frase da Seção 2.6 apenas registra que as simulações seguem essa condição, cabendo aos autores confirmar se era a intenção; (b)</w:t>
      </w:r>
      <w:r>
        <w:t xml:space="preserve"> </w:t>
      </w:r>
      <w:r>
        <w:rPr>
          <w:b/>
          <w:bCs/>
        </w:rPr>
        <w:t xml:space="preserve">em aberto (decisão dos autores):</w:t>
      </w:r>
      <w:r>
        <w:t xml:space="preserve"> </w:t>
      </w:r>
      <w:r>
        <w:t xml:space="preserve">lista de peptídeos recomendados: o manuscrito apresenta quatro peptídeos selecionados por critérios declarados (Seção 3.8, Tabela 4), e a lista final e os cortes dependem dos autores.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p>
      <w:pPr>
        <w:pStyle w:val="Compact"/>
        <w:numPr>
          <w:ilvl w:val="0"/>
          <w:numId w:val="1002"/>
        </w:numPr>
      </w:pPr>
      <w:r>
        <w:t xml:space="preserve">Opcional: linha de base da geometria de ataque com um inibidor-substrato conhecido (SFTI-1).</w:t>
      </w:r>
    </w:p>
    <w:bookmarkEnd w:id="12"/>
    <w:bookmarkEnd w:id="13"/>
    <w:bookmarkStart w:id="103" w:name="X23591a77a83980075fb05aa903afeec2d1a80f4"/>
    <w:p>
      <w:pPr>
        <w:pStyle w:val="Heading1"/>
      </w:pPr>
      <w:r>
        <w:t xml:space="preserve">De inibidores naturais de proteases a peptídeos candidatos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Peptídeos candidatos</w:t>
      </w:r>
      <w:r>
        <w:t xml:space="preserve"> </w:t>
      </w:r>
      <w:r>
        <w:rPr>
          <w:i/>
          <w:iCs/>
        </w:rPr>
        <w:t xml:space="preserve">de novo</w:t>
      </w:r>
      <w:r>
        <w:t xml:space="preserve"> </w:t>
      </w:r>
      <w:r>
        <w:t xml:space="preserve">contra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PRODIGY)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lineares e macrocíclicos.</w:t>
      </w:r>
      <w:r>
        <w:t xml:space="preserve"> </w:t>
      </w:r>
      <w:r>
        <w:rPr>
          <w:b/>
          <w:bCs/>
        </w:rPr>
        <w:t xml:space="preserve">Resultados:</w:t>
      </w:r>
      <w:r>
        <w:t xml:space="preserve"> </w:t>
      </w:r>
      <w:r>
        <w:t xml:space="preserve">O Boltz-2 pontuou o inibidor acima de sua isca em 10 de 10 pares; o MM-GBSA o fez em 4 de 10 e o PRODIGY em 2 de 10, e ambos acompanharam o tamanho da interface (ρ = −0,93 e −0,79).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Os mesmos 48 complexos em pH 8,2 não diferiram do pH 10,0 em nenhuma métrica pareada (distância final</w:t>
      </w:r>
      <w:r>
        <w:t xml:space="preserve"> </w:t>
      </w:r>
      <w:r>
        <w:rPr>
          <w:i/>
          <w:iCs/>
        </w:rPr>
        <w:t xml:space="preserve">P</w:t>
      </w:r>
      <w:r>
        <w:t xml:space="preserve"> </w:t>
      </w:r>
      <w:r>
        <w:t xml:space="preserve">= 0,16; ocupância</w:t>
      </w:r>
      <w:r>
        <w:t xml:space="preserve"> </w:t>
      </w:r>
      <w:r>
        <w:rPr>
          <w:i/>
          <w:iCs/>
        </w:rPr>
        <w:t xml:space="preserve">P</w:t>
      </w:r>
      <w:r>
        <w:t xml:space="preserve"> </w:t>
      </w:r>
      <w:r>
        <w:t xml:space="preserve">= 0,88).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ordenam candidatos pelo tamanho da interface,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2020a), e o BPTI e o inibidor de Kunitz da soja reduziram a sobrevivência das larvas (de Almeida Barros et al., 2022a). As larvas se adaptam, porém, induzindo proteases insensíveis, regulando várias enzimas digestivas e, em algumas espécies, expandindo famílias gênicas (Jongsma et al., 1995; Jongsma e Bolter, 1997; Kuwar et al., 2015; Lomate et al., 2018; Souza et al., 2016); em</w:t>
      </w:r>
      <w:r>
        <w:t xml:space="preserve"> </w:t>
      </w:r>
      <w:r>
        <w:rPr>
          <w:i/>
          <w:iCs/>
        </w:rPr>
        <w:t xml:space="preserve">A. gemmatalis</w:t>
      </w:r>
      <w:r>
        <w:t xml:space="preserve">, o inibidor de Kunitz da soja induziu serina proteases, enquanto o tripeptídeo GORE-2 reprimiu transcritos de proteases digestivas (Júnior et al., 2026).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2020b),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e seus complexos foram examinados por dinâmica molecular (de Almeida Barros et al., 2022b). Peptídeos inspirados nas alças do BPTI e do inibidor de Kunitz da soja (Paulo et al., 2026) e peptídeos da região pró do tripsinogênio (Mariano et al., 2026) foram desenhados contra proteases tipo tripsina de</w:t>
      </w:r>
      <w:r>
        <w:t xml:space="preserve"> </w:t>
      </w:r>
      <w:r>
        <w:rPr>
          <w:i/>
          <w:iCs/>
        </w:rPr>
        <w:t xml:space="preserve">A. gemmatalis</w:t>
      </w:r>
      <w:r>
        <w:t xml:space="preserve">,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2013; Zhan et al., 2011; Nakonieczny et al., 2007). Uma sequência sem os resíduos P1 dessas enzimas e, como macrociclo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suas saídas de afinidade se correlacionam só fraca a moderadamente com energias livres baseadas em física (Wan et al., 2026), sua confiança ordena poses de peptídeos cíclicos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peptídeos candidatos</w:t>
      </w:r>
      <w:r>
        <w:t xml:space="preserve"> </w:t>
      </w:r>
      <w:r>
        <w:rPr>
          <w:i/>
          <w:iCs/>
        </w:rPr>
        <w:t xml:space="preserve">de novo</w:t>
      </w:r>
      <w:r>
        <w:t xml:space="preserve"> </w:t>
      </w:r>
      <w:r>
        <w:t xml:space="preserve">dirigidos às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dinâmica molecular, MM-GBSA, PRODIGY)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pPr>
        <w:pStyle w:val="CaptionedFigure"/>
      </w:pPr>
      <w:r>
        <w:drawing>
          <wp:inline>
            <wp:extent cx="5334000" cy="3496593"/>
            <wp:effectExtent b="0" l="0" r="0" t="0"/>
            <wp:docPr descr="Figura 1. 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e o quimotripsinogênio A (UniProt Consortium, 2025).</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Quatro escores foram comparados: (i) confiança do Boltz-2 (Passaro et al., 2025) (MSA do ColabFold (Mirdita et al., 2022); uma amostra);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(iii) MM-GBSA com o gmx_MMPBSA (Valdés-Tresanco et al., 2021) (igb = 5, sal 0,150 M, 45 quadros do último terço, sem termo de entropia); (iv) PRODIGY (Vangone e Bonvin, 2015) em quatro quadros do último terço.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Esqueletos cíclicos cabeça-cauda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2013; Zhan et al., 2011; Nakonieczny et al., 2007); a exceção K/R–Pro é uma aproximação, e a aminopeptidase N, que precisa de um N-terminal livre, não é excluída nos peptídeos lineares.</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nos macrociclos).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lineares e 543 cíclicos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(pH de triagem, escolhido pelo intestino médio das larvas: extratos de intestino de</w:t>
      </w:r>
      <w:r>
        <w:t xml:space="preserve"> </w:t>
      </w:r>
      <w:r>
        <w:rPr>
          <w:i/>
          <w:iCs/>
        </w:rPr>
        <w:t xml:space="preserve">H. virescens</w:t>
      </w:r>
      <w:r>
        <w:t xml:space="preserve"> </w:t>
      </w:r>
      <w:r>
        <w:t xml:space="preserve">em pH 9,56–10,0 (Karumbaiah et al., 2007); (Dow, 1992)) e em pH 8,2, o pH dos ensaios enzimáticos com os peptídeos GORE (Tris-HCl 0,1 M, CaCl</w:t>
      </w:r>
      <w:r>
        <w:rPr>
          <w:vertAlign w:val="subscript"/>
        </w:rPr>
        <w:t xml:space="preserve">2</w:t>
      </w:r>
      <w:r>
        <w:t xml:space="preserve"> </w:t>
      </w:r>
      <w:r>
        <w:t xml:space="preserve">20 mM (Schultz et al., 2026)), de modo que as condições simuladas correspondam àquelas em que um Ki seria medido. A protonação foi atribuída com o PROPKA 3 (Olsson et al., 2011) pelo PDB2PQR (Dolinsky et al., 2007). Os sistemas foram montados com o GROMACS 2025.4 (Abraham et al., 2015), o campo de força CHARMM36 (Huang e MacKerell, 2013) (porte feito com o charmm2gmx (Wacha e Lemkul, 2023)) e água TIP3P Jorgensen et al., 1983, em caixa dodecaédrica (margem de 1,2 nm,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o macrociclo não tem extremidades, e o pdb2gmx forma a ligação cabeça-cauda a partir da geometria do Boltz-2 (o script de montagem para se faltar a ligação de fechamento ou o termo CMAP). Após a minimização, 200 ps de NVT e 500 ps de NPT com restrições de posição (1.000 kJ mol</w:t>
      </w:r>
      <w:r>
        <w:rPr>
          <w:vertAlign w:val="superscript"/>
        </w:rPr>
        <w:t xml:space="preserve">−1</w:t>
      </w:r>
      <w:r>
        <w:t xml:space="preserve"> </w:t>
      </w:r>
      <w:r>
        <w:t xml:space="preserve">nm</w:t>
      </w:r>
      <w:r>
        <w:rPr>
          <w:vertAlign w:val="superscript"/>
        </w:rPr>
        <w:t xml:space="preserve">−2</w:t>
      </w:r>
      <w:r>
        <w:t xml:space="preserve">), a produção durou 10 ns a 300 K e 1 bar (termostato de reescalonamento de velocidades Bussi et al., 2007; barostato de Parrinello–Rahman Parrinello e Rahman, 1981; PME Essmann et al., 1995; cortes de 1,2 nm, van der Waals com</w:t>
      </w:r>
      <w:r>
        <w:t xml:space="preserve"> </w:t>
      </w:r>
      <w:r>
        <w:rPr>
          <w:i/>
          <w:iCs/>
        </w:rPr>
        <w:t xml:space="preserve">force-switch</w:t>
      </w:r>
      <w:r>
        <w:t xml:space="preserve">; LINCS; passo de 2 fs). Cada sistema foi executado uma vez por pH com semente aleatória; quatro candidatos por frente (NGGRPDAP, GQNDS, PTTTQT e GSNIN lineares; GGHSE, GGKPGEP, IYPETG e SGSTDIE cíclicos) foram executados de novo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as análises usaram o MDAnalysis 2.9.0 (Michaud-Agrawal et al., 2011; Gowers et al., 2016). Em cada quadro, a distância de cada resíduo do peptídeo aos oxigênios do carboxilato do equivalente do Asp189 foi a distância mínima entre átomos pesados, e o resíduo de menor distância média foi a âncora (definida a posteriori, sem supor qual seria). A ocupância de S1 é a fração de quadros com distância âncora–Asp189 abaixo de 5 Å (4 e 6 Å também calculados), na trajetória inteira e em cada metade. A distância âncora–Asp189 e o RMSD de Cα do peptídeo após superposição no receptor são dados para uma janela inicial (primeiros 0,4 ns) e uma final (últimos 2 ns). Relatamos ainda a fração de quadros com qualquer átomo do peptídeo a até 4,5 Å do Oγ da Ser ou do Nε2 da His catalíticas ou do receptor e, nos macrociclos, a distância C–N e o ω de fechamento em cada quadro. A triagem declarada de antemão exigia ocupância na segunda metade ≥ 70%, a mesma âncora nas duas metades e, nos macrociclos, anel íntegro (C–N ≤ 1,5 Å, ω ≥ 150° em todos os quadros). Em 2 de outubro de 2026, depois das 16 primeiras simulações, a ocupância passou de portão a descrição (Seção 3.5), uma mudança do procedimento declarado feita depois de ver dados. Com uma execução por candidato, não se faz inferência estatística.</w:t>
      </w:r>
    </w:p>
    <w:p>
      <w:pPr>
        <w:pStyle w:val="BodyText"/>
      </w:pPr>
      <w:r>
        <w:rPr>
          <w:i/>
          <w:iCs/>
        </w:rPr>
        <w:t xml:space="preserve">Geometria de ataque.</w:t>
      </w:r>
      <w:r>
        <w:t xml:space="preserve"> </w:t>
      </w:r>
      <w:r>
        <w:t xml:space="preserve">Na segunda metade de cada execução, para cada ligação peptídica (incluindo a de fechamento; excluído o carboxilato C-terminal) medimos a distância do Oγ da Ser195 ao C da carbonila, o ângulo Oγ···C=O e a distância do O da carbonila ao N do esqueleto da Gly193 e da Ser195 (buraco do oxiânion). Uma conformação quase de ataque exigiu &lt; 3,5 Å, 90–125° e &lt; 3,5 Å; os limiares foram escolhidos para esta análise e não calibrados com um substrato conhecido (</w:t>
      </w:r>
      <w:r>
        <w:rPr>
          <w:rStyle w:val="VerbatimChar"/>
        </w:rPr>
        <w:t xml:space="preserve">scripts/scissile_geometry.py</w:t>
      </w:r>
      <w:r>
        <w:t xml:space="preserve">).</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MM-GBSA usou o gmx_MMPBSA (Valdés-Tresanco et al., 2021) (MMPBSA.py (Miller et al., 2012); Born generalizado igb = 5 (Onufriev et al., 2004); sal 0,150 M; trajetória única; sem entropia) na segunda metade de cada trajetória (126 quadros; receptor cadeia A, peptídeo cadeia B), com erro-padrão sobre cinco blocos de quadros. O PRODIGY (Vangone e Bonvin, 2015), preditor baseado em contatos e sem protonação explícita, foi aplicado à pose inicial (protonada em pH 8,2) e a 30 quadros da segunda metade. Os dois escores crescem com o tamanho da interface, e por isso cada um é dado também por resíduo. Cada etapa ordena os candidatos dentro de uma frente (1 = melhor; empates recebem o posto médio): confiança do Boltz-2 no E2, Δ pareado (E3), RMSD final do peptídeo em pH 8,2, PRODIGY na pose e PRODIGY e MM-GBSA na trajetória de pH 8,2; o agregado é o posto médio nas etapas. A classificação cobre os candidatos que passaram no controle de qualidade de pose, tiveram Δ &gt; 0 e, nos macrociclos, cumpriram o critério estrito do anel; a ocupância de S1 não entra (Seção 3.5). As simulações de pH 8,2 e de pH 10,0 são pareadas (mesma pose e protocolo; diferem na protonação das cadeias laterais, nos contraíons e na semente) e comparadas pela diferença pareada de cada métrica (teste de postos sinalizados de Wilcoxon), pela correlação de postos entre pH e pela concordância de desfechos categóricos, lidas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8"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encontrado na tripsina bovina e não no quimotripsinogênio 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o pLDDT médio foi de 89,7 a 91,0 nos oito modelos de praga e de 88,9 a 92,2 nos dez. O painel é, portanto, do tipo tripsina apesar da anotação automática</w:t>
      </w:r>
      <w:r>
        <w:t xml:space="preserve"> </w:t>
      </w:r>
      <w:r>
        <w:t xml:space="preserve">“Chymotrypsin”</w:t>
      </w:r>
      <w:r>
        <w:t xml:space="preserve">,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 Tabela 2). O RMSD do ligante foi menor para o inibidor real em 9 de 10 pares (a exceção foi</w:t>
      </w:r>
      <w:r>
        <w:t xml:space="preserve"> </w:t>
      </w:r>
      <w:r>
        <w:rPr>
          <w:i/>
          <w:iCs/>
        </w:rPr>
        <w:t xml:space="preserve">S. frugiperda</w:t>
      </w:r>
      <w:r>
        <w:t xml:space="preserve">–EcTI, 0,366 contra 0,347 nm; Figura 2B).</w:t>
      </w:r>
    </w:p>
    <w:p>
      <w:pPr>
        <w:pStyle w:val="BodyText"/>
      </w:pPr>
      <w:r>
        <w:t xml:space="preserve">O MM-GBSA favoreceu o inibidor real em 4 de 10 pares e o PRODIGY em 2 de 10 (Figura 2C, D; Tabela 2). Nos 22 sistemas, o ΔG do MM-GBSA se correlacionou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w:t>
      </w:r>
      <w:r>
        <w:t xml:space="preserve"> </w:t>
      </w:r>
      <w:r>
        <w:rPr>
          <w:i/>
          <w:iCs/>
        </w:rPr>
        <w:t xml:space="preserve">post hoc</w:t>
      </w:r>
      <w:r>
        <w:t xml:space="preserve">) e não com o comprimento do ligante (ρ = −0,27,</w:t>
      </w:r>
      <w:r>
        <w:t xml:space="preserve"> </w:t>
      </w:r>
      <w:r>
        <w:rPr>
          <w:i/>
          <w:iCs/>
        </w:rPr>
        <w:t xml:space="preserve">P</w:t>
      </w:r>
      <w:r>
        <w:t xml:space="preserve"> </w:t>
      </w:r>
      <w:r>
        <w:t xml:space="preserve">= 0,23), e o ΔG do PRODIGY se correlacionou com seu número de contatos intermoleculares (ρ = −0,79, n = 22); a isca teve mais contatos que seu inibidor em 7 dos 10 pares (em um deles por 0,25 contato) (Figura 2E, F). Neste contexto os dois escores se comportam, portanto, como medidas do tamanho da interface e são usados adiante para ordenar candidatos contra o mesmo receptor, não como afinidades. Em um sistema (</w:t>
      </w:r>
      <w:r>
        <w:rPr>
          <w:i/>
          <w:iCs/>
        </w:rPr>
        <w:t xml:space="preserve">S. frugiperda</w:t>
      </w:r>
      <w:r>
        <w:t xml:space="preserve">–BPTI) o ligante estava em outra imagem periódica em pelo menos um quadro da trajetória usada no MM-GBSA, mais um motivo para não ler valores absolutos.</w:t>
      </w:r>
    </w:p>
    <w:p>
      <w:pPr>
        <w:pStyle w:val="BodyText"/>
      </w:pPr>
      <w:r>
        <w:rPr>
          <w:b/>
          <w:bCs/>
        </w:rPr>
        <w:t xml:space="preserve">Tabela 2.</w:t>
      </w:r>
      <w:r>
        <w:t xml:space="preserve"> </w:t>
      </w:r>
      <w:r>
        <w:t xml:space="preserve">Pares de calibração (inibidor real / isca embaralhada). Conf.: confiança do Boltz-2. RMSD: RMSD do ligante após superposição no receptor (nm, último terço de 2 ns). Contato: número médio de resíduos do receptor a até 4,5 Å do ligante. ΔG: MM-GBSA e PRODIGY (kcal mol</w:t>
      </w:r>
      <w:r>
        <w:rPr>
          <w:vertAlign w:val="superscript"/>
        </w:rPr>
        <w:t xml:space="preserve">−1</w:t>
      </w:r>
      <w:r>
        <w:t xml:space="preserve">). Negrito marca um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MM-GBSA</w:t>
            </w:r>
          </w:p>
        </w:tc>
        <w:tc>
          <w:tcPr/>
          <w:p>
            <w:pPr>
              <w:pStyle w:val="Compact"/>
              <w:spacing w:line="240" w:lineRule="auto"/>
            </w:pPr>
            <w:r>
              <w:rPr>
                <w:b/>
                <w:sz w:val="18"/>
              </w:rPr>
              <w:t xml:space="preserve">ΔG PRODIGY</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c>
          <w:tcPr/>
          <w:p>
            <w:pPr>
              <w:pStyle w:val="Compact"/>
              <w:spacing w:line="240" w:lineRule="auto"/>
            </w:pPr>
            <w:r>
              <w:rPr>
                <w:sz w:val="18"/>
              </w:rPr>
              <w:t xml:space="preserve">-11,8 / -10,8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c>
          <w:tcPr/>
          <w:p>
            <w:pPr>
              <w:pStyle w:val="Compact"/>
              <w:spacing w:line="240" w:lineRule="auto"/>
            </w:pPr>
            <w:r>
              <w:rPr>
                <w:b/>
                <w:bCs/>
                <w:sz w:val="18"/>
              </w:rPr>
              <w:t xml:space="preserve">-13,5 / -13,8</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c>
          <w:tcPr/>
          <w:p>
            <w:pPr>
              <w:pStyle w:val="Compact"/>
              <w:spacing w:line="240" w:lineRule="auto"/>
            </w:pPr>
            <w:r>
              <w:rPr>
                <w:b/>
                <w:bCs/>
                <w:sz w:val="18"/>
              </w:rPr>
              <w:t xml:space="preserve">-12,2 / -12,9</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c>
          <w:tcPr/>
          <w:p>
            <w:pPr>
              <w:pStyle w:val="Compact"/>
              <w:spacing w:line="240" w:lineRule="auto"/>
            </w:pPr>
            <w:r>
              <w:rPr>
                <w:b/>
                <w:bCs/>
                <w:sz w:val="18"/>
              </w:rPr>
              <w:t xml:space="preserve">-12,9 / -13,6</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c>
          <w:tcPr/>
          <w:p>
            <w:pPr>
              <w:pStyle w:val="Compact"/>
              <w:spacing w:line="240" w:lineRule="auto"/>
            </w:pPr>
            <w:r>
              <w:rPr>
                <w:b/>
                <w:bCs/>
                <w:sz w:val="18"/>
              </w:rPr>
              <w:t xml:space="preserve">-13,2 / -14,8</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c>
          <w:tcPr/>
          <w:p>
            <w:pPr>
              <w:pStyle w:val="Compact"/>
              <w:spacing w:line="240" w:lineRule="auto"/>
            </w:pPr>
            <w:r>
              <w:rPr>
                <w:sz w:val="18"/>
              </w:rPr>
              <w:t xml:space="preserve">-10,8 / -10,1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c>
          <w:tcPr/>
          <w:p>
            <w:pPr>
              <w:pStyle w:val="Compact"/>
              <w:spacing w:line="240" w:lineRule="auto"/>
            </w:pPr>
            <w:r>
              <w:rPr>
                <w:b/>
                <w:bCs/>
                <w:sz w:val="18"/>
              </w:rPr>
              <w:t xml:space="preserve">-15,2 / -20,9</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c>
          <w:tcPr/>
          <w:p>
            <w:pPr>
              <w:pStyle w:val="Compact"/>
              <w:spacing w:line="240" w:lineRule="auto"/>
            </w:pPr>
            <w:r>
              <w:rPr>
                <w:b/>
                <w:bCs/>
                <w:sz w:val="18"/>
              </w:rPr>
              <w:t xml:space="preserve">-14,1 / -16,1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c>
          <w:tcPr/>
          <w:p>
            <w:pPr>
              <w:pStyle w:val="Compact"/>
              <w:spacing w:line="240" w:lineRule="auto"/>
            </w:pPr>
            <w:r>
              <w:rPr>
                <w:b/>
                <w:bCs/>
                <w:sz w:val="18"/>
              </w:rPr>
              <w:t xml:space="preserve">-11,6 / -22,2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c>
          <w:tcPr/>
          <w:p>
            <w:pPr>
              <w:pStyle w:val="Compact"/>
              <w:spacing w:line="240" w:lineRule="auto"/>
            </w:pPr>
            <w:r>
              <w:rPr>
                <w:b/>
                <w:bCs/>
                <w:sz w:val="18"/>
              </w:rPr>
              <w:t xml:space="preserve">-16,4 / -18,1</w:t>
            </w:r>
          </w:p>
        </w:tc>
      </w:tr>
    </w:tbl>
    <w:p>
      <w:pPr>
        <w:pStyle w:val="CaptionedFigure"/>
      </w:pPr>
      <w:r>
        <w:drawing>
          <wp:inline>
            <wp:extent cx="5334000" cy="3853030"/>
            <wp:effectExtent b="0" l="0" r="0" t="0"/>
            <wp:docPr descr="Figura 2. Calibração da escada de escores com seis inibidores naturais e iscas embaralhadas (22 sistemas; Bt: tripsina bovina, Sf: S. frugiperda).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S. frugiperda; cheios: inibidor; vazados: isca). (F) ΔG do PRODIGY contra seu número de contatos intermoleculares. ρ: correlação de Spearman (post hoc)."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w:t>
      </w:r>
      <w:r>
        <w:t xml:space="preserve"> </w:t>
      </w:r>
      <w:r>
        <w:rPr>
          <w:i/>
          <w:iCs/>
        </w:rPr>
        <w:t xml:space="preserve">S. frugiperda</w:t>
      </w:r>
      <w:r>
        <w:t xml:space="preserve">; cheios: inibidor; vazados: isca). (F) ΔG do PRODIGY contra seu número de contatos intermoleculares. ρ: correlação de Spearman (</w:t>
      </w:r>
      <w:r>
        <w:rPr>
          <w:i/>
          <w:iCs/>
        </w:rPr>
        <w:t xml:space="preserve">post hoc</w:t>
      </w:r>
      <w:r>
        <w:t xml:space="preserve">).</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pPr>
        <w:pStyle w:val="BodyText"/>
      </w:pPr>
      <w:r>
        <w:t xml:space="preserve">A diferença pareada Δ frente a três controles embaralhados (E3) foi positiva em 63 dos 78 candidatos lineares (81%; mediana 0,013, intervalo interquartil 0,003–0,030) e em 60 dos 79 cíclicos (76%; mediana 0,014; os outros dois lineares e um cíclico dos 80 por frente são poli-glicina e não podem ser embaralhados);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que sequências de poli-glicina, sem controle embaralhado, estejam entre as dez melhores pela confiança da primeira predição (E1) nas duas frentes aponta no mesmo sentido, pois um escore que premia um homopolímero não está medindo reconhecimento específico.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(teste exato de Fisher,</w:t>
      </w:r>
      <w:r>
        <w:t xml:space="preserve"> </w:t>
      </w:r>
      <w:r>
        <w:rPr>
          <w:i/>
          <w:iCs/>
        </w:rPr>
        <w:t xml:space="preserve">P</w:t>
      </w:r>
      <w:r>
        <w:t xml:space="preserve"> </w:t>
      </w:r>
      <w:r>
        <w:t xml:space="preserve">= 7 × 10^−5; descritivo, porque cada candidato foi executado uma vez e a âncora é definida</w:t>
      </w:r>
      <w:r>
        <w:t xml:space="preserve"> </w:t>
      </w:r>
      <w:r>
        <w:rPr>
          <w:i/>
          <w:iCs/>
        </w:rPr>
        <w:t xml:space="preserve">post hoc</w:t>
      </w:r>
      <w:r>
        <w:t xml:space="preserv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macrociclos mais longos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seis etapas (confiança do Boltz-2 no E2, Δ, RMSD final do peptídeo, PRODIGY na pose, PRODIGY nos quadros da trajetória e MM-GBSA, as três últimas da simulação de pH 8,2) colocou NGGRPDAP (posto médio 6,7), GSNIN (7,0), PTTTQT (7,4), SGPIG (7,8) e TDETG (8,2) à frente na frente linear, e SGSTDIE (3,2), GQNDS (4,1), IYPETG (4,5), GGHSE (4,9) e GGSTDID (5,2) à frente na frente cíclica (Figura 6B). Os postos de um mesmo candidato variam muito entre as etapas (por exemplo, o NGGRPDAP está empatado em 2º pelo E2 e em 13º pelo Δ), de modo que a classificação agregada é uma triagem grosseira e não uma medida.</w:t>
      </w:r>
    </w:p>
    <w:p>
      <w:pPr>
        <w:pStyle w:val="BodyText"/>
      </w:pPr>
      <w:r>
        <w:t xml:space="preserve">O MM-GBSA e o PRODIGY também foram calculados na segunda metade das 48 simulações de pH 10,0 (Figura S10). O ΔG do MM-GBSA teve mediana de −24,8 kcal mol</w:t>
      </w:r>
      <w:r>
        <w:rPr>
          <w:vertAlign w:val="superscript"/>
        </w:rPr>
        <w:t xml:space="preserve">−1</w:t>
      </w:r>
      <w:r>
        <w:t xml:space="preserve"> </w:t>
      </w:r>
      <w:r>
        <w:t xml:space="preserve">(−65,0 a −4,1; erro padrão entre blocos de quadros, mediana 0,9), correlacionou-se fracamente com o comprimento do peptídeo (ρ = −0,29,</w:t>
      </w:r>
      <w:r>
        <w:t xml:space="preserve"> </w:t>
      </w:r>
      <w:r>
        <w:rPr>
          <w:i/>
          <w:iCs/>
        </w:rPr>
        <w:t xml:space="preserve">P</w:t>
      </w:r>
      <w:r>
        <w:t xml:space="preserve"> </w:t>
      </w:r>
      <w:r>
        <w:t xml:space="preserve">= 0,05) e com a distância final âncora–Asp189 (ρ = 0,37,</w:t>
      </w:r>
      <w:r>
        <w:t xml:space="preserve"> </w:t>
      </w:r>
      <w:r>
        <w:rPr>
          <w:i/>
          <w:iCs/>
        </w:rPr>
        <w:t xml:space="preserve">P</w:t>
      </w:r>
      <w:r>
        <w:t xml:space="preserve"> </w:t>
      </w:r>
      <w:r>
        <w:t xml:space="preserve">= 0,01), e foi mais favorável para os três peptídeos com lisina ou arginina (mediana −45,3 contra −23,2 dos outros 45; Mann–Whitney</w:t>
      </w:r>
      <w:r>
        <w:t xml:space="preserve"> </w:t>
      </w:r>
      <w:r>
        <w:rPr>
          <w:i/>
          <w:iCs/>
        </w:rPr>
        <w:t xml:space="preserve">P</w:t>
      </w:r>
      <w:r>
        <w:t xml:space="preserve"> </w:t>
      </w:r>
      <w:r>
        <w:t xml:space="preserve">= 0,014), como esperado de um escore que inclui a atração eletrostática pelo carboxilato do Asp189. Os valores mais favoráveis foram os do PISQIDSGSR (−65,0), QAPDFPTGPNNS (−56,5), QSPDFPNGPGQS (−54,5), GENGGPG (−47,3) e NGGRPDAP (−45,3). O PRODIGY em 30 quadros da mesma metade deu mediana de −8,2 kcal mol</w:t>
      </w:r>
      <w:r>
        <w:rPr>
          <w:vertAlign w:val="superscript"/>
        </w:rPr>
        <w:t xml:space="preserve">−1</w:t>
      </w:r>
      <w:r>
        <w:t xml:space="preserve"> </w:t>
      </w:r>
      <w:r>
        <w:t xml:space="preserve">(−11,4 a −6,5; ρ com o comprimento −0,37, com o MM-GBSA 0,61). Dada a calibração (Seção 3.2), esses valores ordenam candidatos e não são afinidades.</w:t>
      </w:r>
    </w:p>
    <w:p>
      <w:pPr>
        <w:pStyle w:val="BodyText"/>
      </w:pPr>
      <w:r>
        <w:t xml:space="preserve">O MM-GBSA e o PRODIGY foram calculados do mesmo modo na segunda metade das 48 simulações de pH 8,2 (</w:t>
      </w:r>
      <w:r>
        <w:rPr>
          <w:rStyle w:val="VerbatimChar"/>
        </w:rPr>
        <w:t xml:space="preserve">outputs/ranking_energy_final_all.*</w:t>
      </w:r>
      <w:r>
        <w:t xml:space="preserve">). O ΔG do MM-GBSA teve mediana de −26,7 kcal mol</w:t>
      </w:r>
      <w:r>
        <w:rPr>
          <w:vertAlign w:val="superscript"/>
        </w:rPr>
        <w:t xml:space="preserve">−1</w:t>
      </w:r>
      <w:r>
        <w:t xml:space="preserve"> </w:t>
      </w:r>
      <w:r>
        <w:t xml:space="preserve">(−53,3 a −2,0; erro padrão entre blocos de quadros, mediana 0,9) e o PRODIGY em 30 quadros, mediana de −8,4 kcal mol</w:t>
      </w:r>
      <w:r>
        <w:rPr>
          <w:vertAlign w:val="superscript"/>
        </w:rPr>
        <w:t xml:space="preserve">−1</w:t>
      </w:r>
      <w:r>
        <w:t xml:space="preserve"> </w:t>
      </w:r>
      <w:r>
        <w:t xml:space="preserve">(−11,9 a −6,7). Os valores mais favoráveis do MM-GBSA foram os do NGGRPDAP (−53,3), QAPDFPTGPNNS (−51,4), GSNIN (−48,2), PISQIDSGSR (−42,5) e GTPESNES (−42,2). A comparação com o pH 10,0 está na Seção 3.7.</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w:t>
      </w:r>
    </w:p>
    <w:bookmarkEnd w:id="49"/>
    <w:bookmarkStart w:id="53" w:name="ph-82-versus-ph-100"/>
    <w:p>
      <w:pPr>
        <w:pStyle w:val="Heading3"/>
      </w:pPr>
      <w:r>
        <w:t xml:space="preserve">3.7 pH 8,2 versus pH 10,0</w:t>
      </w:r>
    </w:p>
    <w:p>
      <w:pPr>
        <w:pStyle w:val="FirstParagraph"/>
      </w:pPr>
      <w:r>
        <w:t xml:space="preserve">As 48 simulações de pH 8,2 (24 lineares, 24 macrocíclicas) terminaram e estão pareadas na Figura 7 com os mesmos candidatos em pH 10,0 (mesma pose inicial; mudam apenas o estado de protonação atribuído pelo PROPKA, que diferiu em mediana de um resíduo por sistema, e o número de contraíons). A distância final âncora–Asp189 teve mediana de 6,40 Å em pH 8,2 contra 6,62 Å em pH 10,0 (Wilcoxon</w:t>
      </w:r>
      <w:r>
        <w:t xml:space="preserve"> </w:t>
      </w:r>
      <w:r>
        <w:rPr>
          <w:i/>
          <w:iCs/>
        </w:rPr>
        <w:t xml:space="preserve">P</w:t>
      </w:r>
      <w:r>
        <w:t xml:space="preserve"> </w:t>
      </w:r>
      <w:r>
        <w:t xml:space="preserve">= 0,16), a ocupância na segunda metade 0,01 contra 0,00 (</w:t>
      </w:r>
      <w:r>
        <w:rPr>
          <w:i/>
          <w:iCs/>
        </w:rPr>
        <w:t xml:space="preserve">P</w:t>
      </w:r>
      <w:r>
        <w:t xml:space="preserve"> </w:t>
      </w:r>
      <w:r>
        <w:t xml:space="preserve">= 0,88) e o RMSD final do peptídeo 0,43 contra 0,40 nm (</w:t>
      </w:r>
      <w:r>
        <w:rPr>
          <w:i/>
          <w:iCs/>
        </w:rPr>
        <w:t xml:space="preserve">P</w:t>
      </w:r>
      <w:r>
        <w:t xml:space="preserve"> </w:t>
      </w:r>
      <w:r>
        <w:t xml:space="preserve">= 0,63). A âncora esteve a menos de 4 Å do Asp189 na janela final em 4 simulações em cada pH, e a mais de 10 Å em 5 em pH 8,2 e 10 em pH 10,0. Uma ocupância de pelo menos 0,70 ocorreu em seis simulações de pH 8,2 (NGGRPDAP, GGKPGEP, os macrociclos PISQIDSGSR, GGHGGG e GGSDHT, e GENGGPG) e em cinco de pH 10,0 (NGGRPDAP, GGKPGEP, GQNDS linear, GGHSE e GGGGH); só NGGRPDAP e GGKPGEP a atingiram nos dois, quatro a atingiram apenas em pH 8,2 e três apenas em pH 10,0, e 39 dos 48 pares em nenhum. A ocupância diferiu em mais de 0,5 entre os pH em nove pares, nos dois sentidos. O desfecho em um pH previu o do outro de modo moderado para a distância final (ρ de Spearman = 0,51,</w:t>
      </w:r>
      <w:r>
        <w:t xml:space="preserve"> </w:t>
      </w:r>
      <w:r>
        <w:rPr>
          <w:i/>
          <w:iCs/>
        </w:rPr>
        <w:t xml:space="preserve">P</w:t>
      </w:r>
      <w:r>
        <w:t xml:space="preserve"> </w:t>
      </w:r>
      <w:r>
        <w:t xml:space="preserve">&lt; 0,001) e para a ocupância (ρ = 0,44,</w:t>
      </w:r>
      <w:r>
        <w:t xml:space="preserve"> </w:t>
      </w:r>
      <w:r>
        <w:rPr>
          <w:i/>
          <w:iCs/>
        </w:rPr>
        <w:t xml:space="preserve">P</w:t>
      </w:r>
      <w:r>
        <w:t xml:space="preserve"> </w:t>
      </w:r>
      <w:r>
        <w:t xml:space="preserve">= 0,002). O GQNDS linear ocupou S1 só na primeira metade em pH 8,2 (0,97 e depois 0,04), o GGHSE saiu (distância final 8,61 Å, ocupância 0,00; |ω| mínimo 149,5° contra 153,7° em pH 10,0) e o GGGGH também (0,07 contra 0,82; partiu de 4,11 Å contra 2,93 Å), ao passo que GGHGGG (0,91 contra 0,00), GGSDHT (1,00 contra 0,00), GENGGPG (0,85 contra 0,41) e PISQIDSGSR ficaram mais perto de S1 em pH 8,2. O PISQIDSGSR, macrociclo com âncora Arg, manteve a Arg em S1 em pH 8,2 (ocupância 1,00, distância final 2,80 Å, partiu de 3,21 Å) e a perdeu em pH 10,0 (0,33; 5,21 Å; partiu de 3,97 Å). NGGRPDAP e GGKPGEP, os dois peptídeos cuja âncora é um resíduo básico seguido de prolina (Arg e Lys), mantiveram S1 nos dois pH: ocupância 0,98 e 1,00 e distância final 2,84 e 2,74 Å para o NGGRPDAP; ocupância 1,00 nos dois pH e 2,71 Å para o GGKPGEP, cujo anel atendeu ao critério estrito em pH 8,2 (|ω| mínimo 156,7° contra 144,5° em pH 10,0).</w:t>
      </w:r>
      <w:r>
        <w:t xml:space="preserve"> </w:t>
      </w:r>
      <w:r>
        <w:rPr>
          <w:i/>
          <w:iCs/>
        </w:rPr>
        <w:t xml:space="preserve">A pose inicial decidiu aqui também:</w:t>
      </w:r>
      <w:r>
        <w:t xml:space="preserve"> </w:t>
      </w:r>
      <w:r>
        <w:t xml:space="preserve">cinco das nove simulações de pH 8,2 cujo peptídeo partiu a até 4,0 Å do Asp189 atingiram ocupância de pelo menos 0,70, e uma das 39 que partiram mais longe (GENGGPG, 4,57 Å; teste exato de Fisher,</w:t>
      </w:r>
      <w:r>
        <w:t xml:space="preserve"> </w:t>
      </w:r>
      <w:r>
        <w:rPr>
          <w:i/>
          <w:iCs/>
        </w:rPr>
        <w:t xml:space="preserve">P</w:t>
      </w:r>
      <w:r>
        <w:t xml:space="preserve"> </w:t>
      </w:r>
      <w:r>
        <w:t xml:space="preserve">= 4 × 10</w:t>
      </w:r>
      <w:r>
        <w:rPr>
          <w:vertAlign w:val="superscript"/>
        </w:rPr>
        <w:t xml:space="preserve">−4</w:t>
      </w:r>
      <w:r>
        <w:t xml:space="preserve">; ρ de Spearman entre distância inicial e ocupância −0,60), como em pH 10,0. Os escores de energia concordaram entre os pH: MM-GBSA ρ = 0,50 (</w:t>
      </w:r>
      <w:r>
        <w:rPr>
          <w:i/>
          <w:iCs/>
        </w:rPr>
        <w:t xml:space="preserve">P</w:t>
      </w:r>
      <w:r>
        <w:t xml:space="preserve"> </w:t>
      </w:r>
      <w:r>
        <w:t xml:space="preserve">&lt; 0,001; mediana −26,7 em pH 8,2 contra −24,8 kcal mol</w:t>
      </w:r>
      <w:r>
        <w:rPr>
          <w:vertAlign w:val="superscript"/>
        </w:rPr>
        <w:t xml:space="preserve">−1</w:t>
      </w:r>
      <w:r>
        <w:t xml:space="preserve"> </w:t>
      </w:r>
      <w:r>
        <w:t xml:space="preserve">em pH 10,0,</w:t>
      </w:r>
      <w:r>
        <w:t xml:space="preserve"> </w:t>
      </w:r>
      <w:r>
        <w:rPr>
          <w:i/>
          <w:iCs/>
        </w:rPr>
        <w:t xml:space="preserve">P</w:t>
      </w:r>
      <w:r>
        <w:t xml:space="preserve"> </w:t>
      </w:r>
      <w:r>
        <w:t xml:space="preserve">= 0,80) e PRODIGY nos quadros ρ = 0,60 (</w:t>
      </w:r>
      <w:r>
        <w:rPr>
          <w:i/>
          <w:iCs/>
        </w:rPr>
        <w:t xml:space="preserve">P</w:t>
      </w:r>
      <w:r>
        <w:t xml:space="preserve"> </w:t>
      </w:r>
      <w:r>
        <w:t xml:space="preserve">&lt; 0,001; −8,38 contra −8,21 kcal mol</w:t>
      </w:r>
      <w:r>
        <w:rPr>
          <w:vertAlign w:val="superscript"/>
        </w:rPr>
        <w:t xml:space="preserve">−1</w:t>
      </w:r>
      <w:r>
        <w:t xml:space="preserve">,</w:t>
      </w:r>
      <w:r>
        <w:t xml:space="preserve"> </w:t>
      </w:r>
      <w:r>
        <w:rPr>
          <w:i/>
          <w:iCs/>
        </w:rPr>
        <w:t xml:space="preserve">P</w:t>
      </w:r>
      <w:r>
        <w:t xml:space="preserve"> </w:t>
      </w:r>
      <w:r>
        <w:t xml:space="preserve">= 0,18). Em pH 8,2 o ΔG do MM-GBSA foi mais favorável para os três peptídeos com âncora de lisina ou arginina (NGGRPDAP, GGKPGEP e PISQIDSGSR; mediana −42,5 contra −25,9 kcal mol</w:t>
      </w:r>
      <w:r>
        <w:rPr>
          <w:vertAlign w:val="superscript"/>
        </w:rPr>
        <w:t xml:space="preserve">−1</w:t>
      </w:r>
      <w:r>
        <w:t xml:space="preserve"> </w:t>
      </w:r>
      <w:r>
        <w:t xml:space="preserve">para os outros 45; Mann–Whitney</w:t>
      </w:r>
      <w:r>
        <w:t xml:space="preserve"> </w:t>
      </w:r>
      <w:r>
        <w:rPr>
          <w:i/>
          <w:iCs/>
        </w:rPr>
        <w:t xml:space="preserve">P</w:t>
      </w:r>
      <w:r>
        <w:t xml:space="preserve"> </w:t>
      </w:r>
      <w:r>
        <w:t xml:space="preserve">= 0,041), no mesmo sentido do pH 10,0, e relacionou-se fracamente com a distância final (ρ = 0,29,</w:t>
      </w:r>
      <w:r>
        <w:t xml:space="preserve"> </w:t>
      </w:r>
      <w:r>
        <w:rPr>
          <w:i/>
          <w:iCs/>
        </w:rPr>
        <w:t xml:space="preserve">P</w:t>
      </w:r>
      <w:r>
        <w:t xml:space="preserve"> </w:t>
      </w:r>
      <w:r>
        <w:t xml:space="preserve">= 0,044). Cada candidato foi simulado uma vez por pH com semente diferente. Para estimar o piso de variação entre execuções, oito candidatos da lista curta (quatro por frente: GSNIN, GQNDS, PTTTQT e NGGRPDAP; GGHSE, IYPETG, SGSTDIE e GGKPGEP) foram simulados uma segunda vez em cada pH com outra semente (16 pares, 8 em cada pH). Eles não são uma amostra aleatória. A diferença absoluta mediana entre as duas execuções do mesmo pH foi de 0,31 Å (pH 10,0) e 1,37 Å (pH 8,2) na distância final âncora–Asp189, 0,03 (pH 10,0) e 0,05 (pH 8,2) na ocupância da segunda metade e 0,11 nm nos dois pH no RMSD do peptídeo, contra 1,36 Å, 0,04 e 0,18 nm entre pH nos 48 pares; a diferença entre execuções é, portanto, do mesmo tamanho que a diferença entre pH. As medianas escondem os casos que importam, porque a maioria das ocupâncias fica perto de zero: em três dos 16 pares a ocupância mudou em mais de 0,5 entre execuções do mesmo pH (GQNDS em pH 8,2, 0,04 e 0,73; GGHSE em pH 8,2, 0,00 e 0,88; IYPETG em pH 8,2, 0,57 e 0,00), e duas delas atravessaram o limite de 0,70. A perda de S1 pelo GGHSE em pH 8,2 e a ocupância só na primeira metade do GQNDS, portanto, não se reproduzem, e nenhuma mudança entre pH pode ser lida como efeito do pH. Só o NGGRPDAP (0,98 e 1,00 em pH 8,2; 1,00 e 1,00 em pH 10,0) e o GGKPGEP (1,00 nas duas execuções nos dois pH) repetiram a ocupância. As mudanças de ocupância entre pH foram nos dois sentidos, nenhuma diferença entre pH excede o que repetições do mesmo pH produzem, e a comparação entre pH não mostra diferença que passe em um teste pareado.</w:t>
      </w:r>
    </w:p>
    <w:p>
      <w:pPr>
        <w:pStyle w:val="CaptionedFigure"/>
      </w:pPr>
      <w:r>
        <w:drawing>
          <wp:inline>
            <wp:extent cx="5334000" cy="3704933"/>
            <wp:effectExtent b="0" l="0" r="0" t="0"/>
            <wp:docPr descr="Figura 7. 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 title="" id="51" name="Picture"/>
            <a:graphic>
              <a:graphicData uri="http://schemas.openxmlformats.org/drawingml/2006/picture">
                <pic:pic>
                  <pic:nvPicPr>
                    <pic:cNvPr descr="figures/final/Figure7_pH_comparison.png" id="52" name="Picture"/>
                    <pic:cNvPicPr>
                      <a:picLocks noChangeArrowheads="1" noChangeAspect="1"/>
                    </pic:cNvPicPr>
                  </pic:nvPicPr>
                  <pic:blipFill>
                    <a:blip r:embed="rId5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w:t>
      </w:r>
    </w:p>
    <w:bookmarkEnd w:id="53"/>
    <w:bookmarkStart w:id="57"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8). O GGHSE (</w:t>
      </w:r>
      <w:r>
        <w:rPr>
          <w:i/>
          <w:iCs/>
        </w:rPr>
        <w:t xml:space="preserve">S. frugiperda</w:t>
      </w:r>
      <w:r>
        <w:t xml:space="preserve">, cíclico) é a única simulação de pH 10,0 que combinou ocupância de pelo menos 0,70 com o critério estrito do anel; em pH 8,2 ele saiu de S1 em uma execução e a manteve na repetição (ocupância 0,00 e 0,88; Seção 3.7). O GQNDS (</w:t>
      </w:r>
      <w:r>
        <w:rPr>
          <w:i/>
          <w:iCs/>
        </w:rPr>
        <w:t xml:space="preserve">O. nubilalis</w:t>
      </w:r>
      <w:r>
        <w:t xml:space="preserve">, linear) chegou a ocupância de 1,00 com âncora Gln em pH 10,0, mas em pH 8,2 ocupou S1 só na primeira metade de uma execução e em 0,73 da segunda metade de sua repetição. O NGGRPDAP (</w:t>
      </w:r>
      <w:r>
        <w:rPr>
          <w:i/>
          <w:iCs/>
        </w:rPr>
        <w:t xml:space="preserve">A. gemmatalis</w:t>
      </w:r>
      <w:r>
        <w:t xml:space="preserve">, linear) tem uma Arg em S1 seguida de prolina, o mecanismo canônico, e o menor ΔG do PRODIGY da frente linear; com o GGKPGEP, é um dos dois dos quatro cuja ocupância de S1 apareceu nos dois pH (uma execução cada), e teve o MM-GBSA mais favorável das 48 simulações de pH 8,2 (−53,3 kcal mol</w:t>
      </w:r>
      <w:r>
        <w:rPr>
          <w:vertAlign w:val="superscript"/>
        </w:rPr>
        <w:t xml:space="preserve">−1</w:t>
      </w:r>
      <w:r>
        <w:t xml:space="preserve">) e o quinto em pH 10,0 (−45,3). O GGKPGEP (</w:t>
      </w:r>
      <w:r>
        <w:rPr>
          <w:i/>
          <w:iCs/>
        </w:rPr>
        <w:t xml:space="preserve">A. gemmatalis</w:t>
      </w:r>
      <w:r>
        <w:t xml:space="preserve">, cíclico) tem a menor distância final âncora–Asp189 (2,71 Å) e uma Lys seguida de prolina, mas em pH 10,0 fica abaixo do limite de ω do critério estrito do anel (mínimo de 144,5° contra 150°; 156,7° em pH 8,2, onde também manteve S1).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t xml:space="preserve">Lisina ou arginina seguida de prolina é só uma barreira estatística para a tripsina: a clivagem antes de prolina é observada em grandes conjuntos de espectros de peptídeos (Rodriguez et al., 2008) e é mais lenta, não ausente, ao lado de prolina ou de resíduos carregados (Pan et al., 2014). Inibidores que se ligam como substratos também são clivados no sítio reativo, em uma extensão dada pelo equilíbrio entre a forma intacta e a clivada (Song e Markley, 2003), e a tripsina pode tanto clivar quanto refazer a ligação Lys–Ser do sítio reativo de análogos do SFTI-1 (Karna et al., 2015). As simulações, portanto, não podem mostrar que um peptídeo resiste à proteólise, mas podem mostrar se a serina catalítica está posicionada para atacar a ligação K/R–Pro. Nas 20 execuções dos cinco peptídeos analisados (GGKPGEP, NGGRPDAP, PISQIDSGSR, GGHSE e GQNDS, com as repetições nos dois pH), uma conformação quase de ataque de qualquer ligação apareceu em uma única execução (1,6% dos quadros da segunda metade, na ligação Gly3–Arg4 do NGGRPDAP). A distância mediana do Oγ da Ser195 ao carbono da ligação K/R–Pro foi de 5,3–5,4 Å (mínimo 3,8–4,2 Å) para o GGKPGEP em pH 10,0 e 6,7–7,6 Å em pH 8,2, 4,7–5,0 Å (mínimo 4,2–4,4 Å) para o NGGRPDAP em pH 10,0 e 4,7–5,5 Å em pH 8,2, e 9,2–9,5 Å para a ligação Arg10–Pro1 do PISQIDSGSR. Na maioria das execuções a carbonila mais próxima da serina foi a que antecede a âncora (Gly2–Lys3 no GGKPGEP, Gly3–Arg4 no NGGRPDAP, a menos de 4 Å em 19–88% dos quadros do NGGRPDAP e em no máximo 23% dos do GGKPGEP), uma ligação glicina–resíduo básico que não é sítio de tripsina, o que sugere que o registro do peptídeo está deslocado de um resíduo em relação a um substrato canônico. Peptídeos tão curtos e ricos em glicina provavelmente são móveis, e em simulações de QM/MM do SFTI-1 e de análogos a taxa de hidrólise aumentou com a mobilidade do inibidor, ao passo que a cadeia cíclica e as ligações de hidrogênio intramoleculares a reduziram (Wei et al., 2019). Isso é uma propriedade de simulações clássicas de 10 ns que partem de uma pose predita; não mede catálise e não tem linha de base de um substrato conhecido, de modo que não estabelece resistência, e um ensaio de estabilidade com tripsina e extrato do intestino médio das lagartas é o teste que a estabeleceria.</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segunda metade da simulação de 10 ns em pH 10,0 e em pH 8,2 (uma execução cada). As colunas de ocupância e anel referem-se a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a 8.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5" name="Picture"/>
            <a:graphic>
              <a:graphicData uri="http://schemas.openxmlformats.org/drawingml/2006/picture">
                <pic:pic>
                  <pic:nvPicPr>
                    <pic:cNvPr descr="figures/final/Figure8_candidate_poses.png" id="56" name="Picture"/>
                    <pic:cNvPicPr>
                      <a:picLocks noChangeArrowheads="1" noChangeAspect="1"/>
                    </pic:cNvPicPr>
                  </pic:nvPicPr>
                  <pic:blipFill>
                    <a:blip r:embed="rId54"/>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7"/>
    <w:bookmarkEnd w:id="58"/>
    <w:bookmarkStart w:id="64" w:name="discussão"/>
    <w:p>
      <w:pPr>
        <w:pStyle w:val="Heading2"/>
      </w:pPr>
      <w:r>
        <w:t xml:space="preserve">4 Discussão</w:t>
      </w:r>
    </w:p>
    <w:bookmarkStart w:id="59"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o MM-GBSA e o PRODIGY não separaram e acompanharam o tamanho da interface.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as mesmas 48 simulações em pH 8,2 não diferiram do pH 10,0 em nenhum teste pareado, e só dois peptídeos (NGGRPDAP, GGKPGEP) mantiveram S1 nos dois pH.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9"/>
    <w:bookmarkStart w:id="60"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de 2 ns sem entropia favoreceu o inibidor real em 4 de 10 pares, e o PRODIGY, treinado em complexos proteína–proteína (Vangone e Bonvin, 2015), em 2 de 10; os dois estão próximos de medidas do número de contatos, de acordo com a sensibilidade dos métodos de ponto final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60"/>
    <w:bookmarkStart w:id="61"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três candidatos que carregam uma Lys ou Arg (NGGRPDAP, PISQIDSGSR, GGKPGEP) são aqueles em que isso pode ser examinado, e a presente triagem não diz se sua conformação mantém esse resíduo protegido (a Seção 3.8 relata a geometria de ataque nas simulações).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p>
      <w:pPr>
        <w:pStyle w:val="BodyText"/>
      </w:pPr>
      <w:r>
        <w:rPr>
          <w:i/>
          <w:iCs/>
        </w:rPr>
        <w:t xml:space="preserve">Relação com trabalhos anteriores com peptídeos.</w:t>
      </w:r>
      <w:r>
        <w:t xml:space="preserve"> </w:t>
      </w:r>
      <w:r>
        <w:t xml:space="preserve">Os candidatos têm o mesmo porte dos tripeptídeos GORE1 e GORE2 e dos tripeptídeos da alça Pin-II, de potência milimolar (de Almeida Barros et al., 2021; Saikhedkar et al., 2018), assim como os peptídeos da região pró do tripsinogênio (Ki de 0,78–1,80 mM contra enzimas de</w:t>
      </w:r>
      <w:r>
        <w:t xml:space="preserve"> </w:t>
      </w:r>
      <w:r>
        <w:rPr>
          <w:i/>
          <w:iCs/>
        </w:rPr>
        <w:t xml:space="preserve">A. gemmatalis</w:t>
      </w:r>
      <w:r>
        <w:t xml:space="preserve"> </w:t>
      </w:r>
      <w:r>
        <w:t xml:space="preserve">(Mariano et al., 2026)), e são mais curtos que o peptídeo de interface de 11 resíduos proposto para</w:t>
      </w:r>
      <w:r>
        <w:t xml:space="preserve"> </w:t>
      </w:r>
      <w:r>
        <w:rPr>
          <w:i/>
          <w:iCs/>
        </w:rPr>
        <w:t xml:space="preserve">S. frugiperda</w:t>
      </w:r>
      <w:r>
        <w:t xml:space="preserve"> </w:t>
      </w:r>
      <w:r>
        <w:t xml:space="preserve">(Severiche-Castro et al., 2026). O que este trabalho acrescenta é uma exigência explícita, baseada em regras, de não clivabilidade e uma escada de escores calibrada; não acrescenta evidência de afinidade maior. Como há Ki medido para o GORE2 e para peptídeos derivados de alças e da região pró (de Almeida Barros et al., 2021; Paulo et al., 2026; Mariano et al., 2026), o GORE2 é o controle positivo natural: um candidato só interessa se seu Ki, medido nas mesmas condições, ficar abaixo da faixa milimolar desses peptídeos ou se persistir por mais tempo em extrato de intestino médio.</w:t>
      </w:r>
    </w:p>
    <w:bookmarkEnd w:id="61"/>
    <w:bookmarkStart w:id="62"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e repetir oito candidatos no mesmo pH mudou a ocupância da segunda metade em mais de 0,5 em três de 16 pares, de modo que uma execução não decide se um peptídeo mantém S1.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62"/>
    <w:bookmarkStart w:id="63"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3"/>
    <w:bookmarkEnd w:id="64"/>
    <w:bookmarkStart w:id="65"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ordenam candidatos pelo tamanho da interface; e a ocupância de S1 em 10 ns acompanha a pose inicial, de modo que, por si só, não indica ligação; a ocupância de nove candidatos diferiu em mais de 0,5 entre pH 8,2 e pH 10,0, nos dois sentidos e sem desvio líquido, e repetições no mesmo pH diferiram em mais de 0,5 em três de 16 pares. Os quatro peptídeos da lista curta (NGGRPDAP, GQNDS, GGHSE, GGKPGEP) sobreviveram aos filtros disponíveis e não carregam alegação de seletividade ou atividade. Os testes decisivos são enzimáticos.</w:t>
      </w:r>
    </w:p>
    <w:bookmarkEnd w:id="65"/>
    <w:bookmarkStart w:id="66"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6"/>
    <w:bookmarkStart w:id="67"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7"/>
    <w:bookmarkStart w:id="68"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8"/>
    <w:bookmarkStart w:id="69" w:name="financiamento"/>
    <w:p>
      <w:pPr>
        <w:pStyle w:val="Heading2"/>
      </w:pPr>
      <w:r>
        <w:t xml:space="preserve">Financiamento</w:t>
      </w:r>
    </w:p>
    <w:p>
      <w:pPr>
        <w:pStyle w:val="FirstParagraph"/>
      </w:pPr>
      <w:r>
        <w:rPr>
          <w:rStyle w:val="Pendente"/>
        </w:rPr>
        <w:t xml:space="preserve">PENDENTE: a completar pelos autores.</w:t>
      </w:r>
    </w:p>
    <w:bookmarkEnd w:id="69"/>
    <w:bookmarkStart w:id="70" w:name="agradecimentos"/>
    <w:p>
      <w:pPr>
        <w:pStyle w:val="Heading2"/>
      </w:pPr>
      <w:r>
        <w:t xml:space="preserve">Agradecimentos</w:t>
      </w:r>
    </w:p>
    <w:p>
      <w:pPr>
        <w:pStyle w:val="FirstParagraph"/>
      </w:pPr>
      <w:r>
        <w:rPr>
          <w:rStyle w:val="Pendente"/>
        </w:rPr>
        <w:t xml:space="preserve">PENDENTE: a completar pelos autores.</w:t>
      </w:r>
    </w:p>
    <w:bookmarkEnd w:id="70"/>
    <w:bookmarkStart w:id="71"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71"/>
    <w:bookmarkStart w:id="72"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72"/>
    <w:bookmarkStart w:id="73" w:name="material-suplementar"/>
    <w:p>
      <w:pPr>
        <w:pStyle w:val="Heading2"/>
      </w:pPr>
      <w:r>
        <w:t xml:space="preserve">Material suplementar</w:t>
      </w:r>
    </w:p>
    <w:p>
      <w:pPr>
        <w:pStyle w:val="FirstParagraph"/>
      </w:pPr>
      <w:r>
        <w:t xml:space="preserve">As Figuras S1–S10 e a Tabela S1 (legendas e tabela abaixo) são fornecidas como material suplementar.</w:t>
      </w:r>
    </w:p>
    <w:bookmarkEnd w:id="73"/>
    <w:bookmarkStart w:id="101"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5" name="Picture"/>
            <a:graphic>
              <a:graphicData uri="http://schemas.openxmlformats.org/drawingml/2006/picture">
                <pic:pic>
                  <pic:nvPicPr>
                    <pic:cNvPr descr="figures/pt/fig2_regra_dura.png" id="76" name="Picture"/>
                    <pic:cNvPicPr>
                      <a:picLocks noChangeArrowheads="1" noChangeAspect="1"/>
                    </pic:cNvPicPr>
                  </pic:nvPicPr>
                  <pic:blipFill>
                    <a:blip r:embed="rId74"/>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819143"/>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8" name="Picture"/>
            <a:graphic>
              <a:graphicData uri="http://schemas.openxmlformats.org/drawingml/2006/picture">
                <pic:pic>
                  <pic:nvPicPr>
                    <pic:cNvPr descr="figures/final/FigureS2_motif_screen.png" id="79" name="Picture"/>
                    <pic:cNvPicPr>
                      <a:picLocks noChangeArrowheads="1" noChangeAspect="1"/>
                    </pic:cNvPicPr>
                  </pic:nvPicPr>
                  <pic:blipFill>
                    <a:blip r:embed="rId77"/>
                    <a:stretch>
                      <a:fillRect/>
                    </a:stretch>
                  </pic:blipFill>
                  <pic:spPr bwMode="auto">
                    <a:xfrm>
                      <a:off x="0" y="0"/>
                      <a:ext cx="4679999" cy="1819143"/>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81" name="Picture"/>
            <a:graphic>
              <a:graphicData uri="http://schemas.openxmlformats.org/drawingml/2006/picture">
                <pic:pic>
                  <pic:nvPicPr>
                    <pic:cNvPr descr="figures/pt/fig6_composicao.png" id="82" name="Picture"/>
                    <pic:cNvPicPr>
                      <a:picLocks noChangeArrowheads="1" noChangeAspect="1"/>
                    </pic:cNvPicPr>
                  </pic:nvPicPr>
                  <pic:blipFill>
                    <a:blip r:embed="rId80"/>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4" name="Picture"/>
            <a:graphic>
              <a:graphicData uri="http://schemas.openxmlformats.org/drawingml/2006/picture">
                <pic:pic>
                  <pic:nvPicPr>
                    <pic:cNvPr descr="figures/pt/fig9_reescore_e2.png" id="85" name="Picture"/>
                    <pic:cNvPicPr>
                      <a:picLocks noChangeArrowheads="1" noChangeAspect="1"/>
                    </pic:cNvPicPr>
                  </pic:nvPicPr>
                  <pic:blipFill>
                    <a:blip r:embed="rId83"/>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7" name="Picture"/>
            <a:graphic>
              <a:graphicData uri="http://schemas.openxmlformats.org/drawingml/2006/picture">
                <pic:pic>
                  <pic:nvPicPr>
                    <pic:cNvPr descr="figures/pt/fig10_top3_pose.png" id="88" name="Picture"/>
                    <pic:cNvPicPr>
                      <a:picLocks noChangeArrowheads="1" noChangeAspect="1"/>
                    </pic:cNvPicPr>
                  </pic:nvPicPr>
                  <pic:blipFill>
                    <a:blip r:embed="rId86"/>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o anel nas simulações cíclicas de A. gemmatalis (10 ns, pH 10,0): distância C–N de fechamento, ângulo ω de fechamento em valor absoluto ao longo do tempo e distribuição de ω. Linhas tracejadas: os limites declarados de antemão (C–N ≤ 1,5 Å, ω ≥ 150°)." title="" id="90" name="Picture"/>
            <a:graphic>
              <a:graphicData uri="http://schemas.openxmlformats.org/drawingml/2006/picture">
                <pic:pic>
                  <pic:nvPicPr>
                    <pic:cNvPr descr="figures/pt/figS2_anel_ciclico_charmm36.png" id="91" name="Picture"/>
                    <pic:cNvPicPr>
                      <a:picLocks noChangeArrowheads="1" noChangeAspect="1"/>
                    </pic:cNvPicPr>
                  </pic:nvPicPr>
                  <pic:blipFill>
                    <a:blip r:embed="rId89"/>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do anel nas simulações cíclicas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419999"/>
            <wp:effectExtent b="0" l="0" r="0" t="0"/>
            <wp:docPr descr="Figura S7. Matriz de evidências e camadas (A, B, C) dos 48 candidatos finais, ordenados dentro de uma camada pela diferença pareada, pela confiança do Boltz-2 e pela ocupância de S1 (a ocupância não define a camada)." title="" id="93" name="Picture"/>
            <a:graphic>
              <a:graphicData uri="http://schemas.openxmlformats.org/drawingml/2006/picture">
                <pic:pic>
                  <pic:nvPicPr>
                    <pic:cNvPr descr="figures/pt/fig12_candidatos_finais.png" id="94" name="Picture"/>
                    <pic:cNvPicPr>
                      <a:picLocks noChangeArrowheads="1" noChangeAspect="1"/>
                    </pic:cNvPicPr>
                  </pic:nvPicPr>
                  <pic:blipFill>
                    <a:blip r:embed="rId92"/>
                    <a:stretch>
                      <a:fillRect/>
                    </a:stretch>
                  </pic:blipFill>
                  <pic:spPr bwMode="auto">
                    <a:xfrm>
                      <a:off x="0" y="0"/>
                      <a:ext cx="4679999" cy="3419999"/>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os 1.829 macrociclos da primeira rodada: ipTM e pLDDT do complexo por espécie e ipTM médio por comprimento." title="" id="96" name="Picture"/>
            <a:graphic>
              <a:graphicData uri="http://schemas.openxmlformats.org/drawingml/2006/picture">
                <pic:pic>
                  <pic:nvPicPr>
                    <pic:cNvPr descr="figures/pt/fig7_boltz2_1a_rodada.png" id="97" name="Picture"/>
                    <pic:cNvPicPr>
                      <a:picLocks noChangeArrowheads="1" noChangeAspect="1"/>
                    </pic:cNvPicPr>
                  </pic:nvPicPr>
                  <pic:blipFill>
                    <a:blip r:embed="rId95"/>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dos 1.829 macrociclos da primeira rodada: ipTM e pLDDT do complexo por espécie e ipTM médio por comprimento.</w:t>
      </w:r>
    </w:p>
    <w:p>
      <w:pPr>
        <w:pStyle w:val="CaptionedFigure"/>
      </w:pPr>
      <w:r>
        <w:drawing>
          <wp:inline>
            <wp:extent cx="4679999" cy="2092235"/>
            <wp:effectExtent b="0" l="0" r="0" t="0"/>
            <wp:docPr descr="Figura S9. Triagem por escore de motivos por espécie sob a regra linear-estrita e a circular." title="" id="99" name="Picture"/>
            <a:graphic>
              <a:graphicData uri="http://schemas.openxmlformats.org/drawingml/2006/picture">
                <pic:pic>
                  <pic:nvPicPr>
                    <pic:cNvPr descr="figures/pt/figS1_regras_motivo.png" id="100" name="Picture"/>
                    <pic:cNvPicPr>
                      <a:picLocks noChangeArrowheads="1" noChangeAspect="1"/>
                    </pic:cNvPicPr>
                  </pic:nvPicPr>
                  <pic:blipFill>
                    <a:blip r:embed="rId9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Triagem por escore de motivos por espécie sob a regra linear-estrita e a circular.</w:t>
      </w:r>
    </w:p>
    <w:p>
      <w:pPr>
        <w:pStyle w:val="BodyText"/>
      </w:pPr>
      <w:r>
        <w:t xml:space="preserve">![</w:t>
      </w:r>
      <w:r>
        <w:rPr>
          <w:b/>
          <w:bCs/>
        </w:rPr>
        <w:t xml:space="preserve">Figura S10.</w:t>
      </w:r>
      <w:r>
        <w:t xml:space="preserve"> </w:t>
      </w:r>
      <w:r>
        <w:t xml:space="preserve">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w:t>
      </w:r>
    </w:p>
    <w:p>
      <w:pPr>
        <w:pStyle w:val="BodyText"/>
      </w:pPr>
      <w:r>
        <w:rPr>
          <w:b/>
          <w:bCs/>
        </w:rPr>
        <w:t xml:space="preserve">Tabela S1.</w:t>
      </w:r>
      <w:r>
        <w:t xml:space="preserve"> </w:t>
      </w:r>
      <w:r>
        <w:t xml:space="preserve">Subsítios de referência (resíduos da tripsina bovina a até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101"/>
    <w:bookmarkStart w:id="102"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(2022a).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(2022b).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Júnior NRDS, Santos EGDD, Paulo DGS, Meriño-Cabrera Y, Pinto IDPA, Summy MJ, et al. (2026). Integrated Transcriptomic and Physiological Analyses Reveal Disruption of Digestive Homeostasis Induced by Protease Inhibitors in Anticarsia gemmatalis Caterpillars. Archives of Insect Biochemistry and Physiology 123, e70223. doi: 10.1002/arch.70223</w:t>
      </w:r>
    </w:p>
    <w:p>
      <w:pPr>
        <w:pStyle w:val="BodyText"/>
      </w:pPr>
      <w:r>
        <w:t xml:space="preserve">Karna N, Łęgowska A, Malicki S, Dębowski D, Golik P, Gitlin A, et al. (2015). Investigation of Serine-Proteinase-Catalyzed Peptide Splicing in Analogues of Sunflower Trypsin Inhibitor 1 (SFTI-1). ChemBioChem 16, 2036-2045. doi: 10.1002/cbic.201500296</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Mariano GA, de Oliveira JVA, Andrade RJD, Paulo DGS, Cabrera YBM, Santos EGDD, et al. (2026). Trypsinogen Pro-Region as a Molecular Scaffold for the Design of Competitive Peptide Inhibitors of Trypsin-Like Proteases. Archives of Insect Biochemistry and Physiology 123, e70224. doi: 10.1002/arch.70224</w:t>
      </w:r>
    </w:p>
    <w:p>
      <w:pPr>
        <w:pStyle w:val="BodyText"/>
      </w:pPr>
      <w:r>
        <w:t xml:space="preserve">Meriño-Cabrera Y, de Oliveira Mendes TA, Castro JGS, Barbosa SL, Macedo MLR, de Almeida Oliveira MG (2020a).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(2020b).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Pan Y, Cheng K, Mao J, Liu F, Liu J, Ye M, et al. (2014). Quantitative proteomics reveals the kinetics of trypsin-catalyzed protein digestion. Analytical and Bioanalytical Chemistry 406, 6247-6256. doi: 10.1007/s00216-014-8071-6</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Rodriguez J, Gupta N, Smith RD, Pevzner PA (2008). Does Trypsin Cut Before Proline? Journal of Proteome Research 7, 300-305. doi: 10.1021/pr0705035</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Song J, Markley JL (2003). Protein Inhibitors of Serine Proteinases: Role of Backbone Structure and Dynamics in Controlling the Hydrolysis Constant. Biochemistry 42, 5186-5194. doi: 10.1021/bi034041u</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Wei W, Ma J, Xie D, Zhou Y (2019). Linking inhibitor motions to proteolytic stability of sunflower trypsin inhibitor-1. RSC Advances 9, 13776-13786. doi: 10.1039/c9ra02114k</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(2013).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(2011).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2"/>
    <w:bookmarkEnd w:id="103"/>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77" Type="http://schemas.openxmlformats.org/officeDocument/2006/relationships/image" Target="media/rId77.png"/><Relationship Id="rId86" Type="http://schemas.openxmlformats.org/officeDocument/2006/relationships/image" Target="media/rId86.png"/><Relationship Id="rId42" Type="http://schemas.openxmlformats.org/officeDocument/2006/relationships/image" Target="media/rId42.png"/><Relationship Id="rId92" Type="http://schemas.openxmlformats.org/officeDocument/2006/relationships/image" Target="media/rId92.png"/><Relationship Id="rId74" Type="http://schemas.openxmlformats.org/officeDocument/2006/relationships/image" Target="media/rId74.png"/><Relationship Id="rId34" Type="http://schemas.openxmlformats.org/officeDocument/2006/relationships/image" Target="media/rId34.png"/><Relationship Id="rId80" Type="http://schemas.openxmlformats.org/officeDocument/2006/relationships/image" Target="media/rId80.png"/><Relationship Id="rId95" Type="http://schemas.openxmlformats.org/officeDocument/2006/relationships/image" Target="media/rId95.png"/><Relationship Id="rId38" Type="http://schemas.openxmlformats.org/officeDocument/2006/relationships/image" Target="media/rId38.png"/><Relationship Id="rId83" Type="http://schemas.openxmlformats.org/officeDocument/2006/relationships/image" Target="media/rId83.png"/><Relationship Id="rId98" Type="http://schemas.openxmlformats.org/officeDocument/2006/relationships/image" Target="media/rId98.png"/><Relationship Id="rId89" Type="http://schemas.openxmlformats.org/officeDocument/2006/relationships/image" Target="media/rId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2026-10-09T02:51:17Z</dcterms:created>
  <dcterms:modified xsi:type="dcterms:W3CDTF">2026-10-09T02:51:17Z</dcterms:modified>
</cp:coreProperties>
</file>

<file path=docProps/custom.xml><?xml version="1.0" encoding="utf-8"?>
<Properties xmlns="http://schemas.openxmlformats.org/officeDocument/2006/custom-properties" xmlns:vt="http://schemas.openxmlformats.org/officeDocument/2006/docPropsVTypes"/>
</file>