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documento-de-leitura-e-avaliação-manual"/>
    <w:p>
      <w:pPr>
        <w:pStyle w:val="Heading1"/>
      </w:pPr>
      <w:r>
        <w:t xml:space="preserve">Documento de leitura e avaliação manual</w:t>
      </w:r>
    </w:p>
    <w:p>
      <w:pPr>
        <w:pStyle w:val="FirstParagraph"/>
      </w:pPr>
      <w:r>
        <w:rPr>
          <w:b/>
          <w:bCs/>
        </w:rPr>
        <w:t xml:space="preserve">Manuscrito:</w:t>
      </w:r>
      <w:r>
        <w:t xml:space="preserve"> </w:t>
      </w:r>
      <w:r>
        <w:t xml:space="preserve">From Natural Protease Inhibitors to De Novo Candidate Peptides Targeting Digestive Trypsins of Lepidopteran Pests</w:t>
      </w:r>
      <w:r>
        <w:t xml:space="preserve"> </w:t>
      </w:r>
      <w:r>
        <w:rPr>
          <w:b/>
          <w:bCs/>
        </w:rPr>
        <w:t xml:space="preserve">Destino:</w:t>
      </w:r>
      <w:r>
        <w:t xml:space="preserve"> </w:t>
      </w:r>
      <w:r>
        <w:rPr>
          <w:i/>
          <w:iCs/>
        </w:rPr>
        <w:t xml:space="preserve">Frontiers in Natural Products</w:t>
      </w:r>
      <w:r>
        <w:t xml:space="preserve"> </w:t>
      </w:r>
      <w:r>
        <w:t xml:space="preserve">(Frontiers) — seção</w:t>
      </w:r>
      <w:r>
        <w:t xml:space="preserve"> </w:t>
      </w:r>
      <w:r>
        <w:rPr>
          <w:i/>
          <w:iCs/>
        </w:rPr>
        <w:t xml:space="preserve">Informatics and Computational Methods</w:t>
      </w:r>
      <w:r>
        <w:t xml:space="preserve"> </w:t>
      </w:r>
      <w:r>
        <w:rPr>
          <w:b/>
          <w:bCs/>
        </w:rPr>
        <w:t xml:space="preserve">Versão em português para leitura interna.</w:t>
      </w:r>
      <w:r>
        <w:t xml:space="preserve"> </w:t>
      </w:r>
      <w:r>
        <w:t xml:space="preserve">O texto para submissão é o manuscrito em inglês (</w:t>
      </w:r>
      <w:r>
        <w:rPr>
          <w:rStyle w:val="VerbatimChar"/>
        </w:rPr>
        <w:t xml:space="preserve">manuscript/manuscript.md</w:t>
      </w:r>
      <w:r>
        <w:t xml:space="preserve">); esta tradução mantém os números idênticos, com vírgula decimal e ponto de milhar, e os rótulos de classe (RESISTENTE, MARGINAL, SUSCEPTIVEL) do código. As referências permanecem em inglês, como exige a revista.</w:t>
      </w:r>
    </w:p>
    <w:bookmarkStart w:id="9" w:name="como-ler-as-marcações"/>
    <w:p>
      <w:pPr>
        <w:pStyle w:val="Heading2"/>
      </w:pPr>
      <w:r>
        <w:t xml:space="preserve">Como ler as marcações</w:t>
      </w:r>
    </w:p>
    <w:p>
      <w:pPr>
        <w:pStyle w:val="Compact"/>
        <w:numPr>
          <w:ilvl w:val="0"/>
          <w:numId w:val="1001"/>
        </w:numPr>
      </w:pPr>
      <w:r>
        <w:t xml:space="preserve">Trechos em</w:t>
      </w:r>
      <w:r>
        <w:t xml:space="preserve"> </w:t>
      </w:r>
      <w:r>
        <w:rPr>
          <w:b/>
          <w:bCs/>
        </w:rPr>
        <w:t xml:space="preserve">amarelo</w:t>
      </w:r>
      <w:r>
        <w:t xml:space="preserve"> </w:t>
      </w:r>
      <w:r>
        <w:t xml:space="preserve">marcam o que ainda depende de simulações em andamento ou de informação dos autores.</w:t>
      </w:r>
    </w:p>
    <w:p>
      <w:pPr>
        <w:pStyle w:val="Compact"/>
        <w:numPr>
          <w:ilvl w:val="0"/>
          <w:numId w:val="1001"/>
        </w:numPr>
      </w:pPr>
      <w:r>
        <w:t xml:space="preserve">Nada nesta versão foi inventado para preencher lacunas: o que ainda depende de decisão ou de informação dos autores (lista de peptídeos recomendados, robustez ao pH) está marcado.</w:t>
      </w:r>
    </w:p>
    <w:bookmarkEnd w:id="9"/>
    <w:bookmarkStart w:id="10" w:name="X9d1ec4852d92a006612a299ba4e243f1e4ea3fa"/>
    <w:p>
      <w:pPr>
        <w:pStyle w:val="Heading2"/>
      </w:pPr>
      <w:r>
        <w:t xml:space="preserve">Painel de conformidade com as métricas da revista</w:t>
      </w:r>
    </w:p>
    <w:tbl>
      <w:tblPr>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on"/>
        </w:trPr>
        <w:tc>
          <w:tcPr/>
          <w:p>
            <w:pPr>
              <w:pStyle w:val="Compact"/>
              <w:spacing w:line="240" w:lineRule="auto"/>
            </w:pPr>
            <w:r>
              <w:rPr>
                <w:b/>
                <w:sz w:val="18"/>
              </w:rPr>
              <w:t xml:space="preserve">Requisito</w:t>
            </w:r>
          </w:p>
        </w:tc>
        <w:tc>
          <w:tcPr/>
          <w:p>
            <w:pPr>
              <w:pStyle w:val="Compact"/>
              <w:spacing w:line="240" w:lineRule="auto"/>
            </w:pPr>
            <w:r>
              <w:rPr>
                <w:b/>
                <w:sz w:val="18"/>
              </w:rPr>
              <w:t xml:space="preserve">Limite / padrão</w:t>
            </w:r>
          </w:p>
        </w:tc>
        <w:tc>
          <w:tcPr/>
          <w:p>
            <w:pPr>
              <w:pStyle w:val="Compact"/>
              <w:spacing w:line="240" w:lineRule="auto"/>
            </w:pPr>
            <w:r>
              <w:rPr>
                <w:b/>
                <w:sz w:val="18"/>
              </w:rPr>
              <w:t xml:space="preserve">Situação atual</w:t>
            </w:r>
          </w:p>
        </w:tc>
        <w:tc>
          <w:tcPr/>
          <w:p>
            <w:pPr>
              <w:pStyle w:val="Compact"/>
              <w:spacing w:line="240" w:lineRule="auto"/>
            </w:pPr>
            <w:r>
              <w:rPr>
                <w:b/>
                <w:sz w:val="18"/>
              </w:rPr>
              <w:t xml:space="preserve">Estado</w:t>
            </w:r>
          </w:p>
        </w:tc>
      </w:tr>
      <w:tr>
        <w:tc>
          <w:tcPr/>
          <w:p>
            <w:pPr>
              <w:pStyle w:val="Compact"/>
              <w:spacing w:line="240" w:lineRule="auto"/>
            </w:pPr>
            <w:r>
              <w:rPr>
                <w:sz w:val="18"/>
              </w:rPr>
              <w:t xml:space="preserve">Tipo de artigo</w:t>
            </w:r>
          </w:p>
        </w:tc>
        <w:tc>
          <w:tcPr/>
          <w:p>
            <w:pPr>
              <w:pStyle w:val="Compact"/>
              <w:spacing w:line="240" w:lineRule="auto"/>
            </w:pPr>
            <w:r>
              <w:rPr>
                <w:sz w:val="18"/>
              </w:rPr>
              <w:t xml:space="preserve">Original Research (IMRaD: Resumo, Introdução, Material e métodos, Resultados, Discussão)</w:t>
            </w:r>
          </w:p>
        </w:tc>
        <w:tc>
          <w:tcPr/>
          <w:p>
            <w:pPr>
              <w:pStyle w:val="Compact"/>
              <w:spacing w:line="240" w:lineRule="auto"/>
            </w:pPr>
            <w:r>
              <w:rPr>
                <w:sz w:val="18"/>
              </w:rPr>
              <w:t xml:space="preserve">Estrutura cumprida</w:t>
            </w:r>
          </w:p>
        </w:tc>
        <w:tc>
          <w:tcPr/>
          <w:p>
            <w:pPr>
              <w:pStyle w:val="Compact"/>
              <w:spacing w:line="240" w:lineRule="auto"/>
            </w:pPr>
            <w:r>
              <w:rPr>
                <w:sz w:val="18"/>
              </w:rPr>
              <w:t xml:space="preserve">OK</w:t>
            </w:r>
          </w:p>
        </w:tc>
      </w:tr>
      <w:tr>
        <w:tc>
          <w:tcPr/>
          <w:p>
            <w:pPr>
              <w:pStyle w:val="Compact"/>
              <w:spacing w:line="240" w:lineRule="auto"/>
            </w:pPr>
            <w:r>
              <w:rPr>
                <w:sz w:val="18"/>
              </w:rPr>
              <w:t xml:space="preserve">Extensão do texto principal</w:t>
            </w:r>
          </w:p>
        </w:tc>
        <w:tc>
          <w:tcPr/>
          <w:p>
            <w:pPr>
              <w:pStyle w:val="Compact"/>
              <w:spacing w:line="240" w:lineRule="auto"/>
            </w:pPr>
            <w:r>
              <w:rPr>
                <w:sz w:val="18"/>
              </w:rPr>
              <w:t xml:space="preserve">≤ 12.000 palavras (Original Research; página oficial de tipos de artigo da revista, conferida em 30/09/2026)</w:t>
            </w:r>
          </w:p>
        </w:tc>
        <w:tc>
          <w:tcPr/>
          <w:p>
            <w:pPr>
              <w:pStyle w:val="Compact"/>
              <w:spacing w:line="240" w:lineRule="auto"/>
            </w:pPr>
            <w:r>
              <w:rPr>
                <w:sz w:val="18"/>
              </w:rPr>
              <w:t xml:space="preserve">9,224 palavras no original em inglês (corpo sem tabelas, títulos e legendas; cada citação contada como uma palavra); tradução: 10,006</w:t>
            </w:r>
          </w:p>
        </w:tc>
        <w:tc>
          <w:tcPr/>
          <w:p>
            <w:pPr>
              <w:pStyle w:val="Compact"/>
              <w:spacing w:line="240" w:lineRule="auto"/>
            </w:pPr>
            <w:r>
              <w:rPr>
                <w:sz w:val="18"/>
              </w:rPr>
              <w:t xml:space="preserve">OK (margem de 2,776 palavras)</w:t>
            </w:r>
          </w:p>
        </w:tc>
      </w:tr>
      <w:tr>
        <w:tc>
          <w:tcPr/>
          <w:p>
            <w:pPr>
              <w:pStyle w:val="Compact"/>
              <w:spacing w:line="240" w:lineRule="auto"/>
            </w:pPr>
            <w:r>
              <w:rPr>
                <w:sz w:val="18"/>
              </w:rPr>
              <w:t xml:space="preserve">Resumo</w:t>
            </w:r>
          </w:p>
        </w:tc>
        <w:tc>
          <w:tcPr/>
          <w:p>
            <w:pPr>
              <w:pStyle w:val="Compact"/>
              <w:spacing w:line="240" w:lineRule="auto"/>
            </w:pPr>
            <w:r>
              <w:rPr>
                <w:sz w:val="18"/>
              </w:rPr>
              <w:t xml:space="preserve">≤ 350 palavras (convenção da Frontiers; a página da revista não especifica o número)</w:t>
            </w:r>
          </w:p>
        </w:tc>
        <w:tc>
          <w:tcPr/>
          <w:p>
            <w:pPr>
              <w:pStyle w:val="Compact"/>
              <w:spacing w:line="240" w:lineRule="auto"/>
            </w:pPr>
            <w:r>
              <w:rPr>
                <w:sz w:val="18"/>
              </w:rPr>
              <w:t xml:space="preserve">359 palavras no original em inglês (reescrito em 05/10/2026 para caber no limite); tradução: 406</w:t>
            </w:r>
          </w:p>
        </w:tc>
        <w:tc>
          <w:tcPr/>
          <w:p>
            <w:pPr>
              <w:pStyle w:val="Compact"/>
              <w:spacing w:line="240" w:lineRule="auto"/>
            </w:pPr>
            <w:r>
              <w:rPr>
                <w:sz w:val="18"/>
              </w:rPr>
              <w:t xml:space="preserve">OK</w:t>
            </w:r>
          </w:p>
        </w:tc>
      </w:tr>
      <w:tr>
        <w:tc>
          <w:tcPr/>
          <w:p>
            <w:pPr>
              <w:pStyle w:val="Compact"/>
              <w:spacing w:line="240" w:lineRule="auto"/>
            </w:pPr>
            <w:r>
              <w:rPr>
                <w:sz w:val="18"/>
              </w:rPr>
              <w:t xml:space="preserve">Palavras-chave</w:t>
            </w:r>
          </w:p>
        </w:tc>
        <w:tc>
          <w:tcPr/>
          <w:p>
            <w:pPr>
              <w:pStyle w:val="Compact"/>
              <w:spacing w:line="240" w:lineRule="auto"/>
            </w:pPr>
            <w:r>
              <w:rPr>
                <w:sz w:val="18"/>
              </w:rPr>
              <w:t xml:space="preserve">5–8 (diretrizes gerais da Frontiers)</w:t>
            </w:r>
          </w:p>
        </w:tc>
        <w:tc>
          <w:tcPr/>
          <w:p>
            <w:pPr>
              <w:pStyle w:val="Compact"/>
              <w:spacing w:line="240" w:lineRule="auto"/>
            </w:pPr>
            <w:r>
              <w:rPr>
                <w:sz w:val="18"/>
              </w:rPr>
              <w:t xml:space="preserve">8</w:t>
            </w:r>
          </w:p>
        </w:tc>
        <w:tc>
          <w:tcPr/>
          <w:p>
            <w:pPr>
              <w:pStyle w:val="Compact"/>
              <w:spacing w:line="240" w:lineRule="auto"/>
            </w:pPr>
            <w:r>
              <w:rPr>
                <w:sz w:val="18"/>
              </w:rPr>
              <w:t xml:space="preserve">OK</w:t>
            </w:r>
          </w:p>
        </w:tc>
      </w:tr>
      <w:tr>
        <w:tc>
          <w:tcPr/>
          <w:p>
            <w:pPr>
              <w:pStyle w:val="Compact"/>
              <w:spacing w:line="240" w:lineRule="auto"/>
            </w:pPr>
            <w:r>
              <w:rPr>
                <w:sz w:val="18"/>
              </w:rPr>
              <w:t xml:space="preserve">Título</w:t>
            </w:r>
          </w:p>
        </w:tc>
        <w:tc>
          <w:tcPr/>
          <w:p>
            <w:pPr>
              <w:pStyle w:val="Compact"/>
              <w:spacing w:line="240" w:lineRule="auto"/>
            </w:pPr>
            <w:r>
              <w:rPr>
                <w:sz w:val="18"/>
              </w:rPr>
              <w:t xml:space="preserve">informativo e conciso; sem limite de caracteres na página da Frontiers</w:t>
            </w:r>
          </w:p>
        </w:tc>
        <w:tc>
          <w:tcPr/>
          <w:p>
            <w:pPr>
              <w:pStyle w:val="Compact"/>
              <w:spacing w:line="240" w:lineRule="auto"/>
            </w:pPr>
            <w:r>
              <w:rPr>
                <w:sz w:val="18"/>
              </w:rPr>
              <w:t xml:space="preserve">título oficial definido pelos autores, 113 caracteres</w:t>
            </w:r>
          </w:p>
        </w:tc>
        <w:tc>
          <w:tcPr/>
          <w:p>
            <w:pPr>
              <w:pStyle w:val="Compact"/>
              <w:spacing w:line="240" w:lineRule="auto"/>
            </w:pPr>
            <w:r>
              <w:rPr>
                <w:sz w:val="18"/>
              </w:rPr>
              <w:t xml:space="preserve">OK</w:t>
            </w:r>
          </w:p>
        </w:tc>
      </w:tr>
      <w:tr>
        <w:tc>
          <w:tcPr/>
          <w:p>
            <w:pPr>
              <w:pStyle w:val="Compact"/>
              <w:spacing w:line="240" w:lineRule="auto"/>
            </w:pPr>
            <w:r>
              <w:rPr>
                <w:sz w:val="18"/>
              </w:rPr>
              <w:t xml:space="preserve">Título curto</w:t>
            </w:r>
          </w:p>
        </w:tc>
        <w:tc>
          <w:tcPr/>
          <w:p>
            <w:pPr>
              <w:pStyle w:val="Compact"/>
              <w:spacing w:line="240" w:lineRule="auto"/>
            </w:pPr>
            <w:r>
              <w:rPr>
                <w:sz w:val="18"/>
              </w:rPr>
              <w:t xml:space="preserve">≤ cerca de 50 caracteres (prática da Frontiers; não especificado na página)</w:t>
            </w:r>
          </w:p>
        </w:tc>
        <w:tc>
          <w:tcPr/>
          <w:p>
            <w:pPr>
              <w:pStyle w:val="Compact"/>
              <w:spacing w:line="240" w:lineRule="auto"/>
            </w:pPr>
            <w:r>
              <w:rPr>
                <w:sz w:val="18"/>
              </w:rPr>
              <w:t xml:space="preserve">48 caracteres</w:t>
            </w:r>
          </w:p>
        </w:tc>
        <w:tc>
          <w:tcPr/>
          <w:p>
            <w:pPr>
              <w:pStyle w:val="Compact"/>
              <w:spacing w:line="240" w:lineRule="auto"/>
            </w:pPr>
            <w:r>
              <w:rPr>
                <w:sz w:val="18"/>
              </w:rPr>
              <w:t xml:space="preserve">OK</w:t>
            </w:r>
          </w:p>
        </w:tc>
      </w:tr>
      <w:tr>
        <w:tc>
          <w:tcPr/>
          <w:p>
            <w:pPr>
              <w:pStyle w:val="Compact"/>
              <w:spacing w:line="240" w:lineRule="auto"/>
            </w:pPr>
            <w:r>
              <w:rPr>
                <w:sz w:val="18"/>
              </w:rPr>
              <w:t xml:space="preserve">Figuras</w:t>
            </w:r>
          </w:p>
        </w:tc>
        <w:tc>
          <w:tcPr/>
          <w:p>
            <w:pPr>
              <w:pStyle w:val="Compact"/>
              <w:spacing w:line="240" w:lineRule="auto"/>
            </w:pPr>
            <w:r>
              <w:rPr>
                <w:sz w:val="18"/>
              </w:rPr>
              <w:t xml:space="preserve">300 dpi no tamanho final; TIFF, JPEG ou EPS; RGB</w:t>
            </w:r>
          </w:p>
        </w:tc>
        <w:tc>
          <w:tcPr/>
          <w:p>
            <w:pPr>
              <w:pStyle w:val="Compact"/>
              <w:spacing w:line="240" w:lineRule="auto"/>
            </w:pPr>
            <w:r>
              <w:rPr>
                <w:sz w:val="18"/>
              </w:rPr>
              <w:t xml:space="preserve">8 figuras + 9 suplementares em PNG, TIFF (LZW) e PDF vetorial a 300 dpi, largura 180 mm, RGB; as Figuras 13 e 14 (controles) foram retiradas</w:t>
            </w:r>
          </w:p>
        </w:tc>
        <w:tc>
          <w:tcPr/>
          <w:p>
            <w:pPr>
              <w:pStyle w:val="Compact"/>
              <w:spacing w:line="240" w:lineRule="auto"/>
            </w:pPr>
            <w:r>
              <w:rPr>
                <w:sz w:val="18"/>
              </w:rPr>
              <w:t xml:space="preserve">OK</w:t>
            </w:r>
          </w:p>
        </w:tc>
      </w:tr>
      <w:tr>
        <w:tc>
          <w:tcPr/>
          <w:p>
            <w:pPr>
              <w:pStyle w:val="Compact"/>
              <w:spacing w:line="240" w:lineRule="auto"/>
            </w:pPr>
            <w:r>
              <w:rPr>
                <w:sz w:val="18"/>
              </w:rPr>
              <w:t xml:space="preserve">Tabelas</w:t>
            </w:r>
          </w:p>
        </w:tc>
        <w:tc>
          <w:tcPr/>
          <w:p>
            <w:pPr>
              <w:pStyle w:val="Compact"/>
              <w:spacing w:line="240" w:lineRule="auto"/>
            </w:pPr>
            <w:r>
              <w:rPr>
                <w:sz w:val="18"/>
              </w:rPr>
              <w:t xml:space="preserve">editáveis, com legenda</w:t>
            </w:r>
          </w:p>
        </w:tc>
        <w:tc>
          <w:tcPr/>
          <w:p>
            <w:pPr>
              <w:pStyle w:val="Compact"/>
              <w:spacing w:line="240" w:lineRule="auto"/>
            </w:pPr>
            <w:r>
              <w:rPr>
                <w:sz w:val="18"/>
              </w:rPr>
              <w:t xml:space="preserve">4 tabelas</w:t>
            </w:r>
          </w:p>
        </w:tc>
        <w:tc>
          <w:tcPr/>
          <w:p>
            <w:pPr>
              <w:pStyle w:val="Compact"/>
              <w:spacing w:line="240" w:lineRule="auto"/>
            </w:pPr>
            <w:r>
              <w:rPr>
                <w:sz w:val="18"/>
              </w:rPr>
              <w:t xml:space="preserve">OK</w:t>
            </w:r>
          </w:p>
        </w:tc>
      </w:tr>
      <w:tr>
        <w:tc>
          <w:tcPr/>
          <w:p>
            <w:pPr>
              <w:pStyle w:val="Compact"/>
              <w:spacing w:line="240" w:lineRule="auto"/>
            </w:pPr>
            <w:r>
              <w:rPr>
                <w:sz w:val="18"/>
              </w:rPr>
              <w:t xml:space="preserve">Referências</w:t>
            </w:r>
          </w:p>
        </w:tc>
        <w:tc>
          <w:tcPr/>
          <w:p>
            <w:pPr>
              <w:pStyle w:val="Compact"/>
              <w:spacing w:line="240" w:lineRule="auto"/>
            </w:pPr>
            <w:r>
              <w:rPr>
                <w:sz w:val="18"/>
              </w:rPr>
              <w:t xml:space="preserve">autor-ano (Harvard), seis primeiros autores e</w:t>
            </w:r>
            <w:r>
              <w:rPr>
                <w:sz w:val="18"/>
              </w:rPr>
              <w:t xml:space="preserve"> </w:t>
            </w:r>
            <w:r>
              <w:rPr>
                <w:sz w:val="18"/>
              </w:rPr>
              <w:t xml:space="preserve">“et al.”</w:t>
            </w:r>
            <w:r>
              <w:rPr>
                <w:sz w:val="18"/>
              </w:rPr>
              <w:t xml:space="preserve">, com DOI</w:t>
            </w:r>
          </w:p>
        </w:tc>
        <w:tc>
          <w:tcPr/>
          <w:p>
            <w:pPr>
              <w:pStyle w:val="Compact"/>
              <w:spacing w:line="240" w:lineRule="auto"/>
            </w:pPr>
            <w:r>
              <w:rPr>
                <w:sz w:val="18"/>
              </w:rPr>
              <w:t xml:space="preserve">91 referências, todas com metadados conferidos no Crossref/PubMed; nenhuma citada sem estar na lista, nenhuma na lista sem ser citada</w:t>
            </w:r>
          </w:p>
        </w:tc>
        <w:tc>
          <w:tcPr/>
          <w:p>
            <w:pPr>
              <w:pStyle w:val="Compact"/>
              <w:spacing w:line="240" w:lineRule="auto"/>
            </w:pPr>
            <w:r>
              <w:rPr>
                <w:sz w:val="18"/>
              </w:rPr>
              <w:t xml:space="preserve">OK</w:t>
            </w:r>
          </w:p>
        </w:tc>
      </w:tr>
      <w:tr>
        <w:tc>
          <w:tcPr/>
          <w:p>
            <w:pPr>
              <w:pStyle w:val="Compact"/>
              <w:spacing w:line="240" w:lineRule="auto"/>
            </w:pPr>
            <w:r>
              <w:rPr>
                <w:sz w:val="18"/>
              </w:rPr>
              <w:t xml:space="preserve">Declaração de disponibilidade de dados</w:t>
            </w:r>
          </w:p>
        </w:tc>
        <w:tc>
          <w:tcPr/>
          <w:p>
            <w:pPr>
              <w:pStyle w:val="Compact"/>
              <w:spacing w:line="240" w:lineRule="auto"/>
            </w:pPr>
            <w:r>
              <w:rPr>
                <w:sz w:val="18"/>
              </w:rPr>
              <w:t xml:space="preserve">obrigatória</w:t>
            </w:r>
          </w:p>
        </w:tc>
        <w:tc>
          <w:tcPr/>
          <w:p>
            <w:pPr>
              <w:pStyle w:val="Compact"/>
              <w:spacing w:line="240" w:lineRule="auto"/>
            </w:pPr>
            <w:r>
              <w:rPr>
                <w:sz w:val="18"/>
              </w:rPr>
              <w:t xml:space="preserve">seção criada; falta confirmar visibilidade do repositório e DOI de arquivamento</w:t>
            </w:r>
          </w:p>
        </w:tc>
        <w:tc>
          <w:tcPr/>
          <w:p>
            <w:pPr>
              <w:pStyle w:val="Compact"/>
              <w:spacing w:line="240" w:lineRule="auto"/>
            </w:pPr>
            <w:r>
              <w:rPr>
                <w:sz w:val="18"/>
              </w:rPr>
              <w:t xml:space="preserve">pendente</w:t>
            </w:r>
          </w:p>
        </w:tc>
      </w:tr>
      <w:tr>
        <w:tc>
          <w:tcPr/>
          <w:p>
            <w:pPr>
              <w:pStyle w:val="Compact"/>
              <w:spacing w:line="240" w:lineRule="auto"/>
            </w:pPr>
            <w:r>
              <w:rPr>
                <w:sz w:val="18"/>
              </w:rPr>
              <w:t xml:space="preserve">Contribuições dos autores, financiamento, conflito de interesses, agradecimentos</w:t>
            </w:r>
          </w:p>
        </w:tc>
        <w:tc>
          <w:tcPr/>
          <w:p>
            <w:pPr>
              <w:pStyle w:val="Compact"/>
              <w:spacing w:line="240" w:lineRule="auto"/>
            </w:pPr>
            <w:r>
              <w:rPr>
                <w:sz w:val="18"/>
              </w:rPr>
              <w:t xml:space="preserve">obrigatórios</w:t>
            </w:r>
          </w:p>
        </w:tc>
        <w:tc>
          <w:tcPr/>
          <w:p>
            <w:pPr>
              <w:pStyle w:val="Compact"/>
              <w:spacing w:line="240" w:lineRule="auto"/>
            </w:pPr>
            <w:r>
              <w:rPr>
                <w:sz w:val="18"/>
              </w:rPr>
              <w:t xml:space="preserve">seções criadas, conteúdo a completar pelos autores</w:t>
            </w:r>
          </w:p>
        </w:tc>
        <w:tc>
          <w:tcPr/>
          <w:p>
            <w:pPr>
              <w:pStyle w:val="Compact"/>
              <w:spacing w:line="240" w:lineRule="auto"/>
            </w:pPr>
            <w:r>
              <w:rPr>
                <w:sz w:val="18"/>
              </w:rPr>
              <w:t xml:space="preserve">pendente</w:t>
            </w:r>
          </w:p>
        </w:tc>
      </w:tr>
      <w:tr>
        <w:tc>
          <w:tcPr/>
          <w:p>
            <w:pPr>
              <w:pStyle w:val="Compact"/>
              <w:spacing w:line="240" w:lineRule="auto"/>
            </w:pPr>
            <w:r>
              <w:rPr>
                <w:sz w:val="18"/>
              </w:rPr>
              <w:t xml:space="preserve">Declaração de uso de IA generativa</w:t>
            </w:r>
          </w:p>
        </w:tc>
        <w:tc>
          <w:tcPr/>
          <w:p>
            <w:pPr>
              <w:pStyle w:val="Compact"/>
              <w:spacing w:line="240" w:lineRule="auto"/>
            </w:pPr>
            <w:r>
              <w:rPr>
                <w:sz w:val="18"/>
              </w:rPr>
              <w:t xml:space="preserve">seção própria (</w:t>
            </w:r>
            <w:r>
              <w:rPr>
                <w:sz w:val="18"/>
              </w:rPr>
              <w:t xml:space="preserve">“Generative AI statement”</w:t>
            </w:r>
            <w:r>
              <w:rPr>
                <w:sz w:val="18"/>
              </w:rPr>
              <w:t xml:space="preserve">) nos artigos de exemplo da revista</w:t>
            </w:r>
          </w:p>
        </w:tc>
        <w:tc>
          <w:tcPr/>
          <w:p>
            <w:pPr>
              <w:pStyle w:val="Compact"/>
              <w:spacing w:line="240" w:lineRule="auto"/>
            </w:pPr>
            <w:r>
              <w:rPr>
                <w:sz w:val="18"/>
              </w:rPr>
              <w:t xml:space="preserve">seção criada com rascunho no formato da revista, a confirmar pelos autores</w:t>
            </w:r>
          </w:p>
        </w:tc>
        <w:tc>
          <w:tcPr/>
          <w:p>
            <w:pPr>
              <w:pStyle w:val="Compact"/>
              <w:spacing w:line="240" w:lineRule="auto"/>
            </w:pPr>
            <w:r>
              <w:rPr>
                <w:sz w:val="18"/>
              </w:rPr>
              <w:t xml:space="preserve">pendente</w:t>
            </w:r>
          </w:p>
        </w:tc>
      </w:tr>
      <w:tr>
        <w:tc>
          <w:tcPr/>
          <w:p>
            <w:pPr>
              <w:pStyle w:val="Compact"/>
              <w:spacing w:line="240" w:lineRule="auto"/>
            </w:pPr>
            <w:r>
              <w:rPr>
                <w:sz w:val="18"/>
              </w:rPr>
              <w:t xml:space="preserve">Declaração de ética</w:t>
            </w:r>
          </w:p>
        </w:tc>
        <w:tc>
          <w:tcPr/>
          <w:p>
            <w:pPr>
              <w:pStyle w:val="Compact"/>
              <w:spacing w:line="240" w:lineRule="auto"/>
            </w:pPr>
            <w:r>
              <w:rPr>
                <w:sz w:val="18"/>
              </w:rPr>
              <w:t xml:space="preserve">exigida para estudos com animais ou humanos</w:t>
            </w:r>
          </w:p>
        </w:tc>
        <w:tc>
          <w:tcPr/>
          <w:p>
            <w:pPr>
              <w:pStyle w:val="Compact"/>
              <w:spacing w:line="240" w:lineRule="auto"/>
            </w:pPr>
            <w:r>
              <w:rPr>
                <w:sz w:val="18"/>
              </w:rPr>
              <w:t xml:space="preserve">seção criada: não se aplica</w:t>
            </w:r>
          </w:p>
        </w:tc>
        <w:tc>
          <w:tcPr/>
          <w:p>
            <w:pPr>
              <w:pStyle w:val="Compact"/>
              <w:spacing w:line="240" w:lineRule="auto"/>
            </w:pPr>
            <w:r>
              <w:rPr>
                <w:sz w:val="18"/>
              </w:rPr>
              <w:t xml:space="preserve">OK</w:t>
            </w:r>
          </w:p>
        </w:tc>
      </w:tr>
      <w:tr>
        <w:tc>
          <w:tcPr/>
          <w:p>
            <w:pPr>
              <w:pStyle w:val="Compact"/>
              <w:spacing w:line="240" w:lineRule="auto"/>
            </w:pPr>
            <w:r>
              <w:rPr>
                <w:sz w:val="18"/>
              </w:rPr>
              <w:t xml:space="preserve">Lista de autores e afiliações</w:t>
            </w:r>
          </w:p>
        </w:tc>
        <w:tc>
          <w:tcPr/>
          <w:p>
            <w:pPr>
              <w:pStyle w:val="Compact"/>
              <w:spacing w:line="240" w:lineRule="auto"/>
            </w:pPr>
            <w:r>
              <w:rPr>
                <w:sz w:val="18"/>
              </w:rPr>
              <w:t xml:space="preserve">obrigatória</w:t>
            </w:r>
          </w:p>
        </w:tc>
        <w:tc>
          <w:tcPr/>
          <w:p>
            <w:pPr>
              <w:pStyle w:val="Compact"/>
              <w:spacing w:line="240" w:lineRule="auto"/>
            </w:pPr>
            <w:r>
              <w:rPr>
                <w:sz w:val="18"/>
              </w:rPr>
              <w:t xml:space="preserve">não preenchida</w:t>
            </w:r>
          </w:p>
        </w:tc>
        <w:tc>
          <w:tcPr/>
          <w:p>
            <w:pPr>
              <w:pStyle w:val="Compact"/>
              <w:spacing w:line="240" w:lineRule="auto"/>
            </w:pPr>
            <w:r>
              <w:rPr>
                <w:sz w:val="18"/>
              </w:rPr>
              <w:t xml:space="preserve">pendente</w:t>
            </w:r>
          </w:p>
        </w:tc>
      </w:tr>
      <w:tr>
        <w:tc>
          <w:tcPr/>
          <w:p>
            <w:pPr>
              <w:pStyle w:val="Compact"/>
              <w:spacing w:line="240" w:lineRule="auto"/>
            </w:pPr>
            <w:r>
              <w:rPr>
                <w:sz w:val="18"/>
              </w:rPr>
              <w:t xml:space="preserve">Formato frente aos três artigos de exemplo da</w:t>
            </w:r>
            <w:r>
              <w:rPr>
                <w:sz w:val="18"/>
              </w:rPr>
              <w:t xml:space="preserve"> </w:t>
            </w:r>
            <w:r>
              <w:rPr>
                <w:i/>
                <w:iCs/>
                <w:sz w:val="18"/>
              </w:rPr>
              <w:t xml:space="preserve">Frontiers in Natural Products</w:t>
            </w:r>
            <w:r>
              <w:rPr>
                <w:sz w:val="18"/>
              </w:rPr>
              <w:t xml:space="preserve"> </w:t>
            </w:r>
            <w:r>
              <w:rPr>
                <w:sz w:val="18"/>
              </w:rPr>
              <w:t xml:space="preserve">(pasta</w:t>
            </w:r>
            <w:r>
              <w:rPr>
                <w:sz w:val="18"/>
              </w:rPr>
              <w:t xml:space="preserve"> </w:t>
            </w:r>
            <w:r>
              <w:rPr>
                <w:rStyle w:val="VerbatimChar"/>
                <w:sz w:val="18"/>
              </w:rPr>
              <w:t xml:space="preserve">exemplos-papers</w:t>
            </w:r>
            <w:r>
              <w:rPr>
                <w:sz w:val="18"/>
              </w:rPr>
              <w:t xml:space="preserve">, 05/10/2026)</w:t>
            </w:r>
          </w:p>
        </w:tc>
        <w:tc>
          <w:tcPr/>
          <w:p>
            <w:pPr>
              <w:pStyle w:val="Compact"/>
              <w:spacing w:line="240" w:lineRule="auto"/>
            </w:pPr>
            <w:r>
              <w:rPr>
                <w:sz w:val="18"/>
              </w:rPr>
              <w:t xml:space="preserve">seções Conclusion, Generative AI statement e Supplementary material; resumo ≤ 350 palavras</w:t>
            </w:r>
          </w:p>
        </w:tc>
        <w:tc>
          <w:tcPr/>
          <w:p>
            <w:pPr>
              <w:pStyle w:val="Compact"/>
              <w:spacing w:line="240" w:lineRule="auto"/>
            </w:pPr>
            <w:r>
              <w:rPr>
                <w:sz w:val="18"/>
              </w:rPr>
              <w:t xml:space="preserve">seções criadas e resumo reescrito; Resultados e Discussão mantidos separados (os exemplos os fundem); lista de referências não reformatada (a produção da revista a reestiliza)</w:t>
            </w:r>
          </w:p>
        </w:tc>
        <w:tc>
          <w:tcPr/>
          <w:p>
            <w:pPr>
              <w:pStyle w:val="Compact"/>
              <w:spacing w:line="240" w:lineRule="auto"/>
            </w:pPr>
            <w:r>
              <w:rPr>
                <w:sz w:val="18"/>
              </w:rPr>
              <w:t xml:space="preserve">OK</w:t>
            </w:r>
          </w:p>
        </w:tc>
      </w:tr>
      <w:tr>
        <w:tc>
          <w:tcPr/>
          <w:p>
            <w:pPr>
              <w:pStyle w:val="Compact"/>
              <w:spacing w:line="240" w:lineRule="auto"/>
            </w:pPr>
            <w:r>
              <w:rPr>
                <w:sz w:val="18"/>
              </w:rPr>
              <w:t xml:space="preserve">Adequação ao escopo</w:t>
            </w:r>
          </w:p>
        </w:tc>
        <w:tc>
          <w:tcPr/>
          <w:p>
            <w:pPr>
              <w:pStyle w:val="Compact"/>
              <w:spacing w:line="240" w:lineRule="auto"/>
            </w:pPr>
            <w:r>
              <w:rPr>
                <w:sz w:val="18"/>
              </w:rPr>
              <w:t xml:space="preserve">seção</w:t>
            </w:r>
            <w:r>
              <w:rPr>
                <w:sz w:val="18"/>
              </w:rPr>
              <w:t xml:space="preserve"> </w:t>
            </w:r>
            <w:r>
              <w:rPr>
                <w:i/>
                <w:iCs/>
                <w:sz w:val="18"/>
              </w:rPr>
              <w:t xml:space="preserve">Informatics and Computational Methods</w:t>
            </w:r>
            <w:r>
              <w:rPr>
                <w:sz w:val="18"/>
              </w:rPr>
              <w:t xml:space="preserve"> </w:t>
            </w:r>
            <w:r>
              <w:rPr>
                <w:sz w:val="18"/>
              </w:rPr>
              <w:t xml:space="preserve">existe na revista</w:t>
            </w:r>
          </w:p>
        </w:tc>
        <w:tc>
          <w:tcPr/>
          <w:p>
            <w:pPr>
              <w:pStyle w:val="Compact"/>
              <w:spacing w:line="240" w:lineRule="auto"/>
            </w:pPr>
            <w:r>
              <w:rPr>
                <w:sz w:val="18"/>
              </w:rPr>
              <w:t xml:space="preserve">o título destaca inibidores naturais como moldes e padrões de calibração, mas o trabalho projeta peptídeos</w:t>
            </w:r>
            <w:r>
              <w:rPr>
                <w:sz w:val="18"/>
              </w:rPr>
              <w:t xml:space="preserve"> </w:t>
            </w:r>
            <w:r>
              <w:rPr>
                <w:i/>
                <w:iCs/>
                <w:sz w:val="18"/>
              </w:rPr>
              <w:t xml:space="preserve">de novo</w:t>
            </w:r>
            <w:r>
              <w:rPr>
                <w:sz w:val="18"/>
              </w:rPr>
              <w:t xml:space="preserve"> </w:t>
            </w:r>
            <w:r>
              <w:rPr>
                <w:sz w:val="18"/>
              </w:rPr>
              <w:t xml:space="preserve">e é só computacional; a revista pode exigir validação experimental</w:t>
            </w:r>
          </w:p>
        </w:tc>
        <w:tc>
          <w:tcPr/>
          <w:p>
            <w:pPr>
              <w:pStyle w:val="Compact"/>
              <w:spacing w:line="240" w:lineRule="auto"/>
            </w:pPr>
            <w:r>
              <w:rPr>
                <w:sz w:val="18"/>
              </w:rPr>
              <w:t xml:space="preserve">risco a verificar com o editor</w:t>
            </w:r>
          </w:p>
        </w:tc>
      </w:tr>
    </w:tbl>
    <w:p>
      <w:pPr>
        <w:pStyle w:val="BodyText"/>
      </w:pPr>
      <w:r>
        <w:rPr>
          <w:b/>
          <w:bCs/>
        </w:rPr>
        <w:t xml:space="preserve">Fonte e certeza dos limites.</w:t>
      </w:r>
      <w:r>
        <w:t xml:space="preserve"> </w:t>
      </w:r>
      <w:r>
        <w:t xml:space="preserve">Conferidos em 30/09/2026 nas páginas oficiais da Frontiers: extensão máxima de 12.000 palavras para</w:t>
      </w:r>
      <w:r>
        <w:t xml:space="preserve"> </w:t>
      </w:r>
      <w:r>
        <w:rPr>
          <w:i/>
          <w:iCs/>
        </w:rPr>
        <w:t xml:space="preserve">Original Research</w:t>
      </w:r>
      <w:r>
        <w:t xml:space="preserve"> </w:t>
      </w:r>
      <w:r>
        <w:t xml:space="preserve">na</w:t>
      </w:r>
      <w:r>
        <w:t xml:space="preserve"> </w:t>
      </w:r>
      <w:r>
        <w:rPr>
          <w:i/>
          <w:iCs/>
        </w:rPr>
        <w:t xml:space="preserve">Frontiers in Natural Products</w:t>
      </w:r>
      <w:r>
        <w:t xml:space="preserve">; 5–8 palavras-chave; figuras a 300 dpi no tamanho final em TIFF, JPEG ou EPS; referências autor-ano com os seis primeiros autores; uso de IA generativa a ser reconhecido.</w:t>
      </w:r>
      <w:r>
        <w:t xml:space="preserve"> </w:t>
      </w:r>
      <w:r>
        <w:rPr>
          <w:b/>
          <w:bCs/>
        </w:rPr>
        <w:t xml:space="preserve">Não especificados nessas páginas:</w:t>
      </w:r>
      <w:r>
        <w:t xml:space="preserve"> </w:t>
      </w:r>
      <w:r>
        <w:t xml:space="preserve">limite de palavras do resumo (350 é a convenção da Frontiers, vista em outras revistas do grupo), limite de caracteres do título, número máximo de figuras/tabelas para</w:t>
      </w:r>
      <w:r>
        <w:t xml:space="preserve"> </w:t>
      </w:r>
      <w:r>
        <w:rPr>
          <w:i/>
          <w:iCs/>
        </w:rPr>
        <w:t xml:space="preserve">Original Research</w:t>
      </w:r>
      <w:r>
        <w:t xml:space="preserve"> </w:t>
      </w:r>
      <w:r>
        <w:t xml:space="preserve">e o tamanho do título curto. Confirme esses quatro pontos no sistema de submissão antes de enviar.</w:t>
      </w:r>
    </w:p>
    <w:bookmarkEnd w:id="10"/>
    <w:bookmarkStart w:id="11" w:name="X276c565a0ecafafa450f8b4ee3d141ae153cd6b"/>
    <w:p>
      <w:pPr>
        <w:pStyle w:val="Heading2"/>
      </w:pPr>
      <w:r>
        <w:t xml:space="preserve">Estado dos cálculos (08/10/2026, revisão final)</w:t>
      </w:r>
    </w:p>
    <w:p>
      <w:pPr>
        <w:pStyle w:val="FirstParagraph"/>
      </w:pPr>
      <w:r>
        <w:t xml:space="preserve">Todas as análises computacionais previstas estão concluídas e integradas; nenhum job está rodando no servidor.</w:t>
      </w:r>
    </w:p>
    <w:tbl>
      <w:tblPr>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p>
            <w:pPr>
              <w:pStyle w:val="Compact"/>
              <w:spacing w:line="240" w:lineRule="auto"/>
            </w:pPr>
            <w:r>
              <w:rPr>
                <w:b/>
                <w:sz w:val="18"/>
              </w:rPr>
              <w:t xml:space="preserve">Etapa</w:t>
            </w:r>
          </w:p>
        </w:tc>
        <w:tc>
          <w:tcPr/>
          <w:p>
            <w:pPr>
              <w:pStyle w:val="Compact"/>
              <w:spacing w:line="240" w:lineRule="auto"/>
            </w:pPr>
            <w:r>
              <w:rPr>
                <w:b/>
                <w:sz w:val="18"/>
              </w:rPr>
              <w:t xml:space="preserve">Estado</w:t>
            </w:r>
          </w:p>
        </w:tc>
        <w:tc>
          <w:tcPr/>
          <w:p>
            <w:pPr>
              <w:pStyle w:val="Compact"/>
              <w:spacing w:line="240" w:lineRule="auto"/>
            </w:pPr>
            <w:r>
              <w:rPr>
                <w:b/>
                <w:sz w:val="18"/>
              </w:rPr>
              <w:t xml:space="preserve">Resultado</w:t>
            </w:r>
          </w:p>
        </w:tc>
      </w:tr>
      <w:tr>
        <w:tc>
          <w:tcPr/>
          <w:p>
            <w:pPr>
              <w:pStyle w:val="Compact"/>
              <w:spacing w:line="240" w:lineRule="auto"/>
            </w:pPr>
            <w:r>
              <w:rPr>
                <w:sz w:val="18"/>
              </w:rPr>
              <w:t xml:space="preserve">Painel de 8 espécies e subsítios</w:t>
            </w:r>
          </w:p>
        </w:tc>
        <w:tc>
          <w:tcPr/>
          <w:p>
            <w:pPr>
              <w:pStyle w:val="Compact"/>
              <w:spacing w:line="240" w:lineRule="auto"/>
            </w:pPr>
            <w:r>
              <w:rPr>
                <w:sz w:val="18"/>
              </w:rPr>
              <w:t xml:space="preserve">concluído</w:t>
            </w:r>
          </w:p>
        </w:tc>
        <w:tc>
          <w:tcPr/>
          <w:p>
            <w:pPr>
              <w:pStyle w:val="Compact"/>
              <w:spacing w:line="240" w:lineRule="auto"/>
            </w:pPr>
            <w:r>
              <w:rPr>
                <w:sz w:val="18"/>
              </w:rPr>
              <w:t xml:space="preserve">TM-score 0,946–0,957 nos 20 pares (Seção 3.1)</w:t>
            </w:r>
          </w:p>
        </w:tc>
      </w:tr>
      <w:tr>
        <w:tc>
          <w:tcPr/>
          <w:p>
            <w:pPr>
              <w:pStyle w:val="Compact"/>
              <w:spacing w:line="240" w:lineRule="auto"/>
            </w:pPr>
            <w:r>
              <w:rPr>
                <w:sz w:val="18"/>
              </w:rPr>
              <w:t xml:space="preserve">Calibração da escada de escores</w:t>
            </w:r>
          </w:p>
        </w:tc>
        <w:tc>
          <w:tcPr/>
          <w:p>
            <w:pPr>
              <w:pStyle w:val="Compact"/>
              <w:spacing w:line="240" w:lineRule="auto"/>
            </w:pPr>
            <w:r>
              <w:rPr>
                <w:sz w:val="18"/>
              </w:rPr>
              <w:t xml:space="preserve">concluída</w:t>
            </w:r>
          </w:p>
        </w:tc>
        <w:tc>
          <w:tcPr/>
          <w:p>
            <w:pPr>
              <w:pStyle w:val="Compact"/>
              <w:spacing w:line="240" w:lineRule="auto"/>
            </w:pPr>
            <w:r>
              <w:rPr>
                <w:sz w:val="18"/>
              </w:rPr>
              <w:t xml:space="preserve">Boltz-2 10/10; RMSD do ligante 9/10; MM-GBSA 4/10; PRODIGY 2/10; os dois últimos acompanham o tamanho da interface (Seção 3.2, Figura 2)</w:t>
            </w:r>
          </w:p>
        </w:tc>
      </w:tr>
      <w:tr>
        <w:tc>
          <w:tcPr/>
          <w:p>
            <w:pPr>
              <w:pStyle w:val="Compact"/>
              <w:spacing w:line="240" w:lineRule="auto"/>
            </w:pPr>
            <w:r>
              <w:rPr>
                <w:sz w:val="18"/>
              </w:rPr>
              <w:t xml:space="preserve">Geração e critério duro</w:t>
            </w:r>
          </w:p>
        </w:tc>
        <w:tc>
          <w:tcPr/>
          <w:p>
            <w:pPr>
              <w:pStyle w:val="Compact"/>
              <w:spacing w:line="240" w:lineRule="auto"/>
            </w:pPr>
            <w:r>
              <w:rPr>
                <w:sz w:val="18"/>
              </w:rPr>
              <w:t xml:space="preserve">concluídos</w:t>
            </w:r>
          </w:p>
        </w:tc>
        <w:tc>
          <w:tcPr/>
          <w:p>
            <w:pPr>
              <w:pStyle w:val="Compact"/>
              <w:spacing w:line="240" w:lineRule="auto"/>
            </w:pPr>
            <w:r>
              <w:rPr>
                <w:sz w:val="18"/>
              </w:rPr>
              <w:t xml:space="preserve">22.066 sequências; 527 lineares e 543 cíclicas (Seção 3.3)</w:t>
            </w:r>
          </w:p>
        </w:tc>
      </w:tr>
      <w:tr>
        <w:tc>
          <w:tcPr/>
          <w:p>
            <w:pPr>
              <w:pStyle w:val="Compact"/>
              <w:spacing w:line="240" w:lineRule="auto"/>
            </w:pPr>
            <w:r>
              <w:rPr>
                <w:sz w:val="18"/>
              </w:rPr>
              <w:t xml:space="preserve">E1–E4 · Boltz-2, reescore, controles pareados, QC de pose, matriz 8 × 8</w:t>
            </w:r>
          </w:p>
        </w:tc>
        <w:tc>
          <w:tcPr/>
          <w:p>
            <w:pPr>
              <w:pStyle w:val="Compact"/>
              <w:spacing w:line="240" w:lineRule="auto"/>
            </w:pPr>
            <w:r>
              <w:rPr>
                <w:sz w:val="18"/>
              </w:rPr>
              <w:t xml:space="preserve">concluídos</w:t>
            </w:r>
          </w:p>
        </w:tc>
        <w:tc>
          <w:tcPr/>
          <w:p>
            <w:pPr>
              <w:pStyle w:val="Compact"/>
              <w:spacing w:line="240" w:lineRule="auto"/>
            </w:pPr>
            <w:r>
              <w:rPr>
                <w:sz w:val="18"/>
              </w:rPr>
              <w:t xml:space="preserve">48 candidatos finais; Δ positivo em 63/78 (L) e 60/79 (M), da ordem do ruído (Seção 3.4)</w:t>
            </w:r>
          </w:p>
        </w:tc>
      </w:tr>
      <w:tr>
        <w:tc>
          <w:tcPr/>
          <w:p>
            <w:pPr>
              <w:pStyle w:val="Compact"/>
              <w:spacing w:line="240" w:lineRule="auto"/>
            </w:pPr>
            <w:r>
              <w:rPr>
                <w:sz w:val="18"/>
              </w:rPr>
              <w:t xml:space="preserve">MD de 10 ns em pH 10,0</w:t>
            </w:r>
          </w:p>
        </w:tc>
        <w:tc>
          <w:tcPr/>
          <w:p>
            <w:pPr>
              <w:pStyle w:val="Compact"/>
              <w:spacing w:line="240" w:lineRule="auto"/>
            </w:pPr>
            <w:r>
              <w:rPr>
                <w:sz w:val="18"/>
              </w:rPr>
              <w:t xml:space="preserve">concluída (48/48)</w:t>
            </w:r>
          </w:p>
        </w:tc>
        <w:tc>
          <w:tcPr/>
          <w:p>
            <w:pPr>
              <w:pStyle w:val="Compact"/>
              <w:spacing w:line="240" w:lineRule="auto"/>
            </w:pPr>
            <w:r>
              <w:rPr>
                <w:sz w:val="18"/>
              </w:rPr>
              <w:t xml:space="preserve">a ocupância de S1 acompanha a pose inicial (Seção 3.5, Figura 5)</w:t>
            </w:r>
          </w:p>
        </w:tc>
      </w:tr>
      <w:tr>
        <w:tc>
          <w:tcPr/>
          <w:p>
            <w:pPr>
              <w:pStyle w:val="Compact"/>
              <w:spacing w:line="240" w:lineRule="auto"/>
            </w:pPr>
            <w:r>
              <w:rPr>
                <w:sz w:val="18"/>
              </w:rPr>
              <w:t xml:space="preserve">MD de 10 ns em pH 8,2</w:t>
            </w:r>
          </w:p>
        </w:tc>
        <w:tc>
          <w:tcPr/>
          <w:p>
            <w:pPr>
              <w:pStyle w:val="Compact"/>
              <w:spacing w:line="240" w:lineRule="auto"/>
            </w:pPr>
            <w:r>
              <w:rPr>
                <w:sz w:val="18"/>
              </w:rPr>
              <w:t xml:space="preserve">concluída (48/48)</w:t>
            </w:r>
          </w:p>
        </w:tc>
        <w:tc>
          <w:tcPr/>
          <w:p>
            <w:pPr>
              <w:pStyle w:val="Compact"/>
              <w:spacing w:line="240" w:lineRule="auto"/>
            </w:pPr>
            <w:r>
              <w:rPr>
                <w:sz w:val="18"/>
              </w:rPr>
              <w:t xml:space="preserve">nenhuma métrica pareada difere de pH 10,0 (distância final P = 0,16; ocupância P = 0,88); só NGGRPDAP e GGKPGEP repetem S1 nos dois pH (Seção 3.7, Figura 7)</w:t>
            </w:r>
          </w:p>
        </w:tc>
      </w:tr>
      <w:tr>
        <w:tc>
          <w:tcPr/>
          <w:p>
            <w:pPr>
              <w:pStyle w:val="Compact"/>
              <w:spacing w:line="240" w:lineRule="auto"/>
            </w:pPr>
            <w:r>
              <w:rPr>
                <w:sz w:val="18"/>
              </w:rPr>
              <w:t xml:space="preserve">Execuções repetidas (16 pares)</w:t>
            </w:r>
          </w:p>
        </w:tc>
        <w:tc>
          <w:tcPr/>
          <w:p>
            <w:pPr>
              <w:pStyle w:val="Compact"/>
              <w:spacing w:line="240" w:lineRule="auto"/>
            </w:pPr>
            <w:r>
              <w:rPr>
                <w:sz w:val="18"/>
              </w:rPr>
              <w:t xml:space="preserve">concluídas</w:t>
            </w:r>
          </w:p>
        </w:tc>
        <w:tc>
          <w:tcPr/>
          <w:p>
            <w:pPr>
              <w:pStyle w:val="Compact"/>
              <w:spacing w:line="240" w:lineRule="auto"/>
            </w:pPr>
            <w:r>
              <w:rPr>
                <w:sz w:val="18"/>
              </w:rPr>
              <w:t xml:space="preserve">o ruído entre execuções do mesmo pH é da ordem da diferença entre pH (Seção 3.7)</w:t>
            </w:r>
          </w:p>
        </w:tc>
      </w:tr>
      <w:tr>
        <w:tc>
          <w:tcPr/>
          <w:p>
            <w:pPr>
              <w:pStyle w:val="Compact"/>
              <w:spacing w:line="240" w:lineRule="auto"/>
            </w:pPr>
            <w:r>
              <w:rPr>
                <w:sz w:val="18"/>
              </w:rPr>
              <w:t xml:space="preserve">MM-GBSA e PRODIGY nas trajetórias (pH 8,2 e 10,0) e classificação final</w:t>
            </w:r>
          </w:p>
        </w:tc>
        <w:tc>
          <w:tcPr/>
          <w:p>
            <w:pPr>
              <w:pStyle w:val="Compact"/>
              <w:spacing w:line="240" w:lineRule="auto"/>
            </w:pPr>
            <w:r>
              <w:rPr>
                <w:sz w:val="18"/>
              </w:rPr>
              <w:t xml:space="preserve">concluídos</w:t>
            </w:r>
          </w:p>
        </w:tc>
        <w:tc>
          <w:tcPr/>
          <w:p>
            <w:pPr>
              <w:pStyle w:val="Compact"/>
              <w:spacing w:line="240" w:lineRule="auto"/>
            </w:pPr>
            <w:r>
              <w:rPr>
                <w:sz w:val="18"/>
              </w:rPr>
              <w:t xml:space="preserve">Seções 3.6 e 3.7, Figuras 6, 7 e S10</w:t>
            </w:r>
          </w:p>
        </w:tc>
      </w:tr>
      <w:tr>
        <w:tc>
          <w:tcPr/>
          <w:p>
            <w:pPr>
              <w:pStyle w:val="Compact"/>
              <w:spacing w:line="240" w:lineRule="auto"/>
            </w:pPr>
            <w:r>
              <w:rPr>
                <w:sz w:val="18"/>
              </w:rPr>
              <w:t xml:space="preserve">Geometria de ataque da Ser195</w:t>
            </w:r>
          </w:p>
        </w:tc>
        <w:tc>
          <w:tcPr/>
          <w:p>
            <w:pPr>
              <w:pStyle w:val="Compact"/>
              <w:spacing w:line="240" w:lineRule="auto"/>
            </w:pPr>
            <w:r>
              <w:rPr>
                <w:sz w:val="18"/>
              </w:rPr>
              <w:t xml:space="preserve">concluída</w:t>
            </w:r>
          </w:p>
        </w:tc>
        <w:tc>
          <w:tcPr/>
          <w:p>
            <w:pPr>
              <w:pStyle w:val="Compact"/>
              <w:spacing w:line="240" w:lineRule="auto"/>
            </w:pPr>
            <w:r>
              <w:rPr>
                <w:sz w:val="18"/>
              </w:rPr>
              <w:t xml:space="preserve">1 de 20 execuções com algum quadro quase de ataque; sem linha de base com substrato conhecido (Seção 3.8)</w:t>
            </w:r>
          </w:p>
        </w:tc>
      </w:tr>
      <w:tr>
        <w:tc>
          <w:tcPr/>
          <w:p>
            <w:pPr>
              <w:pStyle w:val="Compact"/>
              <w:spacing w:line="240" w:lineRule="auto"/>
            </w:pPr>
            <w:r>
              <w:rPr>
                <w:sz w:val="18"/>
              </w:rPr>
              <w:t xml:space="preserve">Controles em MD (7 embaralhados; 8 de troca de âncora)</w:t>
            </w:r>
          </w:p>
        </w:tc>
        <w:tc>
          <w:tcPr/>
          <w:p>
            <w:pPr>
              <w:pStyle w:val="Compact"/>
              <w:spacing w:line="240" w:lineRule="auto"/>
            </w:pPr>
            <w:r>
              <w:rPr>
                <w:sz w:val="18"/>
              </w:rPr>
              <w:t xml:space="preserve">simulados e retirados do artigo (05/10)</w:t>
            </w:r>
          </w:p>
        </w:tc>
        <w:tc>
          <w:tcPr/>
          <w:p>
            <w:pPr>
              <w:pStyle w:val="Compact"/>
              <w:spacing w:line="240" w:lineRule="auto"/>
            </w:pPr>
            <w:r>
              <w:rPr>
                <w:sz w:val="18"/>
              </w:rPr>
              <w:t xml:space="preserve">a distância inicial explica o resultado; uma frase de divulgação em 3.5</w:t>
            </w:r>
          </w:p>
        </w:tc>
      </w:tr>
      <w:tr>
        <w:tc>
          <w:tcPr/>
          <w:p>
            <w:pPr>
              <w:pStyle w:val="Compact"/>
              <w:spacing w:line="240" w:lineRule="auto"/>
            </w:pPr>
            <w:r>
              <w:rPr>
                <w:sz w:val="18"/>
              </w:rPr>
              <w:t xml:space="preserve">Contrasseleção frente a proteases não alvo</w:t>
            </w:r>
          </w:p>
        </w:tc>
        <w:tc>
          <w:tcPr/>
          <w:p>
            <w:pPr>
              <w:pStyle w:val="Compact"/>
              <w:spacing w:line="240" w:lineRule="auto"/>
            </w:pPr>
            <w:r>
              <w:rPr>
                <w:sz w:val="18"/>
              </w:rPr>
              <w:t xml:space="preserve">não construída</w:t>
            </w:r>
          </w:p>
        </w:tc>
        <w:tc>
          <w:tcPr/>
          <w:p>
            <w:pPr>
              <w:pStyle w:val="Compact"/>
              <w:spacing w:line="240" w:lineRule="auto"/>
            </w:pPr>
            <w:r>
              <w:rPr>
                <w:sz w:val="18"/>
              </w:rPr>
              <w:t xml:space="preserve">sem ela, nenhuma seletividade é afirmada</w:t>
            </w:r>
          </w:p>
        </w:tc>
      </w:tr>
    </w:tbl>
    <w:bookmarkEnd w:id="11"/>
    <w:bookmarkStart w:id="12" w:name="pendências-antes-da-submissão"/>
    <w:p>
      <w:pPr>
        <w:pStyle w:val="Heading2"/>
      </w:pPr>
      <w:r>
        <w:t xml:space="preserve">Pendências antes da submissão</w:t>
      </w:r>
    </w:p>
    <w:p>
      <w:pPr>
        <w:pStyle w:val="Compact"/>
        <w:numPr>
          <w:ilvl w:val="0"/>
          <w:numId w:val="1002"/>
        </w:numPr>
      </w:pPr>
      <w:r>
        <w:rPr>
          <w:b/>
          <w:bCs/>
        </w:rPr>
        <w:t xml:space="preserve">Resolvido:</w:t>
      </w:r>
      <w:r>
        <w:t xml:space="preserve"> </w:t>
      </w:r>
      <w:r>
        <w:t xml:space="preserve">resultados de pH 8,2, MM-GBSA e comparação com pH 10,0 (Seções 3.6 e 3.7, Figura 7), com resumo, 4.1, 4.4 e 5 ajustados.</w:t>
      </w:r>
    </w:p>
    <w:p>
      <w:pPr>
        <w:pStyle w:val="Compact"/>
        <w:numPr>
          <w:ilvl w:val="0"/>
          <w:numId w:val="1002"/>
        </w:numPr>
      </w:pPr>
      <w:r>
        <w:rPr>
          <w:b/>
          <w:bCs/>
        </w:rPr>
        <w:t xml:space="preserve">Parcialmente resolvido:</w:t>
      </w:r>
      <w:r>
        <w:t xml:space="preserve"> </w:t>
      </w:r>
      <w:r>
        <w:t xml:space="preserve">(a) motivo do pH 8,2 (Seção 2.6) conferido no texto completo de Schultz et al. (2026): todos os ensaios cinéticos com os peptídeos usaram Tris-HCl 0,1 M, CaCl</w:t>
      </w:r>
      <w:r>
        <w:rPr>
          <w:vertAlign w:val="subscript"/>
        </w:rPr>
        <w:t xml:space="preserve">2</w:t>
      </w:r>
      <w:r>
        <w:t xml:space="preserve"> </w:t>
      </w:r>
      <w:r>
        <w:t xml:space="preserve">20 mM, pH 8,2; o artigo não justifica a escolha, e a frase da Seção 2.6 apenas registra que as simulações seguem essa condição, cabendo aos autores confirmar se era a intenção; (b)</w:t>
      </w:r>
      <w:r>
        <w:t xml:space="preserve"> </w:t>
      </w:r>
      <w:r>
        <w:rPr>
          <w:b/>
          <w:bCs/>
        </w:rPr>
        <w:t xml:space="preserve">em aberto (decisão dos autores):</w:t>
      </w:r>
      <w:r>
        <w:t xml:space="preserve"> </w:t>
      </w:r>
      <w:r>
        <w:t xml:space="preserve">lista de peptídeos recomendados: o manuscrito apresenta quatro peptídeos selecionados por critérios declarados (Seção 3.8, Tabela 4), e a lista final e os cortes dependem dos autores.</w:t>
      </w:r>
    </w:p>
    <w:p>
      <w:pPr>
        <w:pStyle w:val="Compact"/>
        <w:numPr>
          <w:ilvl w:val="0"/>
          <w:numId w:val="1002"/>
        </w:numPr>
      </w:pPr>
      <w:r>
        <w:t xml:space="preserve">Lista de autores, afiliações, contribuições, financiamento, conflito de interesses, declaração de IA generativa e DOI de arquivamento do código.</w:t>
      </w:r>
    </w:p>
    <w:p>
      <w:pPr>
        <w:pStyle w:val="Compact"/>
        <w:numPr>
          <w:ilvl w:val="0"/>
          <w:numId w:val="1002"/>
        </w:numPr>
      </w:pPr>
      <w:r>
        <w:t xml:space="preserve">Revisar a auditoria metodológica e de código (</w:t>
      </w:r>
      <w:r>
        <w:rPr>
          <w:rStyle w:val="VerbatimChar"/>
        </w:rPr>
        <w:t xml:space="preserve">docs/AUDITORIA_2026-10-05.md</w:t>
      </w:r>
      <w:r>
        <w:t xml:space="preserve">).</w:t>
      </w:r>
    </w:p>
    <w:p>
      <w:pPr>
        <w:pStyle w:val="Compact"/>
        <w:numPr>
          <w:ilvl w:val="0"/>
          <w:numId w:val="1002"/>
        </w:numPr>
      </w:pPr>
      <w:r>
        <w:t xml:space="preserve">Opcional: linha de base da geometria de ataque com um inibidor-substrato conhecido (SFTI-1).</w:t>
      </w:r>
    </w:p>
    <w:bookmarkEnd w:id="12"/>
    <w:bookmarkEnd w:id="13"/>
    <w:bookmarkStart w:id="107" w:name="X23591a77a83980075fb05aa903afeec2d1a80f4"/>
    <w:p>
      <w:pPr>
        <w:pStyle w:val="Heading1"/>
      </w:pPr>
      <w:r>
        <w:t xml:space="preserve">De inibidores naturais de proteases a peptídeos candidatos</w:t>
      </w:r>
      <w:r>
        <w:t xml:space="preserve"> </w:t>
      </w:r>
      <w:r>
        <w:rPr>
          <w:i/>
          <w:iCs/>
        </w:rPr>
        <w:t xml:space="preserve">de novo</w:t>
      </w:r>
      <w:r>
        <w:t xml:space="preserve"> </w:t>
      </w:r>
      <w:r>
        <w:t xml:space="preserve">dirigidos às tripsinas digestivas de lepidópteros-praga</w:t>
      </w:r>
    </w:p>
    <w:p>
      <w:pPr>
        <w:pStyle w:val="FirstParagraph"/>
      </w:pPr>
      <w:r>
        <w:rPr>
          <w:b/>
          <w:bCs/>
        </w:rPr>
        <w:t xml:space="preserve">Título curto:</w:t>
      </w:r>
      <w:r>
        <w:t xml:space="preserve"> </w:t>
      </w:r>
      <w:r>
        <w:t xml:space="preserve">Peptídeos candidatos</w:t>
      </w:r>
      <w:r>
        <w:t xml:space="preserve"> </w:t>
      </w:r>
      <w:r>
        <w:rPr>
          <w:i/>
          <w:iCs/>
        </w:rPr>
        <w:t xml:space="preserve">de novo</w:t>
      </w:r>
      <w:r>
        <w:t xml:space="preserve"> </w:t>
      </w:r>
      <w:r>
        <w:t xml:space="preserve">contra tripsinas de pragas</w:t>
      </w:r>
    </w:p>
    <w:p>
      <w:pPr>
        <w:pStyle w:val="BodyText"/>
      </w:pPr>
      <w:r>
        <w:rPr>
          <w:b/>
          <w:bCs/>
        </w:rPr>
        <w:t xml:space="preserve">Autores:</w:t>
      </w:r>
      <w:r>
        <w:t xml:space="preserve"> </w:t>
      </w:r>
      <w:r>
        <w:rPr>
          <w:rStyle w:val="Pendente"/>
        </w:rPr>
        <w:t xml:space="preserve">LISTA DE AUTORES A COMPLETAR</w:t>
      </w:r>
      <w:r>
        <w:br/>
      </w:r>
      <w:r>
        <w:rPr>
          <w:b/>
          <w:bCs/>
        </w:rPr>
        <w:t xml:space="preserve">Afiliações:</w:t>
      </w:r>
      <w:r>
        <w:t xml:space="preserve"> </w:t>
      </w:r>
      <w:r>
        <w:rPr>
          <w:rStyle w:val="Pendente"/>
        </w:rPr>
        <w:t xml:space="preserve">A COMPLETAR</w:t>
      </w:r>
      <w:r>
        <w:br/>
      </w:r>
      <w:r>
        <w:rPr>
          <w:b/>
          <w:bCs/>
        </w:rPr>
        <w:t xml:space="preserve">Correspondência:</w:t>
      </w:r>
      <w:r>
        <w:t xml:space="preserve"> </w:t>
      </w:r>
      <w:r>
        <w:rPr>
          <w:rStyle w:val="Pendente"/>
        </w:rPr>
        <w:t xml:space="preserve">A COMPLETAR</w:t>
      </w:r>
    </w:p>
    <w:p>
      <w:pPr>
        <w:pStyle w:val="BodyText"/>
      </w:pPr>
      <w:r>
        <w:rPr>
          <w:b/>
          <w:bCs/>
        </w:rPr>
        <w:t xml:space="preserve">Tipo de artigo:</w:t>
      </w:r>
      <w:r>
        <w:t xml:space="preserve"> </w:t>
      </w:r>
      <w:r>
        <w:t xml:space="preserve">Original Research — seção</w:t>
      </w:r>
      <w:r>
        <w:t xml:space="preserve"> </w:t>
      </w:r>
      <w:r>
        <w:rPr>
          <w:i/>
          <w:iCs/>
        </w:rPr>
        <w:t xml:space="preserve">Informatics and Computational Methods</w:t>
      </w:r>
      <w:r>
        <w:br/>
      </w:r>
      <w:r>
        <w:rPr>
          <w:b/>
          <w:bCs/>
        </w:rPr>
        <w:t xml:space="preserve">Palavras-chave:</w:t>
      </w:r>
      <w:r>
        <w:t xml:space="preserve"> </w:t>
      </w:r>
      <w:r>
        <w:t xml:space="preserve">inibidores naturais de proteases, desenho peptídico</w:t>
      </w:r>
      <w:r>
        <w:t xml:space="preserve"> </w:t>
      </w:r>
      <w:r>
        <w:rPr>
          <w:i/>
          <w:iCs/>
        </w:rPr>
        <w:t xml:space="preserve">de novo</w:t>
      </w:r>
      <w:r>
        <w:t xml:space="preserve">, tripsina digestiva, Lepidoptera,</w:t>
      </w:r>
      <w:r>
        <w:t xml:space="preserve"> </w:t>
      </w:r>
      <w:r>
        <w:rPr>
          <w:i/>
          <w:iCs/>
        </w:rPr>
        <w:t xml:space="preserve">Anticarsia gemmatalis</w:t>
      </w:r>
      <w:r>
        <w:t xml:space="preserve">, resistência proteolítica, dinâmica molecular, energia livre de ligação</w:t>
      </w:r>
    </w:p>
    <w:p>
      <w:r>
        <w:pict>
          <v:rect style="width:0;height:1.5pt" o:hralign="center" o:hrstd="t" o:hr="t"/>
        </w:pict>
      </w:r>
    </w:p>
    <w:bookmarkStart w:id="14" w:name="resumo"/>
    <w:p>
      <w:pPr>
        <w:pStyle w:val="Heading2"/>
      </w:pPr>
      <w:r>
        <w:t xml:space="preserve">Resumo</w:t>
      </w:r>
    </w:p>
    <w:p>
      <w:pPr>
        <w:pStyle w:val="FirstParagraph"/>
      </w:pPr>
      <w:r>
        <w:rPr>
          <w:b/>
          <w:bCs/>
        </w:rPr>
        <w:t xml:space="preserve">Introdução:</w:t>
      </w:r>
      <w:r>
        <w:t xml:space="preserve"> </w:t>
      </w:r>
      <w:r>
        <w:t xml:space="preserve">Inibidores vegetais de proteases podem prejudicar lepidópteros-praga, mas são grandes, e peptídeos derivados de suas alças do centro reativo inibem as tripsinas digestivas apenas em concentrações submilimolares a milimolares. Não se sabe se inibidores naturais podem orientar o desenho</w:t>
      </w:r>
      <w:r>
        <w:t xml:space="preserve"> </w:t>
      </w:r>
      <w:r>
        <w:rPr>
          <w:i/>
          <w:iCs/>
        </w:rPr>
        <w:t xml:space="preserve">de novo</w:t>
      </w:r>
      <w:r>
        <w:t xml:space="preserve"> </w:t>
      </w:r>
      <w:r>
        <w:t xml:space="preserve">de peptídeos curtos que o intestino da lagarta não degrade, nem se escores de aprendizado profundo e de energia livre conseguem ordená-los.</w:t>
      </w:r>
      <w:r>
        <w:t xml:space="preserve"> </w:t>
      </w:r>
      <w:r>
        <w:rPr>
          <w:b/>
          <w:bCs/>
        </w:rPr>
        <w:t xml:space="preserve">Métodos:</w:t>
      </w:r>
      <w:r>
        <w:t xml:space="preserve"> </w:t>
      </w:r>
      <w:r>
        <w:t xml:space="preserve">Para oito lepidópteros-praga da soja, entre eles</w:t>
      </w:r>
      <w:r>
        <w:t xml:space="preserve"> </w:t>
      </w:r>
      <w:r>
        <w:rPr>
          <w:i/>
          <w:iCs/>
        </w:rPr>
        <w:t xml:space="preserve">Anticarsia gemmatalis</w:t>
      </w:r>
      <w:r>
        <w:t xml:space="preserve">, subsítios catalíticos de complexos cristalográficos de inibidores naturais foram transferidos para modelos do AlphaFold, e uma escada de escores (Boltz-2 e dinâmica molecular) foi calibrada com seis inibidores e iscas embaralhadas. Desenhamos 22.066 sequências sobre 880 esqueletos, todos macrociclos cabeça-cauda (RFdiffusion, ProteinMPNN, sem cisteína), mantivemos as que não têm nenhum resíduo que a atividade do intestino médio do tipo tripsina, quimotripsina/elastase-2 ou elastase-1 assume em P1 (K, R, F, Y, W, L, M, A, V), lemos as sobreviventes tanto como macrociclos quanto como os peptídeos lineares correspondentes, co-dobramos com o Boltz-2 e simulamos os três melhores por espécie e forma por 10 ns, ordenando-os com o MM-GBSA e o PRODIGY.</w:t>
      </w:r>
      <w:r>
        <w:t xml:space="preserve"> </w:t>
      </w:r>
      <w:r>
        <w:rPr>
          <w:b/>
          <w:bCs/>
        </w:rPr>
        <w:t xml:space="preserve">Resultados:</w:t>
      </w:r>
      <w:r>
        <w:t xml:space="preserve"> </w:t>
      </w:r>
      <w:r>
        <w:t xml:space="preserve">O Boltz-2 pontuou o inibidor acima de sua isca em 10 de 10 pares. O critério reteve 527 sequências lineares e 543 cíclicas, 49% glicina. Rodadas repetidas do Boltz-2 correlacionaram 0,57 (n = 442), próximo dos 0,50 entre as formas linear e cíclica da mesma sequência. Nas 48 simulações em pH 10,0 (uma execução cada), a distância mediana entre a âncora e o Asp189 subiu de 5,7 para 6,8 Å (linear) e de 5,1 para 6,1 Å (macrocíclica); quatro âncoras terminaram a menos de 4 Å, todas com partida a até 4,0 Å. Os mesmos 48 complexos em pH 8,2 não diferiram do pH 10,0 em nenhuma métrica pareada (distância final</w:t>
      </w:r>
      <w:r>
        <w:t xml:space="preserve"> </w:t>
      </w:r>
      <w:r>
        <w:rPr>
          <w:i/>
          <w:iCs/>
        </w:rPr>
        <w:t xml:space="preserve">P</w:t>
      </w:r>
      <w:r>
        <w:t xml:space="preserve"> </w:t>
      </w:r>
      <w:r>
        <w:t xml:space="preserve">= 0,16; ocupância</w:t>
      </w:r>
      <w:r>
        <w:t xml:space="preserve"> </w:t>
      </w:r>
      <w:r>
        <w:rPr>
          <w:i/>
          <w:iCs/>
        </w:rPr>
        <w:t xml:space="preserve">P</w:t>
      </w:r>
      <w:r>
        <w:t xml:space="preserve"> </w:t>
      </w:r>
      <w:r>
        <w:t xml:space="preserve">= 0,88). A diferença pareada do Boltz-2 frente aos controles embaralhados foi positiva em 63 de 78 candidatos lineares e 60 de 79 macrocíclicos, dentro do ruído da predição.</w:t>
      </w:r>
      <w:r>
        <w:t xml:space="preserve"> </w:t>
      </w:r>
      <w:r>
        <w:rPr>
          <w:b/>
          <w:bCs/>
        </w:rPr>
        <w:t xml:space="preserve">Conclusões:</w:t>
      </w:r>
      <w:r>
        <w:t xml:space="preserve"> </w:t>
      </w:r>
      <w:r>
        <w:t xml:space="preserve">Os inibidores naturais serviram como moldes e padrões de calibração, mas a confiança do Boltz-2 sustenta apenas comparações pareadas, o MM-GBSA e o PRODIGY apenas ordenam candidatos contra o mesmo receptor, e a ocupância de S1 em 10 ns acompanha a pose inicial. Exigir não clivabilidade seleciona peptídeos curtos e ricos em glicina, o que explicita o compromisso entre resistência e engajamento de S1. Todos os resultados são computacionais; seletividade e atividade não foram testadas.</w:t>
      </w:r>
    </w:p>
    <w:p>
      <w:r>
        <w:pict>
          <v:rect style="width:0;height:1.5pt" o:hralign="center" o:hrstd="t" o:hr="t"/>
        </w:pict>
      </w:r>
    </w:p>
    <w:bookmarkEnd w:id="14"/>
    <w:bookmarkStart w:id="18" w:name="introdução"/>
    <w:p>
      <w:pPr>
        <w:pStyle w:val="Heading2"/>
      </w:pPr>
      <w:r>
        <w:t xml:space="preserve">1 Introdução</w:t>
      </w:r>
    </w:p>
    <w:p>
      <w:pPr>
        <w:pStyle w:val="FirstParagraph"/>
      </w:pPr>
      <w:r>
        <w:t xml:space="preserve">Lagartas de lepidópteros limitam a produtividade da soja na América do Sul, e a lagarta-da-soja</w:t>
      </w:r>
      <w:r>
        <w:t xml:space="preserve"> </w:t>
      </w:r>
      <w:r>
        <w:rPr>
          <w:i/>
          <w:iCs/>
        </w:rPr>
        <w:t xml:space="preserve">Anticarsia gemmatalis</w:t>
      </w:r>
      <w:r>
        <w:t xml:space="preserve"> </w:t>
      </w:r>
      <w:r>
        <w:t xml:space="preserve">é uma das desfolhadoras (Carpane et al., 2022; de Almeida Barros et al., 2021). A digestão proteica ocorre em um intestino médio fortemente alcalino, o maior pH luminal conhecido em um sistema biológico (Dow, 1992); a digestão em insetos é revisada em Terra e Ferreira, 1994. Serinoproteases do tipo tripsina são as principais enzimas digestivas das larvas de</w:t>
      </w:r>
      <w:r>
        <w:t xml:space="preserve"> </w:t>
      </w:r>
      <w:r>
        <w:rPr>
          <w:i/>
          <w:iCs/>
        </w:rPr>
        <w:t xml:space="preserve">A. gemmatalis</w:t>
      </w:r>
      <w:r>
        <w:t xml:space="preserve"> </w:t>
      </w:r>
      <w:r>
        <w:t xml:space="preserve">(de Almeida Barros et al., 2021; da Silva Júnior et al., 2020), expressas em múltiplas isoformas (Silva-Júnior et al., 2021).</w:t>
      </w:r>
    </w:p>
    <w:p>
      <w:pPr>
        <w:pStyle w:val="BodyText"/>
      </w:pPr>
      <w:r>
        <w:t xml:space="preserve">Inibidores vegetais de proteases são examinados como bases para o controle de pragas: o inibidor de sementes ApTI é um inibidor de ligação forte das tripsinas de</w:t>
      </w:r>
      <w:r>
        <w:t xml:space="preserve"> </w:t>
      </w:r>
      <w:r>
        <w:rPr>
          <w:i/>
          <w:iCs/>
        </w:rPr>
        <w:t xml:space="preserve">A. gemmatalis</w:t>
      </w:r>
      <w:r>
        <w:t xml:space="preserve"> </w:t>
      </w:r>
      <w:r>
        <w:t xml:space="preserve">(Meriño-Cabrera et al., 2020a), e o BPTI e o inibidor de Kunitz da soja reduziram a sobrevivência das larvas (de Almeida Barros et al., 2022a). As larvas se adaptam, porém, induzindo proteases insensíveis, regulando várias enzimas digestivas e, em algumas espécies, expandindo famílias gênicas (Jongsma et al., 1995; Jongsma e Bolter, 1997; Kuwar et al., 2015; Lomate et al., 2018; Souza et al., 2016); em</w:t>
      </w:r>
      <w:r>
        <w:t xml:space="preserve"> </w:t>
      </w:r>
      <w:r>
        <w:rPr>
          <w:i/>
          <w:iCs/>
        </w:rPr>
        <w:t xml:space="preserve">A. gemmatalis</w:t>
      </w:r>
      <w:r>
        <w:t xml:space="preserve">, o inibidor de Kunitz da soja induziu serina proteases, enquanto o tripeptídeo GORE-2 reprimiu transcritos de proteases digestivas (Júnior et al., 2026). Peptídeos curtos que imitam a alça do centro reativo são mais baratos de produzir que proteínas: peptídeos lineares da interface de um inibidor de Kunitz com a tripsina inibiram tripsinas de</w:t>
      </w:r>
      <w:r>
        <w:t xml:space="preserve"> </w:t>
      </w:r>
      <w:r>
        <w:rPr>
          <w:i/>
          <w:iCs/>
        </w:rPr>
        <w:t xml:space="preserve">S. cosmioides</w:t>
      </w:r>
      <w:r>
        <w:t xml:space="preserve"> </w:t>
      </w:r>
      <w:r>
        <w:t xml:space="preserve">(Meriño-Cabrera et al., 2020b), tripeptídeos inibiram proteases de</w:t>
      </w:r>
      <w:r>
        <w:t xml:space="preserve"> </w:t>
      </w:r>
      <w:r>
        <w:rPr>
          <w:i/>
          <w:iCs/>
        </w:rPr>
        <w:t xml:space="preserve">Helicoverpa armigera</w:t>
      </w:r>
      <w:r>
        <w:t xml:space="preserve"> </w:t>
      </w:r>
      <w:r>
        <w:t xml:space="preserve">com maior eficácia em pH alcalino do intestino (Saikhedkar et al., 2018), e peptídeos bicíclicos das mesmas alças foram dez vezes mais potentes que os lineares (Saikhedkar et al., 2019). Em</w:t>
      </w:r>
      <w:r>
        <w:t xml:space="preserve"> </w:t>
      </w:r>
      <w:r>
        <w:rPr>
          <w:i/>
          <w:iCs/>
        </w:rPr>
        <w:t xml:space="preserve">A. gemmatalis</w:t>
      </w:r>
      <w:r>
        <w:t xml:space="preserve">, os tripeptídeos GORE1 e GORE2 são inibidores competitivos reversíveis (K</w:t>
      </w:r>
      <w:r>
        <w:rPr>
          <w:vertAlign w:val="subscript"/>
        </w:rPr>
        <w:t xml:space="preserve">i</w:t>
      </w:r>
      <w:r>
        <w:t xml:space="preserve"> </w:t>
      </w:r>
      <w:r>
        <w:t xml:space="preserve">de 0,49 e 0,10 mM) que prejudicam a sobrevivência larval (de Almeida Barros et al., 2021), e seus complexos foram examinados por dinâmica molecular (de Almeida Barros et al., 2022b). Peptídeos inspirados nas alças do BPTI e do inibidor de Kunitz da soja (Paulo et al., 2026) e peptídeos da região pró do tripsinogênio (Mariano et al., 2026) foram desenhados contra proteases tipo tripsina de</w:t>
      </w:r>
      <w:r>
        <w:t xml:space="preserve"> </w:t>
      </w:r>
      <w:r>
        <w:rPr>
          <w:i/>
          <w:iCs/>
        </w:rPr>
        <w:t xml:space="preserve">A. gemmatalis</w:t>
      </w:r>
      <w:r>
        <w:t xml:space="preserve">, e um peptídeo guiado por estrutura contra tripsinas de</w:t>
      </w:r>
      <w:r>
        <w:t xml:space="preserve"> </w:t>
      </w:r>
      <w:r>
        <w:rPr>
          <w:i/>
          <w:iCs/>
        </w:rPr>
        <w:t xml:space="preserve">Spodoptera frugiperda</w:t>
      </w:r>
      <w:r>
        <w:t xml:space="preserve"> </w:t>
      </w:r>
      <w:r>
        <w:t xml:space="preserve">foi proposto (Severiche-Castro et al., 2026). A potência milimolar deixa espaço para desenhos com maior afinidade e estabilidade (de Almeida Barros et al., 2021; Schultz et al., 2026).</w:t>
      </w:r>
    </w:p>
    <w:p>
      <w:pPr>
        <w:pStyle w:val="BodyText"/>
      </w:pPr>
      <w:r>
        <w:t xml:space="preserve">Inibidores canônicos inserem o resíduo P1 de uma alça exposta no bolso S1 (Laskowski e Kato, 1980; Laskowski e Qasim, 2000). Nas enzimas tipo tripsina, S1 é definido pelo Asp189 e favorece lisina e arginina (Perona e Craik, 1995; Hedstrom, 2002; Patarroyo-Vargas et al., 2017), que são também os sítios de clivagem da própria enzima-alvo. Um peptídeo clivado no intestino não chega ao alvo, de modo que a estabilidade proteolítica é um requisito: o intestino médio tem também endopeptidases tipo quimotripsina e tipo elastase e exopeptidases (Valaitis, 1995; Valaitis et al., 1999; Yang et al., 2013; Zhan et al., 2011; Nakonieczny et al., 2007). Uma sequência sem os resíduos P1 dessas enzimas e, como macrociclo cabeça-cauda, sem extremidades livres, deveria, em princípio, resistir a elas.</w:t>
      </w:r>
    </w:p>
    <w:p>
      <w:pPr>
        <w:pStyle w:val="BodyText"/>
      </w:pPr>
      <w:r>
        <w:t xml:space="preserve">Ferramentas de aprendizado profundo geram hoje esqueletos e sequências peptídicas</w:t>
      </w:r>
      <w:r>
        <w:t xml:space="preserve"> </w:t>
      </w:r>
      <w:r>
        <w:rPr>
          <w:i/>
          <w:iCs/>
        </w:rPr>
        <w:t xml:space="preserve">de novo</w:t>
      </w:r>
      <w:r>
        <w:t xml:space="preserve"> </w:t>
      </w:r>
      <w:r>
        <w:t xml:space="preserve">(Watson et al., 2023; Dauparas et al., 2022; Rettie et al., 2025) e co-dobram complexos (Wohlwend et al., 2024; Passaro et al., 2025), mas suas saídas de afinidade se correlacionam só fraca a moderadamente com energias livres baseadas em física (Wan et al., 2026), sua confiança ordena poses de peptídeos cíclicos só moderadamente (Li et al., 2026), e escores de energia livre de ponto final dependem da amostragem e do tipo de sistema (Hou et al., 2011; Genheden e Ryde, 2015; Xu et al., 2025). Uma campanha de desenho contra proteases de insetos precisa, portanto, de uma calibração explícita de cada escore que usa.</w:t>
      </w:r>
    </w:p>
    <w:p>
      <w:pPr>
        <w:pStyle w:val="BodyText"/>
      </w:pPr>
      <w:r>
        <w:t xml:space="preserve">Perguntamos aqui até onde os inibidores naturais podem ser levados a peptídeos candidatos</w:t>
      </w:r>
      <w:r>
        <w:t xml:space="preserve"> </w:t>
      </w:r>
      <w:r>
        <w:rPr>
          <w:i/>
          <w:iCs/>
        </w:rPr>
        <w:t xml:space="preserve">de novo</w:t>
      </w:r>
      <w:r>
        <w:t xml:space="preserve"> </w:t>
      </w:r>
      <w:r>
        <w:t xml:space="preserve">dirigidos às tripsinas digestivas de lepidópteros. Os inibidores naturais fornecem os moldes estruturais, os padrões de calibração e a lógica P1–S1; ao desenho</w:t>
      </w:r>
      <w:r>
        <w:t xml:space="preserve"> </w:t>
      </w:r>
      <w:r>
        <w:rPr>
          <w:i/>
          <w:iCs/>
        </w:rPr>
        <w:t xml:space="preserve">de novo</w:t>
      </w:r>
      <w:r>
        <w:t xml:space="preserve"> </w:t>
      </w:r>
      <w:r>
        <w:t xml:space="preserve">se pede o que lhes falta, o tamanho pequeno e a ausência de motivos de clivagem. Nós (i) definimos os subsítios catalíticos de oito tripsinas de pragas por transferência estrutural, (ii) calibramos uma escada de escores (Boltz-2 e dinâmica molecular) contra seis inibidores naturais e iscas embaralhadas, (iii) geramos esqueletos macrocíclicos cabeça-cauda com RFdiffusion e ProteinMPNN, (iv) aplicamos um critério duro de não clivabilidade, (v) co-dobramos os sobreviventes e os simulamos como peptídeos lineares e como macrociclos, e (vi) os ordenamos por etapa com um filtro de energia livre (Figura 1). O trabalho é inteiramente computacional: não inclui ensaio nem teste de seletividade contra proteases não alvo.</w:t>
      </w:r>
    </w:p>
    <w:p>
      <w:pPr>
        <w:pStyle w:val="CaptionedFigure"/>
      </w:pPr>
      <w:r>
        <w:drawing>
          <wp:inline>
            <wp:extent cx="5334000" cy="3496593"/>
            <wp:effectExtent b="0" l="0" r="0" t="0"/>
            <wp:docPr descr="Figura 1. Desenho do estudo. Oito receptores com subsítios transferidos e uma escada de escores calibrada precedem a geração de 880 esqueletos, todos macrociclos cabeça-cauda, e 22.066 sequências; o critério duro de não clivabilidade é então aplicado às mesmas sequências lidas como peptídeos lineares (frente L, 527) e como macrociclos (frente M, 543), duas leituras aninhadas e não uma partição; o co-dobramento com o Boltz-2, o reescore, os controles pareados e o controle de qualidade de pose (E1–E4) dão 48 candidatos (três por espécie e frente), simulados por 10 ns em pH 10,0 e em pH 8,2, com 16 execuções repetidas, e então analisados e classificados por etapa. Nenhum ensaio enzimático nem contrasseleção contra proteases não alvo foi feito." title="" id="16" name="Picture"/>
            <a:graphic>
              <a:graphicData uri="http://schemas.openxmlformats.org/drawingml/2006/picture">
                <pic:pic>
                  <pic:nvPicPr>
                    <pic:cNvPr descr="figures/final/Figure1_pipeline.png" id="17" name="Picture"/>
                    <pic:cNvPicPr>
                      <a:picLocks noChangeArrowheads="1" noChangeAspect="1"/>
                    </pic:cNvPicPr>
                  </pic:nvPicPr>
                  <pic:blipFill>
                    <a:blip r:embed="rId15"/>
                    <a:stretch>
                      <a:fillRect/>
                    </a:stretch>
                  </pic:blipFill>
                  <pic:spPr bwMode="auto">
                    <a:xfrm>
                      <a:off x="0" y="0"/>
                      <a:ext cx="5334000" cy="3496593"/>
                    </a:xfrm>
                    <a:prstGeom prst="rect">
                      <a:avLst/>
                    </a:prstGeom>
                    <a:noFill/>
                    <a:ln w="9525">
                      <a:noFill/>
                      <a:headEnd/>
                      <a:tailEnd/>
                    </a:ln>
                  </pic:spPr>
                </pic:pic>
              </a:graphicData>
            </a:graphic>
          </wp:inline>
        </w:drawing>
      </w:r>
    </w:p>
    <w:p>
      <w:pPr>
        <w:pStyle w:val="ImageCaption"/>
      </w:pPr>
      <w:r>
        <w:rPr>
          <w:b/>
          <w:bCs/>
        </w:rPr>
        <w:t xml:space="preserve">Figura 1.</w:t>
      </w:r>
      <w:r>
        <w:t xml:space="preserve"> </w:t>
      </w:r>
      <w:r>
        <w:t xml:space="preserve">Desenho do estudo. Oito receptores com subsítios transferidos e uma escada de escores calibrada precedem a geração de 880 esqueletos, todos macrociclos cabeça-cauda, e 22.066 sequências; o critério duro de não clivabilidade é então aplicado às mesmas sequências lidas como peptídeos lineares (frente L, 527) e como macrociclos (frente M, 543), duas leituras aninhadas e não uma partição; o co-dobramento com o Boltz-2, o reescore, os controles pareados e o controle de qualidade de pose (E1–E4) dão 48 candidatos (três por espécie e frente), simulados por 10 ns em pH 10,0 e em pH 8,2, com 16 execuções repetidas, e então analisados e classificados por etapa. Nenhum ensaio enzimático nem contrasseleção contra proteases não alvo foi feito.</w:t>
      </w:r>
    </w:p>
    <w:p>
      <w:r>
        <w:pict>
          <v:rect style="width:0;height:1.5pt" o:hralign="center" o:hrstd="t" o:hr="t"/>
        </w:pict>
      </w:r>
    </w:p>
    <w:bookmarkEnd w:id="18"/>
    <w:bookmarkStart w:id="28" w:name="material-e-métodos"/>
    <w:p>
      <w:pPr>
        <w:pStyle w:val="Heading2"/>
      </w:pPr>
      <w:r>
        <w:t xml:space="preserve">2 Material e métodos</w:t>
      </w:r>
    </w:p>
    <w:bookmarkStart w:id="19" w:name="receptores-e-subsítios-catalíticos"/>
    <w:p>
      <w:pPr>
        <w:pStyle w:val="Heading3"/>
      </w:pPr>
      <w:r>
        <w:t xml:space="preserve">2.1 Receptores e subsítios catalíticos</w:t>
      </w:r>
    </w:p>
    <w:p>
      <w:pPr>
        <w:pStyle w:val="FirstParagraph"/>
      </w:pPr>
      <w:r>
        <w:t xml:space="preserve">Proteases digestivas do tipo tripsina de oito espécies-praga (</w:t>
      </w:r>
      <w:r>
        <w:rPr>
          <w:i/>
          <w:iCs/>
        </w:rPr>
        <w:t xml:space="preserve">S. frugiperda</w:t>
      </w:r>
      <w:r>
        <w:t xml:space="preserve">,</w:t>
      </w:r>
      <w:r>
        <w:t xml:space="preserve"> </w:t>
      </w:r>
      <w:r>
        <w:rPr>
          <w:i/>
          <w:iCs/>
        </w:rPr>
        <w:t xml:space="preserve">S. litura</w:t>
      </w:r>
      <w:r>
        <w:t xml:space="preserve">,</w:t>
      </w:r>
      <w:r>
        <w:t xml:space="preserve"> </w:t>
      </w:r>
      <w:r>
        <w:rPr>
          <w:i/>
          <w:iCs/>
        </w:rPr>
        <w:t xml:space="preserve">Ostrinia nubilalis</w:t>
      </w:r>
      <w:r>
        <w:t xml:space="preserve">,</w:t>
      </w:r>
      <w:r>
        <w:t xml:space="preserve"> </w:t>
      </w:r>
      <w:r>
        <w:rPr>
          <w:i/>
          <w:iCs/>
        </w:rPr>
        <w:t xml:space="preserve">Diatraea saccharalis</w:t>
      </w:r>
      <w:r>
        <w:t xml:space="preserve">,</w:t>
      </w:r>
      <w:r>
        <w:t xml:space="preserve"> </w:t>
      </w:r>
      <w:r>
        <w:rPr>
          <w:i/>
          <w:iCs/>
        </w:rPr>
        <w:t xml:space="preserve">Chrysodeixis includens</w:t>
      </w:r>
      <w:r>
        <w:t xml:space="preserve">,</w:t>
      </w:r>
      <w:r>
        <w:t xml:space="preserve"> </w:t>
      </w:r>
      <w:r>
        <w:rPr>
          <w:i/>
          <w:iCs/>
        </w:rPr>
        <w:t xml:space="preserve">Heliothis virescens</w:t>
      </w:r>
      <w:r>
        <w:t xml:space="preserve">,</w:t>
      </w:r>
      <w:r>
        <w:t xml:space="preserve"> </w:t>
      </w:r>
      <w:r>
        <w:rPr>
          <w:i/>
          <w:iCs/>
        </w:rPr>
        <w:t xml:space="preserve">Plutella xylostella</w:t>
      </w:r>
      <w:r>
        <w:t xml:space="preserve">,</w:t>
      </w:r>
      <w:r>
        <w:t xml:space="preserve"> </w:t>
      </w:r>
      <w:r>
        <w:rPr>
          <w:i/>
          <w:iCs/>
        </w:rPr>
        <w:t xml:space="preserve">A. gemmatalis</w:t>
      </w:r>
      <w:r>
        <w:t xml:space="preserve">) e das referências</w:t>
      </w:r>
      <w:r>
        <w:t xml:space="preserve"> </w:t>
      </w:r>
      <w:r>
        <w:rPr>
          <w:i/>
          <w:iCs/>
        </w:rPr>
        <w:t xml:space="preserve">Manduca sexta</w:t>
      </w:r>
      <w:r>
        <w:t xml:space="preserve"> </w:t>
      </w:r>
      <w:r>
        <w:t xml:space="preserve">e</w:t>
      </w:r>
      <w:r>
        <w:t xml:space="preserve"> </w:t>
      </w:r>
      <w:r>
        <w:rPr>
          <w:i/>
          <w:iCs/>
        </w:rPr>
        <w:t xml:space="preserve">Bombyx mori</w:t>
      </w:r>
      <w:r>
        <w:t xml:space="preserve"> </w:t>
      </w:r>
      <w:r>
        <w:t xml:space="preserve">foram modeladas com estruturas do AlphaFold v2 (Jumper et al., 2021; Varadi et al., 2024) (Tabela 1). Só as entradas de</w:t>
      </w:r>
      <w:r>
        <w:t xml:space="preserve"> </w:t>
      </w:r>
      <w:r>
        <w:rPr>
          <w:i/>
          <w:iCs/>
        </w:rPr>
        <w:t xml:space="preserve">M. sexta</w:t>
      </w:r>
      <w:r>
        <w:t xml:space="preserve"> </w:t>
      </w:r>
      <w:r>
        <w:t xml:space="preserve">são revisadas e têm evidência de expressão no intestino médio; para as demais espécies as entradas foram escolhidas por homologia. A identidade com a tripsina B de</w:t>
      </w:r>
      <w:r>
        <w:t xml:space="preserve"> </w:t>
      </w:r>
      <w:r>
        <w:rPr>
          <w:i/>
          <w:iCs/>
        </w:rPr>
        <w:t xml:space="preserve">M. sexta</w:t>
      </w:r>
      <w:r>
        <w:t xml:space="preserve"> </w:t>
      </w:r>
      <w:r>
        <w:t xml:space="preserve">(P35046) usou um alinhamento global BLOSUM62 (Cock et al., 2009). O resíduo de especificidade foi localizado seis resíduos antes da serina catalítica (motivo G[DN]SGG[PT]), um deslocamento calibrado com a tripsina bovina (UniProt Consortium, 2025). As posições da tríade catalítica e do bolsão S1, com o Asp189 como resíduo de especificidade, foram conferidas em cada modelo por alinhamento global com a tripsina bovina e pelas distâncias de ligação de hidrogênio nas coordenadas do AlphaFold (Tabela S2).</w:t>
      </w:r>
    </w:p>
    <w:p>
      <w:pPr>
        <w:pStyle w:val="BodyText"/>
      </w:pPr>
      <w:r>
        <w:t xml:space="preserve">Os subsítios S4–S3′ (Schechter e Berger, 1967) foram definidos a partir de dois complexos cristalográficos da tripsina bovina (Berman et al., 2000), 2PTC (BPTI) e 1SFI (SFTI-1; Luckett et al., 1999). O P1 foi o resíduo do inibidor cujo carbono carbonílico fica mais perto do Oγ da serina catalítica, e um resíduo da tripsina foi atribuído a um subsítio quando qualquer um de seus átomos estava a até 4,5 Å do resíduo correspondente do inibidor. Cada cadeia de tripsina foi alinhada a cada receptor com o Foldseek em modo TM-align (van Kempen et al., 2024; Zhang e Skolnick, 2005), os resíduos foram transferidos pelo alinhamento e um par receptor–molde foi aceito com TM-score de pelo menos 0,5, valor acima do qual duas estruturas são, em sua maioria, do mesmo enovelamento (Xu e Zhang, 2010), e RMSD de no máximo 3,0 Å.</w:t>
      </w:r>
    </w:p>
    <w:bookmarkEnd w:id="19"/>
    <w:bookmarkStart w:id="20" w:name="calibração-da-escada-de-escores"/>
    <w:p>
      <w:pPr>
        <w:pStyle w:val="Heading3"/>
      </w:pPr>
      <w:r>
        <w:t xml:space="preserve">2.2 Calibração da escada de escores</w:t>
      </w:r>
    </w:p>
    <w:p>
      <w:pPr>
        <w:pStyle w:val="FirstParagraph"/>
      </w:pPr>
      <w:r>
        <w:t xml:space="preserve">Seis inibidores naturais serviram de controles positivos: BPTI (1BPI; Parkin et al., 1996), SFTI-1 (1SFI; naturalmente um peptídeo bicíclico cabeça-cauda, aqui modelado como a sequência linear de 14 resíduos), inibidor de Kunitz da soja (SKTI, 1AVU; Song e Suh, 1998), inibidor de Bowman–Birk (BBI, 1BBI; Werner e Wemmer, 1992), o inibidor de</w:t>
      </w:r>
      <w:r>
        <w:t xml:space="preserve"> </w:t>
      </w:r>
      <w:r>
        <w:rPr>
          <w:i/>
          <w:iCs/>
        </w:rPr>
        <w:t xml:space="preserve">Enterolobium contortisiliquum</w:t>
      </w:r>
      <w:r>
        <w:t xml:space="preserve"> </w:t>
      </w:r>
      <w:r>
        <w:t xml:space="preserve">(EcTI, 4J2K; Zhou et al., 2013) e ApTI (UniProt; sem estrutura). Para cada um, exceto o ApTI, gerou-se uma isca embaralhada de mesma composição. Cada ligante foi modelado com a β-tripsina bovina e com o modelo de</w:t>
      </w:r>
      <w:r>
        <w:t xml:space="preserve"> </w:t>
      </w:r>
      <w:r>
        <w:rPr>
          <w:i/>
          <w:iCs/>
        </w:rPr>
        <w:t xml:space="preserve">S. frugiperda</w:t>
      </w:r>
      <w:r>
        <w:t xml:space="preserve"> </w:t>
      </w:r>
      <w:r>
        <w:t xml:space="preserve">A0A089QDB3 (22 sistemas). Dois tipos de escore foram comparados: (i) confiança do Boltz-2 (Passaro et al., 2025) (MSA do ColabFold (Mirdita et al., 2022); uma amostra), com o seu ipTM e o pLDDT do complexo; (ii) RMSD do esqueleto do ligante após superposição no receptor em uma simulação de 2 ns (Seção 2.6; último terço; pH 8,0 para a tripsina bovina e 10,0 para o modelo de</w:t>
      </w:r>
      <w:r>
        <w:t xml:space="preserve"> </w:t>
      </w:r>
      <w:r>
        <w:rPr>
          <w:i/>
          <w:iCs/>
        </w:rPr>
        <w:t xml:space="preserve">S. frugiperda</w:t>
      </w:r>
      <w:r>
        <w:t xml:space="preserve">). Um escore separou um par quando o inibidor real teve o melhor valor, com a direção fixada de antemão. Os dez pares não são independentes, porque cada isca é usada com dois receptores.</w:t>
      </w:r>
    </w:p>
    <w:bookmarkEnd w:id="20"/>
    <w:bookmarkStart w:id="21" w:name="Xaf1a1df1337703c69782741b3683d5fef58df42"/>
    <w:p>
      <w:pPr>
        <w:pStyle w:val="Heading3"/>
      </w:pPr>
      <w:r>
        <w:t xml:space="preserve">2.3 Geração de esqueletos e desenho de sequências</w:t>
      </w:r>
    </w:p>
    <w:p>
      <w:pPr>
        <w:pStyle w:val="FirstParagraph"/>
      </w:pPr>
      <w:r>
        <w:t xml:space="preserve">Esqueletos cíclicos cabeça-cauda foram gerados com o RFdiffusion 1.1.0 (Watson et al., 2023) (</w:t>
      </w:r>
      <w:r>
        <w:rPr>
          <w:rStyle w:val="VerbatimChar"/>
        </w:rPr>
        <w:t xml:space="preserve">Complex_base_ckpt</w:t>
      </w:r>
      <w:r>
        <w:t xml:space="preserve">, 50 passos,</w:t>
      </w:r>
      <w:r>
        <w:t xml:space="preserve"> </w:t>
      </w:r>
      <w:r>
        <w:rPr>
          <w:rStyle w:val="VerbatimChar"/>
        </w:rPr>
        <w:t xml:space="preserve">noise_scale_ca</w:t>
      </w:r>
      <w:r>
        <w:t xml:space="preserve"> </w:t>
      </w:r>
      <w:r>
        <w:t xml:space="preserve">0,2,</w:t>
      </w:r>
      <w:r>
        <w:t xml:space="preserve"> </w:t>
      </w:r>
      <w:r>
        <w:rPr>
          <w:rStyle w:val="VerbatimChar"/>
        </w:rPr>
        <w:t xml:space="preserve">noise_scale_frame</w:t>
      </w:r>
      <w:r>
        <w:t xml:space="preserve"> </w:t>
      </w:r>
      <w:r>
        <w:t xml:space="preserve">0,1, modo cíclico, receptor fixo): dez esqueletos para cada um de 11 comprimentos (5, 6, 7, 8, 10, 12, 14, 16, 18, 19, 20 resíduos) e cada um dos oito alvos (880 esqueletos). Todo desenho foi gerado em modo cíclico, de modo que a campanha não produziu nenhum esqueleto linear. Os pontos quentes foram os resíduos de S1 e S2 transferidos do 1SFI; só os oito primeiros em número de resíduo chegaram ao RFdiffusion (equivalentes de His57, Leu99, Asp189, Ser190, Cys191, Gln192, Gly193 e Asp194). O ProteinMPNN (Dauparas et al., 2022) (</w:t>
      </w:r>
      <w:r>
        <w:rPr>
          <w:rStyle w:val="VerbatimChar"/>
        </w:rPr>
        <w:t xml:space="preserve">v_48_020</w:t>
      </w:r>
      <w:r>
        <w:t xml:space="preserve">, T = 0,1, ruído do esqueleto 0,05, sem cisteína, 30 sequências por esqueleto) rodou com as definições de cadeia padrão, de modo que o receptor também foi redesenhado e só o peptídeo foi mantido. Sequências idênticas foram reunidas em cada espécie.</w:t>
      </w:r>
    </w:p>
    <w:p>
      <w:pPr>
        <w:pStyle w:val="BodyText"/>
      </w:pPr>
      <w:r>
        <w:t xml:space="preserve">Três decisões definem esta etapa. (i)</w:t>
      </w:r>
      <w:r>
        <w:t xml:space="preserve"> </w:t>
      </w:r>
      <w:r>
        <w:rPr>
          <w:i/>
          <w:iCs/>
        </w:rPr>
        <w:t xml:space="preserve">Esqueleto cíclico.</w:t>
      </w:r>
      <w:r>
        <w:t xml:space="preserve"> </w:t>
      </w:r>
      <w:r>
        <w:t xml:space="preserve">A SFTI-1, o menor inibidor natural de tripsina, é ela própria um macrociclo cabeça-cauda (Luckett et al., 1999); a rigidez da alça reativa aumenta a afinidade e a resistência à proteólise (Kelly et al., 2005); peptídeos bicíclicos construídos sobre alças de inibidores foram dez vezes mais potentes contra proteases de</w:t>
      </w:r>
      <w:r>
        <w:t xml:space="preserve"> </w:t>
      </w:r>
      <w:r>
        <w:rPr>
          <w:i/>
          <w:iCs/>
        </w:rPr>
        <w:t xml:space="preserve">H. armigera</w:t>
      </w:r>
      <w:r>
        <w:t xml:space="preserve"> </w:t>
      </w:r>
      <w:r>
        <w:t xml:space="preserve">do que os lineares correspondentes (Saikhedkar et al., 2019); e um anel fechado não tem extremidade livre para as exopeptidases do intestino médio (Valaitis, 1995; Valaitis et al., 1999). (ii)</w:t>
      </w:r>
      <w:r>
        <w:t xml:space="preserve"> </w:t>
      </w:r>
      <w:r>
        <w:rPr>
          <w:i/>
          <w:iCs/>
        </w:rPr>
        <w:t xml:space="preserve">Sem cisteína.</w:t>
      </w:r>
      <w:r>
        <w:t xml:space="preserve"> </w:t>
      </w:r>
      <w:r>
        <w:t xml:space="preserve">A outra restrição possível, uma ponte dissulfeto, não pode ser dada como estável neste ambiente: o potencial redox do intestino médio varia entre lagartas, redutor em algumas espécies e oxidante em outras (Appel e Martin, 1990; Johnson e Felton, 1996), de modo que um arcabouço que depende de cistina oxidada não é transferível para todo o complexo de pragas. A cisteína foi então excluída no desenho e o anel amida é a única restrição conformacional da campanha. (iii)</w:t>
      </w:r>
      <w:r>
        <w:t xml:space="preserve"> </w:t>
      </w:r>
      <w:r>
        <w:rPr>
          <w:i/>
          <w:iCs/>
        </w:rPr>
        <w:t xml:space="preserve">Comprimentos de 5 a 20 resíduos.</w:t>
      </w:r>
      <w:r>
        <w:t xml:space="preserve"> </w:t>
      </w:r>
      <w:r>
        <w:t xml:space="preserve">A escada abrange os peptídeos para os quais já se mediu inibição de tripsinas digestivas de Lepidoptera, dos tripeptídeos (de Almeida Barros et al., 2021) à SFTI-1, de 14 resíduos (Luckett et al., 1999).</w:t>
      </w:r>
    </w:p>
    <w:p>
      <w:pPr>
        <w:pStyle w:val="BodyText"/>
      </w:pPr>
      <w:r>
        <w:rPr>
          <w:i/>
          <w:iCs/>
        </w:rPr>
        <w:t xml:space="preserve">As duas frentes.</w:t>
      </w:r>
      <w:r>
        <w:t xml:space="preserve"> </w:t>
      </w:r>
      <w:r>
        <w:t xml:space="preserve">Como todo esqueleto é cíclico, a frente linear não é uma segunda campanha de desenho. A frente M avalia a sequência como o macrociclo cabeça-cauda sobre o qual ela foi desenhada; a frente L avalia a mesma sequência como peptídeo linear com extremidades livres, cuja estrutura tridimensional é predita de novo pelo Boltz-2 (Seção 2.5) e não vem do esqueleto do RFdiffusion. A leitura linear é mantida porque é a forma em que os peptídeos inibidores dessas enzimas foram ensaiados (de Almeida Barros et al., 2021; Meriño-Cabrera et al., 2020b; Mariano et al., 2026) e a que não exige química de fechamento de anel; as duas frentes perguntam, portanto, se uma sequência selecionada sobre esqueleto cíclico ainda passa pelas triagens quando o anel é aberto. São duas leituras de um mesmo conjunto de sequências, e não conjuntos disjuntos (Seção 3.3).</w:t>
      </w:r>
    </w:p>
    <w:bookmarkEnd w:id="21"/>
    <w:bookmarkStart w:id="22" w:name="triagens-de-clivagem"/>
    <w:p>
      <w:pPr>
        <w:pStyle w:val="Heading3"/>
      </w:pPr>
      <w:r>
        <w:t xml:space="preserve">2.4 Triagens de clivagem</w:t>
      </w:r>
    </w:p>
    <w:p>
      <w:pPr>
        <w:pStyle w:val="FirstParagraph"/>
      </w:pPr>
      <w:r>
        <w:rPr>
          <w:i/>
          <w:iCs/>
        </w:rPr>
        <w:t xml:space="preserve">Triagem por escore de motivos (primeira rodada).</w:t>
      </w:r>
      <w:r>
        <w:t xml:space="preserve"> </w:t>
      </w:r>
      <w:r>
        <w:t xml:space="preserve">Cada sequência foi varrida de forma circular com sete regras simplificadas de motivo P1 baseadas no PeptideCutter (Gasteiger et al., 2005) (tripsina, quimotripsina em duas especificidades, uma regra tipo elastase, Lys-C, Arg-C e uma regra tipo pepsina). Uma contagem ponderada de sítios (pesos 1,0, 0,6 e 0,3 para as prioridades 1–3 das enzimas; só sítios internos para a tripsina; dividida por 10 e limitada a 1) deu o escore. Uma sequência foi rotulada RESISTENTE sem sítio interno de tripsina e com escore abaixo de 0,3, MARGINAL com no máximo um sítio interno e escore abaixo de 0,5, e SUSCEPTIVEL nos demais casos. Os rótulos são previsões por motivo e não medem proteólise.</w:t>
      </w:r>
    </w:p>
    <w:p>
      <w:pPr>
        <w:pStyle w:val="BodyText"/>
      </w:pPr>
      <w:r>
        <w:rPr>
          <w:i/>
          <w:iCs/>
        </w:rPr>
        <w:t xml:space="preserve">Critério duro.</w:t>
      </w:r>
      <w:r>
        <w:t xml:space="preserve"> </w:t>
      </w:r>
      <w:r>
        <w:t xml:space="preserve">Uma sequência foi mantida só se nenhum resíduo fosse K ou R (tipo tripsina), F, Y, W, L ou M (tipo quimotripsina e tipo elastase-2), ou A ou V (tipo elastase-1), a menos que o resíduo seguinte fosse prolina. No peptídeo linear o resíduo C-terminal também foi avaliado (não pode pertencer a esse conjunto nem ser isoleucina); no macrociclo a ligação de fechamento foi avaliada como as demais. A isoleucina foi permitida no interior. A regra foi aplicada às mesmas sequências nas interpretações linear (frente L) e cíclica (frente M).</w:t>
      </w:r>
    </w:p>
    <w:p>
      <w:pPr>
        <w:pStyle w:val="BodyText"/>
      </w:pPr>
      <w:r>
        <w:t xml:space="preserve">Cada cláusula tem base declarada e, onde nenhuma medida em Lepidoptera a sustenta, é declarada conservadora.</w:t>
      </w:r>
      <w:r>
        <w:t xml:space="preserve"> </w:t>
      </w:r>
      <w:r>
        <w:rPr>
          <w:i/>
          <w:iCs/>
        </w:rPr>
        <w:t xml:space="preserve">K e R:</w:t>
      </w:r>
      <w:r>
        <w:t xml:space="preserve"> </w:t>
      </w:r>
      <w:r>
        <w:t xml:space="preserve">as enzimas tipo tripsina são as principais proteases digestivas dessas lagartas (da Silva Júnior et al., 2020; de Almeida Barros et al., 2021; Valaitis, 1995) e exigem lisina ou arginina em P1 (Perona e Craik, 1995; Patarroyo-Vargas et al., 2017).</w:t>
      </w:r>
      <w:r>
        <w:t xml:space="preserve"> </w:t>
      </w:r>
      <w:r>
        <w:rPr>
          <w:i/>
          <w:iCs/>
        </w:rPr>
        <w:t xml:space="preserve">F, Y, W, L e M:</w:t>
      </w:r>
      <w:r>
        <w:t xml:space="preserve"> </w:t>
      </w:r>
      <w:r>
        <w:t xml:space="preserve">a</w:t>
      </w:r>
      <w:r>
        <w:t xml:space="preserve"> </w:t>
      </w:r>
      <w:r>
        <w:t xml:space="preserve">“elastase”</w:t>
      </w:r>
      <w:r>
        <w:t xml:space="preserve"> </w:t>
      </w:r>
      <w:r>
        <w:t xml:space="preserve">luminal purificada de intestino médio de Lepidoptera é do tipo elastase-2, tendo como melhor substrato sintético o Suc-Ala-Ala-Pro-Leu-</w:t>
      </w:r>
      <w:r>
        <w:rPr>
          <w:i/>
          <w:iCs/>
        </w:rPr>
        <w:t xml:space="preserve">p</w:t>
      </w:r>
      <w:r>
        <w:t xml:space="preserve">-nitroanilida, isto é, P1 = Leu (Valaitis, 1995), e a quimotripsina do budworm hidrolisa tanto o substrato com Phe quanto o com Leu (Valaitis et al., 1999); transcritos e atividades tipo quimotripsina são relatados nas próprias espécies-praga (Yang et al., 2013; Zhan et al., 2011; Nakonieczny et al., 2007), de modo que esse conjunto cobre a preferência documentada por P1 hidrofóbico grande.</w:t>
      </w:r>
      <w:r>
        <w:t xml:space="preserve"> </w:t>
      </w:r>
      <w:r>
        <w:rPr>
          <w:i/>
          <w:iCs/>
        </w:rPr>
        <w:t xml:space="preserve">A e V:</w:t>
      </w:r>
      <w:r>
        <w:t xml:space="preserve"> </w:t>
      </w:r>
      <w:r>
        <w:t xml:space="preserve">a especificidade por P1 alifático pequeno das enzimas tipo elastase-1 (Gasteiger et al., 2005; Rawlings et al., 2018), que não foi caracterizada nessas espécies; a cláusula é uma adição conservadora, não um requisito documentado.</w:t>
      </w:r>
      <w:r>
        <w:t xml:space="preserve"> </w:t>
      </w:r>
      <w:r>
        <w:rPr>
          <w:i/>
          <w:iCs/>
        </w:rPr>
        <w:t xml:space="preserve">G e S, que não são proibidos:</w:t>
      </w:r>
      <w:r>
        <w:t xml:space="preserve"> </w:t>
      </w:r>
      <w:r>
        <w:t xml:space="preserve">a regra ampla de elastase da triagem por motivos os conta em P1, mas a atividade de fato caracterizada em intestino médio de Lepidoptera é do tipo elastase-2 (P1 = Leu, já excluído), e proibi-los deixa 13 dos 527 candidatos lineares e 14 dos 543 cíclicos (4 e 5 se a treonina for incluída). Foram mantidos, com a consequência declarada: os peptídeos sobreviventes são ricos em glicina (Seção 3.3) e seguem expostos a qualquer atividade de P1 pequeno, o que um ensaio enzimático de estabilidade, e não uma regra de motivo, tem de resolver.</w:t>
      </w:r>
      <w:r>
        <w:t xml:space="preserve"> </w:t>
      </w:r>
      <w:r>
        <w:rPr>
          <w:i/>
          <w:iCs/>
        </w:rPr>
        <w:t xml:space="preserve">A exceção da prolina:</w:t>
      </w:r>
      <w:r>
        <w:t xml:space="preserve"> </w:t>
      </w:r>
      <w:r>
        <w:t xml:space="preserve">P1′ = Pro bloqueia ou retarda a clivagem nas regras compiladas para essas enzimas (Gasteiger et al., 2005; Rawlings et al., 2018), mas a barreira é estatística e não absoluta (Rodriguez et al., 2008; Pan et al., 2014), razão pela qual a geometria de ataque das ligações K/R–Pro é examinada explicitamente (Seções 2.7 e 3.8).</w:t>
      </w:r>
      <w:r>
        <w:t xml:space="preserve"> </w:t>
      </w:r>
      <w:r>
        <w:rPr>
          <w:i/>
          <w:iCs/>
        </w:rPr>
        <w:t xml:space="preserve">A cláusula C-terminal:</w:t>
      </w:r>
      <w:r>
        <w:t xml:space="preserve"> </w:t>
      </w:r>
      <w:r>
        <w:t xml:space="preserve">a atividade de carboxipeptidase A predomina em extratos de intestino médio de Lepidoptera, com carboxipeptidase B em nível mais baixo, e é induzida pela ingestão do inibidor Kunitz de soja (Bown et al., 1998); a atividade de carboxipeptidase também é alta em larvas coletadas no campo de outra espécie (Valaitis et al., 1999); a carboxipeptidase A remove resíduos C-terminais aromáticos e alifáticos ramificados e a carboxipeptidase B, os básicos (Rawlings et al., 2018), de modo que o conjunto proibido mais a isoleucina foi aplicado ao C-terminal livre do peptídeo linear. O macrociclo não tem extremidade e não é triado para exopeptidases, ao passo que as aminopeptidases da borda em escova, purificadas de intestino médio de Lepidoptera como leucina aminopeptidase e como aminopeptidase N (Valaitis, 1995; Valaitis et al., 1999), atuam no N-terminal livre de um peptídeo linear qualquer que seja a sequência e não são excluídas por nenhuma regra. Os dois cortes do escore de motivos (0,3 e 0,5) são operacionais e foram fixados antes da triagem; não têm base na literatura.</w:t>
      </w:r>
    </w:p>
    <w:bookmarkEnd w:id="22"/>
    <w:bookmarkStart w:id="23" w:name="X4ad4a271862c79f8dc989954b8400ea8ab268c6"/>
    <w:p>
      <w:pPr>
        <w:pStyle w:val="Heading3"/>
      </w:pPr>
      <w:r>
        <w:t xml:space="preserve">2.5 Co-dobramento, reescore e qualidade da pose</w:t>
      </w:r>
    </w:p>
    <w:p>
      <w:pPr>
        <w:pStyle w:val="FirstParagraph"/>
      </w:pPr>
      <w:r>
        <w:t xml:space="preserve">Os candidatos foram co-dobrados com o Boltz-2 2.2.1 (Passaro et al., 2025) (MSA do receptor do ColabFold (Mirdita et al., 2022); peptídeo sem MSA,</w:t>
      </w:r>
      <w:r>
        <w:t xml:space="preserve"> </w:t>
      </w:r>
      <w:r>
        <w:rPr>
          <w:rStyle w:val="VerbatimChar"/>
        </w:rPr>
        <w:t xml:space="preserve">cyclic: true</w:t>
      </w:r>
      <w:r>
        <w:t xml:space="preserve"> </w:t>
      </w:r>
      <w:r>
        <w:t xml:space="preserve">nos macrociclos). Relatamos o</w:t>
      </w:r>
      <w:r>
        <w:t xml:space="preserve"> </w:t>
      </w:r>
      <w:r>
        <w:rPr>
          <w:rStyle w:val="VerbatimChar"/>
        </w:rPr>
        <w:t xml:space="preserve">confidence_score</w:t>
      </w:r>
      <w:r>
        <w:t xml:space="preserve"> </w:t>
      </w:r>
      <w:r>
        <w:t xml:space="preserve">(verificado igual a 0,8·pLDDT + 0,2·ipTM), o pLDDT e o ipTM; as saídas de afinidade não foram usadas.</w:t>
      </w:r>
      <w:r>
        <w:t xml:space="preserve"> </w:t>
      </w:r>
      <w:r>
        <w:rPr>
          <w:i/>
          <w:iCs/>
        </w:rPr>
        <w:t xml:space="preserve">E1:</w:t>
      </w:r>
      <w:r>
        <w:t xml:space="preserve"> </w:t>
      </w:r>
      <w:r>
        <w:t xml:space="preserve">os 527 candidatos lineares e 543 cíclicos do critério duro, uma predição cada.</w:t>
      </w:r>
      <w:r>
        <w:t xml:space="preserve"> </w:t>
      </w:r>
      <w:r>
        <w:rPr>
          <w:i/>
          <w:iCs/>
        </w:rPr>
        <w:t xml:space="preserve">E2:</w:t>
      </w:r>
      <w:r>
        <w:t xml:space="preserve"> </w:t>
      </w:r>
      <w:r>
        <w:t xml:space="preserve">os dez melhores candidatos por espécie e frente foram re-preditos com cinco amostras de difusão, três ciclos de reciclagem, potenciais de tempo de inferência e três sementes (15 predições); o escore é a média e a melhor amostra é a estrutura inicial.</w:t>
      </w:r>
      <w:r>
        <w:t xml:space="preserve"> </w:t>
      </w:r>
      <w:r>
        <w:rPr>
          <w:i/>
          <w:iCs/>
        </w:rPr>
        <w:t xml:space="preserve">E3:</w:t>
      </w:r>
      <w:r>
        <w:t xml:space="preserve"> </w:t>
      </w:r>
      <w:r>
        <w:t xml:space="preserve">três controles embaralhados por candidato do E2 foram preditos com o mesmo protocolo, e Δ = escore do candidato − escore médio de seus controles.</w:t>
      </w:r>
      <w:r>
        <w:t xml:space="preserve"> </w:t>
      </w:r>
      <w:r>
        <w:rPr>
          <w:i/>
          <w:iCs/>
        </w:rPr>
        <w:t xml:space="preserve">E4:</w:t>
      </w:r>
      <w:r>
        <w:t xml:space="preserve"> </w:t>
      </w:r>
      <w:r>
        <w:t xml:space="preserve">controle de qualidade da pose, com limiares fixados de antemão: nenhum par de átomos pesados peptídeo–receptor a menos de 2,2 Å; |ω| ≥ 150° (Pro cis aceita); quiralidade L; His57 Nε2–Ser195 Oγ ≤ 3,8 Å; nos macrociclos, C–N de fechamento ≤ 1,5 Å e ω de fechamento ≥ 150°. O melhor candidato de cada espécie também foi co-dobrado com os sete outros receptores (matriz cruzada 8 × 8). Os três candidatos por espécie e frente com maior confiança média no E2 entre as sequências distintas (24 lineares, 24 cíclicos) seguiram para a simulação; Δ não foi usado na seleção.</w:t>
      </w:r>
    </w:p>
    <w:bookmarkEnd w:id="23"/>
    <w:bookmarkStart w:id="24" w:name="dinâmica-molecular"/>
    <w:p>
      <w:pPr>
        <w:pStyle w:val="Heading3"/>
      </w:pPr>
      <w:r>
        <w:t xml:space="preserve">2.6 Dinâmica molecular</w:t>
      </w:r>
    </w:p>
    <w:p>
      <w:pPr>
        <w:pStyle w:val="FirstParagraph"/>
      </w:pPr>
      <w:r>
        <w:t xml:space="preserve">Cada um dos 48 complexos foi simulado por 10 ns em pH 10,0 (pH de triagem, escolhido pelo intestino médio das larvas: extratos de intestino de</w:t>
      </w:r>
      <w:r>
        <w:t xml:space="preserve"> </w:t>
      </w:r>
      <w:r>
        <w:rPr>
          <w:i/>
          <w:iCs/>
        </w:rPr>
        <w:t xml:space="preserve">H. virescens</w:t>
      </w:r>
      <w:r>
        <w:t xml:space="preserve"> </w:t>
      </w:r>
      <w:r>
        <w:t xml:space="preserve">em pH 9,56–10,0 (Karumbaiah et al., 2007); (Dow, 1992)) e em pH 8,2, o pH dos ensaios enzimáticos com os peptídeos GORE (Tris-HCl 0,1 M, CaCl</w:t>
      </w:r>
      <w:r>
        <w:rPr>
          <w:vertAlign w:val="subscript"/>
        </w:rPr>
        <w:t xml:space="preserve">2</w:t>
      </w:r>
      <w:r>
        <w:t xml:space="preserve"> </w:t>
      </w:r>
      <w:r>
        <w:t xml:space="preserve">20 mM (Schultz et al., 2026)). Os dois valores foram escolhidos juntos porque o pH do intestino médio não é o mesmo em todas as lagartas de lepidópteros; um inibidor eficaz ao longo dessa faixa é mais viável contra o complexo de pragas do que um que funcione em um único pH, e o par também corresponde às condições em que um Ki seria medido. A protonação foi atribuída com o PROPKA 3 (Olsson et al., 2011) pelo PDB2PQR (Dolinsky et al., 2007). Os sistemas foram montados com o GROMACS 2025.4 (Abraham et al., 2015), o campo de força CHARMM36 (Huang e MacKerell, 2013) (porte feito com o charmm2gmx (Wacha e Lemkul, 2023)) e água TIP3P Jorgensen et al., 1983, em caixa dodecaédrica (margem de 1,2 nm, KCl 0,10 M). O peptídeo linear tem extremidades NH</w:t>
      </w:r>
      <w:r>
        <w:rPr>
          <w:vertAlign w:val="subscript"/>
        </w:rPr>
        <w:t xml:space="preserve">3</w:t>
      </w:r>
      <w:r>
        <w:rPr>
          <w:vertAlign w:val="superscript"/>
        </w:rPr>
        <w:t xml:space="preserve">+</w:t>
      </w:r>
      <w:r>
        <w:t xml:space="preserve"> </w:t>
      </w:r>
      <w:r>
        <w:t xml:space="preserve">e COO</w:t>
      </w:r>
      <w:r>
        <w:rPr>
          <w:vertAlign w:val="superscript"/>
        </w:rPr>
        <w:t xml:space="preserve">−</w:t>
      </w:r>
      <w:r>
        <w:t xml:space="preserve"> </w:t>
      </w:r>
      <w:r>
        <w:t xml:space="preserve">nos dois pH; o macrociclo não tem extremidades, e o pdb2gmx forma a ligação cabeça-cauda a partir da geometria do Boltz-2 (o script de montagem para se faltar a ligação de fechamento ou o termo CMAP). Após a minimização, 200 ps de NVT e 500 ps de NPT com restrições de posição (1.000 kJ mol</w:t>
      </w:r>
      <w:r>
        <w:rPr>
          <w:vertAlign w:val="superscript"/>
        </w:rPr>
        <w:t xml:space="preserve">−1</w:t>
      </w:r>
      <w:r>
        <w:t xml:space="preserve"> </w:t>
      </w:r>
      <w:r>
        <w:t xml:space="preserve">nm</w:t>
      </w:r>
      <w:r>
        <w:rPr>
          <w:vertAlign w:val="superscript"/>
        </w:rPr>
        <w:t xml:space="preserve">−2</w:t>
      </w:r>
      <w:r>
        <w:t xml:space="preserve">), a produção durou 10 ns a 300 K e 1 bar (termostato de reescalonamento de velocidades Bussi et al., 2007; barostato de Parrinello–Rahman Parrinello e Rahman, 1981; PME Essmann et al., 1995; cortes de 1,2 nm, van der Waals com</w:t>
      </w:r>
      <w:r>
        <w:t xml:space="preserve"> </w:t>
      </w:r>
      <w:r>
        <w:rPr>
          <w:i/>
          <w:iCs/>
        </w:rPr>
        <w:t xml:space="preserve">force-switch</w:t>
      </w:r>
      <w:r>
        <w:t xml:space="preserve">; LINCS; passo de 2 fs). Cada sistema foi executado uma vez por pH com semente aleatória; quatro candidatos por frente (NGGRPDAP, GQNDS, PTTTQT e GSNIN lineares; GGHSE, GGKPGEP, IYPETG e SGSTDIE cíclicos) foram executados de novo em cada pH com outra semente, para estimar a variação entre execuções.</w:t>
      </w:r>
    </w:p>
    <w:bookmarkEnd w:id="24"/>
    <w:bookmarkStart w:id="25" w:name="análise-das-trajetórias"/>
    <w:p>
      <w:pPr>
        <w:pStyle w:val="Heading3"/>
      </w:pPr>
      <w:r>
        <w:t xml:space="preserve">2.7 Análise das trajetórias</w:t>
      </w:r>
    </w:p>
    <w:p>
      <w:pPr>
        <w:pStyle w:val="FirstParagraph"/>
      </w:pPr>
      <w:r>
        <w:t xml:space="preserve">As trajetórias foram tornadas inteiras e centradas (</w:t>
      </w:r>
      <w:r>
        <w:rPr>
          <w:rStyle w:val="VerbatimChar"/>
        </w:rPr>
        <w:t xml:space="preserve">gmx trjconv -pbc mol -center</w:t>
      </w:r>
      <w:r>
        <w:t xml:space="preserve">), porque receptor e peptídeo são moléculas separadas que podem ser gravadas em imagens periódicas diferentes; as análises usaram o MDAnalysis 2.9.0 (Michaud-Agrawal et al., 2011; Gowers et al., 2016). Em cada quadro, a distância de cada resíduo do peptídeo aos oxigênios do carboxilato do equivalente do Asp189 foi a distância mínima entre átomos pesados, e o resíduo de menor distância média foi a âncora (definida a posteriori, sem supor qual seria). A ocupância de S1 é a fração de quadros com distância âncora–Asp189 abaixo de 5 Å (4 e 6 Å também calculados), na trajetória inteira e em cada metade. A distância âncora–Asp189 e o RMSD de Cα do peptídeo após superposição no receptor são dados para uma janela inicial (primeiros 0,4 ns) e uma final (últimos 2 ns). Relatamos ainda a fração de quadros com qualquer átomo do peptídeo a até 4,5 Å do Oγ da Ser ou do Nε2 da His catalíticas ou do receptor e, nos macrociclos, a distância C–N e o ω de fechamento em cada quadro. A triagem declarada de antemão exigia ocupância na segunda metade ≥ 70%, a mesma âncora nas duas metades e, nos macrociclos, anel íntegro (C–N ≤ 1,5 Å, ω ≥ 150° em todos os quadros). Em 2 de outubro de 2026, depois das 16 primeiras simulações, a ocupância passou de portão a descrição (Seção 3.5), uma mudança do procedimento declarado feita depois de ver dados. Com uma execução por candidato, não se faz inferência estatística.</w:t>
      </w:r>
    </w:p>
    <w:p>
      <w:pPr>
        <w:pStyle w:val="BodyText"/>
      </w:pPr>
      <w:r>
        <w:rPr>
          <w:i/>
          <w:iCs/>
        </w:rPr>
        <w:t xml:space="preserve">Geometria de ataque.</w:t>
      </w:r>
      <w:r>
        <w:t xml:space="preserve"> </w:t>
      </w:r>
      <w:r>
        <w:t xml:space="preserve">Na segunda metade de cada execução, para cada ligação peptídica (incluindo a de fechamento; excluído o carboxilato C-terminal) medimos a distância do Oγ da Ser195 ao C da carbonila, o ângulo Oγ···C=O e a distância do O da carbonila ao N do esqueleto da Gly193 e da Ser195 (buraco do oxiânion). Uma conformação quase de ataque exigiu &lt; 3,5 Å, 90–125° e &lt; 3,5 Å (</w:t>
      </w:r>
      <w:r>
        <w:rPr>
          <w:rStyle w:val="VerbatimChar"/>
        </w:rPr>
        <w:t xml:space="preserve">scripts/scissile_geometry.py</w:t>
      </w:r>
      <w:r>
        <w:t xml:space="preserve">). O critério segue a descrição da catálise por confôrmeros quase de ataque, em que a fração reativa dos confôrmeros do estado fundamental governa a velocidade (Hur e Bruice, 2003), e a janela angular abrange a trajetória de Bürgi–Dunitz de adição nucleofílica a uma carbonila (Bürgi et al., 1973); os cortes numéricos são operacionais nesta análise e aqui são calibrados não contra um substrato conhecido, mas contra um controle interno — as sequências embaralhadas da Seção 3.5, que põem um resíduo básico na S1 sem a prolina seguinte, no protocolo idêntico.</w:t>
      </w:r>
    </w:p>
    <w:bookmarkEnd w:id="25"/>
    <w:bookmarkStart w:id="26" w:name="Xa9fdff8d9f7759ce85d1a0eb870cc3a1d9972fa"/>
    <w:p>
      <w:pPr>
        <w:pStyle w:val="Heading3"/>
      </w:pPr>
      <w:r>
        <w:t xml:space="preserve">2.8 Filtro de energia, classificação e comparação de pH</w:t>
      </w:r>
    </w:p>
    <w:p>
      <w:pPr>
        <w:pStyle w:val="FirstParagraph"/>
      </w:pPr>
      <w:r>
        <w:t xml:space="preserve">O MM-GBSA usou o gmx_MMPBSA (Valdés-Tresanco et al., 2021) (MMPBSA.py (Miller et al., 2012); Born generalizado igb = 5 (Onufriev et al., 2004); sal 0,150 M; trajetória única; sem entropia) na segunda metade de cada trajetória (126 quadros; receptor cadeia A, peptídeo cadeia B), com erro-padrão sobre cinco blocos de quadros. O PRODIGY (Vangone e Bonvin, 2015), preditor baseado em contatos e sem protonação explícita, foi aplicado à pose inicial (protonada em pH 8,2) e a 30 quadros da segunda metade. Os dois escores crescem com o tamanho da interface, e por isso cada um é dado também por resíduo; nenhum foi calibrado como discriminador entre inibidores reais e iscas embaralhadas, e ambos ordenam candidatos contra o mesmo receptor sem serem lidos como afinidades. Cada etapa ordena os candidatos dentro de uma frente (1 = melhor; empates recebem o posto médio): confiança do Boltz-2 no E2, Δ pareado (E3), RMSD final do peptídeo em pH 8,2, PRODIGY na pose e PRODIGY e MM-GBSA na trajetória de pH 8,2; o agregado é o posto médio nas etapas. A classificação cobre os candidatos que passaram no controle de qualidade de pose, tiveram Δ &gt; 0 e, nos macrociclos, cumpriram o critério estrito do anel; a ocupância de S1 não entra (Seção 3.5). As simulações de pH 8,2 e de pH 10,0 são pareadas (mesma pose e protocolo; diferem na protonação das cadeias laterais, nos contraíons e na semente) e comparadas pela diferença pareada de cada métrica (teste de postos sinalizados de Wilcoxon), pela correlação de postos entre pH e pela concordância de desfechos categóricos, lidas contra a diferença entre execuções do mesmo pH.</w:t>
      </w:r>
    </w:p>
    <w:bookmarkEnd w:id="26"/>
    <w:bookmarkStart w:id="27" w:name="programas-e-dados"/>
    <w:p>
      <w:pPr>
        <w:pStyle w:val="Heading3"/>
      </w:pPr>
      <w:r>
        <w:t xml:space="preserve">2.9 Programas e dados</w:t>
      </w:r>
    </w:p>
    <w:p>
      <w:pPr>
        <w:pStyle w:val="FirstParagraph"/>
      </w:pPr>
      <w:r>
        <w:t xml:space="preserve">Os cálculos rodaram em uma NVIDIA RTX 5070 Ti (16 GB) com 32 núcleos de CPU (Python 3.10/3.11; PyTorch 2.12/2.13, CUDA 12.8/13.0). O código, a configuração, a tabela de subsítios, os dados de calibração, as listas de candidatos e os escores estão no repositório do projeto (https://github.com/eulaliobqi/design-inibidores)</w:t>
      </w:r>
      <w:r>
        <w:t xml:space="preserve"> </w:t>
      </w:r>
      <w:r>
        <w:rPr>
          <w:rStyle w:val="Pendente"/>
        </w:rPr>
        <w:t xml:space="preserve">visibilidade do repositório e DOI de arquivamento a confirmar</w:t>
      </w:r>
      <w:r>
        <w:t xml:space="preserve">. As trajetórias estão disponíveis sob pedido.</w:t>
      </w:r>
    </w:p>
    <w:p>
      <w:r>
        <w:pict>
          <v:rect style="width:0;height:1.5pt" o:hralign="center" o:hrstd="t" o:hr="t"/>
        </w:pict>
      </w:r>
    </w:p>
    <w:bookmarkEnd w:id="27"/>
    <w:bookmarkEnd w:id="28"/>
    <w:bookmarkStart w:id="58" w:name="resultados"/>
    <w:p>
      <w:pPr>
        <w:pStyle w:val="Heading2"/>
      </w:pPr>
      <w:r>
        <w:t xml:space="preserve">3 Resultados</w:t>
      </w:r>
    </w:p>
    <w:bookmarkStart w:id="29" w:name="Xa38c64f56c14195f30fce93282fc3ac55756754"/>
    <w:p>
      <w:pPr>
        <w:pStyle w:val="Heading3"/>
      </w:pPr>
      <w:r>
        <w:t xml:space="preserve">3.1 Painel de receptores e transferência dos subsítios</w:t>
      </w:r>
    </w:p>
    <w:p>
      <w:pPr>
        <w:pStyle w:val="FirstParagraph"/>
      </w:pPr>
      <w:r>
        <w:t xml:space="preserve">As dez sequências têm o motivo catalítico G[DN]SGG[PT] e um aspartato na posição de especificidade, o resíduo da tripsina bovina (Tabela 1). A identidade com a tripsina B de</w:t>
      </w:r>
      <w:r>
        <w:t xml:space="preserve"> </w:t>
      </w:r>
      <w:r>
        <w:rPr>
          <w:i/>
          <w:iCs/>
        </w:rPr>
        <w:t xml:space="preserve">M. sexta</w:t>
      </w:r>
      <w:r>
        <w:t xml:space="preserve"> </w:t>
      </w:r>
      <w:r>
        <w:t xml:space="preserve">variou de 44,3% (</w:t>
      </w:r>
      <w:r>
        <w:rPr>
          <w:i/>
          <w:iCs/>
        </w:rPr>
        <w:t xml:space="preserve">P. xylostella</w:t>
      </w:r>
      <w:r>
        <w:t xml:space="preserve">) a 71,0% (</w:t>
      </w:r>
      <w:r>
        <w:rPr>
          <w:i/>
          <w:iCs/>
        </w:rPr>
        <w:t xml:space="preserve">C. includens</w:t>
      </w:r>
      <w:r>
        <w:t xml:space="preserve">) entre as pragas; o pLDDT médio foi de 89,7 a 91,0 nos oito modelos de praga e de 88,9 a 92,2 nos dez. Em todos os modelos os resíduos equivalentes à His57, ao Asp102 e à Ser195 são His, Asp e Ser, e as distâncias His–Ser e His–Asp (2,92–3,13 Å e 2,70–2,75 Å) são as de uma tríade montada; os resíduos do bolsão Asp189, Cys191, Gly193, Asp194, Gly216 e Gly226 são conservados, ao passo que Ser190, Val213, Trp215 e Gly219 variam entre as espécies (Tabela S2). O painel é, portanto, do tipo tripsina, mas a expressão dessas enzimas nos intestinos médios das pragas não está documentada (Seção 2.1). O P1 foi a Lys15 no BPTI e a Lys5 no SFTI-1; nos dois complexos o conjunto de contatos de S1 teve 14 resíduos da tripsina, entre eles Asp189, Ser190, Cys191, Gln192, Gly193, Asp194, His57, Ser195, Val213, Ser214, Trp215, Gly216, Gly219 e Gly226 (Tabela S1). Todos os 20 pares receptor–molde foram aceitos (TM-score 0,946–0,957; RMSD 1,18–1,41 Å), todos os resíduos dos subsítios foram transferidos (48 de 48 para o 2PTC e 49 de 49 para o 1SFI, exossítio incluído), e o equivalente do Asp189 achado pela estrutura coincidiu com o achado pela sequência nos dez receptores.</w:t>
      </w:r>
    </w:p>
    <w:p>
      <w:pPr>
        <w:pStyle w:val="BodyText"/>
      </w:pPr>
      <w:r>
        <w:rPr>
          <w:b/>
          <w:bCs/>
        </w:rPr>
        <w:t xml:space="preserve">Tabela 1.</w:t>
      </w:r>
      <w:r>
        <w:t xml:space="preserve"> </w:t>
      </w:r>
      <w:r>
        <w:t xml:space="preserve">Painel de receptores (modelos do AlphaFold). Identidade: com a P35046 de</w:t>
      </w:r>
      <w:r>
        <w:t xml:space="preserve"> </w:t>
      </w:r>
      <w:r>
        <w:rPr>
          <w:i/>
          <w:iCs/>
        </w:rPr>
        <w:t xml:space="preserve">M. sexta</w:t>
      </w:r>
      <w:r>
        <w:t xml:space="preserve">. Os números da serina catalítica e do equivalente do Asp189 se referem à numeração do modelo.</w:t>
      </w:r>
    </w:p>
    <w:tbl>
      <w:tblPr>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990"/>
        <w:gridCol w:w="990"/>
        <w:gridCol w:w="990"/>
        <w:gridCol w:w="990"/>
        <w:gridCol w:w="990"/>
        <w:gridCol w:w="990"/>
        <w:gridCol w:w="990"/>
        <w:gridCol w:w="990"/>
      </w:tblGrid>
      <w:tr>
        <w:trPr>
          <w:tblHeader w:val="on"/>
        </w:trPr>
        <w:tc>
          <w:tcPr/>
          <w:p>
            <w:pPr>
              <w:pStyle w:val="Compact"/>
              <w:spacing w:line="240" w:lineRule="auto"/>
            </w:pPr>
            <w:r>
              <w:rPr>
                <w:b/>
                <w:sz w:val="18"/>
              </w:rPr>
              <w:t xml:space="preserve">Espécie</w:t>
            </w:r>
          </w:p>
        </w:tc>
        <w:tc>
          <w:tcPr/>
          <w:p>
            <w:pPr>
              <w:pStyle w:val="Compact"/>
              <w:spacing w:line="240" w:lineRule="auto"/>
            </w:pPr>
            <w:r>
              <w:rPr>
                <w:b/>
                <w:sz w:val="18"/>
              </w:rPr>
              <w:t xml:space="preserve">UniProt</w:t>
            </w:r>
          </w:p>
        </w:tc>
        <w:tc>
          <w:tcPr/>
          <w:p>
            <w:pPr>
              <w:pStyle w:val="Compact"/>
              <w:spacing w:line="240" w:lineRule="auto"/>
            </w:pPr>
            <w:r>
              <w:rPr>
                <w:b/>
                <w:sz w:val="18"/>
              </w:rPr>
              <w:t xml:space="preserve">Comprimento</w:t>
            </w:r>
          </w:p>
        </w:tc>
        <w:tc>
          <w:tcPr/>
          <w:p>
            <w:pPr>
              <w:pStyle w:val="Compact"/>
              <w:spacing w:line="240" w:lineRule="auto"/>
            </w:pPr>
            <w:r>
              <w:rPr>
                <w:b/>
                <w:sz w:val="18"/>
              </w:rPr>
              <w:t xml:space="preserve">Identidade (%)</w:t>
            </w:r>
          </w:p>
        </w:tc>
        <w:tc>
          <w:tcPr/>
          <w:p>
            <w:pPr>
              <w:pStyle w:val="Compact"/>
              <w:spacing w:line="240" w:lineRule="auto"/>
            </w:pPr>
            <w:r>
              <w:rPr>
                <w:b/>
                <w:sz w:val="18"/>
              </w:rPr>
              <w:t xml:space="preserve">pLDDT médio</w:t>
            </w:r>
          </w:p>
        </w:tc>
        <w:tc>
          <w:tcPr/>
          <w:p>
            <w:pPr>
              <w:pStyle w:val="Compact"/>
              <w:spacing w:line="240" w:lineRule="auto"/>
            </w:pPr>
            <w:r>
              <w:rPr>
                <w:b/>
                <w:sz w:val="18"/>
              </w:rPr>
              <w:t xml:space="preserve">Ser (cat.)</w:t>
            </w:r>
          </w:p>
        </w:tc>
        <w:tc>
          <w:tcPr/>
          <w:p>
            <w:pPr>
              <w:pStyle w:val="Compact"/>
              <w:spacing w:line="240" w:lineRule="auto"/>
            </w:pPr>
            <w:r>
              <w:rPr>
                <w:b/>
                <w:sz w:val="18"/>
              </w:rPr>
              <w:t xml:space="preserve">Eq. do Asp189</w:t>
            </w:r>
          </w:p>
        </w:tc>
        <w:tc>
          <w:tcPr/>
          <w:p>
            <w:pPr>
              <w:pStyle w:val="Compact"/>
              <w:spacing w:line="240" w:lineRule="auto"/>
            </w:pPr>
            <w:r>
              <w:rPr>
                <w:b/>
                <w:sz w:val="18"/>
              </w:rPr>
              <w:t xml:space="preserve">Papel</w:t>
            </w:r>
          </w:p>
        </w:tc>
      </w:tr>
      <w:tr>
        <w:tc>
          <w:tcPr/>
          <w:p>
            <w:pPr>
              <w:pStyle w:val="Compact"/>
              <w:spacing w:line="240" w:lineRule="auto"/>
            </w:pPr>
            <w:r>
              <w:rPr>
                <w:i/>
                <w:iCs/>
                <w:sz w:val="18"/>
              </w:rPr>
              <w:t xml:space="preserve">Spodoptera frugiperda</w:t>
            </w:r>
          </w:p>
        </w:tc>
        <w:tc>
          <w:tcPr/>
          <w:p>
            <w:pPr>
              <w:pStyle w:val="Compact"/>
              <w:spacing w:line="240" w:lineRule="auto"/>
            </w:pPr>
            <w:r>
              <w:rPr>
                <w:sz w:val="18"/>
              </w:rPr>
              <w:t xml:space="preserve">A0A089QDB3</w:t>
            </w:r>
          </w:p>
        </w:tc>
        <w:tc>
          <w:tcPr/>
          <w:p>
            <w:pPr>
              <w:pStyle w:val="Compact"/>
              <w:spacing w:line="240" w:lineRule="auto"/>
            </w:pPr>
            <w:r>
              <w:rPr>
                <w:sz w:val="18"/>
              </w:rPr>
              <w:t xml:space="preserve">266</w:t>
            </w:r>
          </w:p>
        </w:tc>
        <w:tc>
          <w:tcPr/>
          <w:p>
            <w:pPr>
              <w:pStyle w:val="Compact"/>
              <w:spacing w:line="240" w:lineRule="auto"/>
            </w:pPr>
            <w:r>
              <w:rPr>
                <w:sz w:val="18"/>
              </w:rPr>
              <w:t xml:space="preserve">50,4</w:t>
            </w:r>
          </w:p>
        </w:tc>
        <w:tc>
          <w:tcPr/>
          <w:p>
            <w:pPr>
              <w:pStyle w:val="Compact"/>
              <w:spacing w:line="240" w:lineRule="auto"/>
            </w:pPr>
            <w:r>
              <w:rPr>
                <w:sz w:val="18"/>
              </w:rPr>
              <w:t xml:space="preserve">89,8</w:t>
            </w:r>
          </w:p>
        </w:tc>
        <w:tc>
          <w:tcPr/>
          <w:p>
            <w:pPr>
              <w:pStyle w:val="Compact"/>
              <w:spacing w:line="240" w:lineRule="auto"/>
            </w:pPr>
            <w:r>
              <w:rPr>
                <w:sz w:val="18"/>
              </w:rPr>
              <w:t xml:space="preserve">220</w:t>
            </w:r>
          </w:p>
        </w:tc>
        <w:tc>
          <w:tcPr/>
          <w:p>
            <w:pPr>
              <w:pStyle w:val="Compact"/>
              <w:spacing w:line="240" w:lineRule="auto"/>
            </w:pPr>
            <w:r>
              <w:rPr>
                <w:sz w:val="18"/>
              </w:rPr>
              <w:t xml:space="preserve">214</w:t>
            </w:r>
          </w:p>
        </w:tc>
        <w:tc>
          <w:tcPr/>
          <w:p>
            <w:pPr>
              <w:pStyle w:val="Compact"/>
              <w:spacing w:line="240" w:lineRule="auto"/>
            </w:pPr>
            <w:r>
              <w:rPr>
                <w:sz w:val="18"/>
              </w:rPr>
              <w:t xml:space="preserve">alvo</w:t>
            </w:r>
          </w:p>
        </w:tc>
      </w:tr>
      <w:tr>
        <w:tc>
          <w:tcPr/>
          <w:p>
            <w:pPr>
              <w:pStyle w:val="Compact"/>
              <w:spacing w:line="240" w:lineRule="auto"/>
            </w:pPr>
            <w:r>
              <w:rPr>
                <w:i/>
                <w:iCs/>
                <w:sz w:val="18"/>
              </w:rPr>
              <w:t xml:space="preserve">Spodoptera litura</w:t>
            </w:r>
          </w:p>
        </w:tc>
        <w:tc>
          <w:tcPr/>
          <w:p>
            <w:pPr>
              <w:pStyle w:val="Compact"/>
              <w:spacing w:line="240" w:lineRule="auto"/>
            </w:pPr>
            <w:r>
              <w:rPr>
                <w:sz w:val="18"/>
              </w:rPr>
              <w:t xml:space="preserve">B3F884</w:t>
            </w:r>
          </w:p>
        </w:tc>
        <w:tc>
          <w:tcPr/>
          <w:p>
            <w:pPr>
              <w:pStyle w:val="Compact"/>
              <w:spacing w:line="240" w:lineRule="auto"/>
            </w:pPr>
            <w:r>
              <w:rPr>
                <w:sz w:val="18"/>
              </w:rPr>
              <w:t xml:space="preserve">254</w:t>
            </w:r>
          </w:p>
        </w:tc>
        <w:tc>
          <w:tcPr/>
          <w:p>
            <w:pPr>
              <w:pStyle w:val="Compact"/>
              <w:spacing w:line="240" w:lineRule="auto"/>
            </w:pPr>
            <w:r>
              <w:rPr>
                <w:sz w:val="18"/>
              </w:rPr>
              <w:t xml:space="preserve">67,3</w:t>
            </w:r>
          </w:p>
        </w:tc>
        <w:tc>
          <w:tcPr/>
          <w:p>
            <w:pPr>
              <w:pStyle w:val="Compact"/>
              <w:spacing w:line="240" w:lineRule="auto"/>
            </w:pPr>
            <w:r>
              <w:rPr>
                <w:sz w:val="18"/>
              </w:rPr>
              <w:t xml:space="preserve">90,1</w:t>
            </w:r>
          </w:p>
        </w:tc>
        <w:tc>
          <w:tcPr/>
          <w:p>
            <w:pPr>
              <w:pStyle w:val="Compact"/>
              <w:spacing w:line="240" w:lineRule="auto"/>
            </w:pPr>
            <w:r>
              <w:rPr>
                <w:sz w:val="18"/>
              </w:rPr>
              <w:t xml:space="preserve">211</w:t>
            </w:r>
          </w:p>
        </w:tc>
        <w:tc>
          <w:tcPr/>
          <w:p>
            <w:pPr>
              <w:pStyle w:val="Compact"/>
              <w:spacing w:line="240" w:lineRule="auto"/>
            </w:pPr>
            <w:r>
              <w:rPr>
                <w:sz w:val="18"/>
              </w:rPr>
              <w:t xml:space="preserve">205</w:t>
            </w:r>
          </w:p>
        </w:tc>
        <w:tc>
          <w:tcPr/>
          <w:p>
            <w:pPr>
              <w:pStyle w:val="Compact"/>
              <w:spacing w:line="240" w:lineRule="auto"/>
            </w:pPr>
            <w:r>
              <w:rPr>
                <w:sz w:val="18"/>
              </w:rPr>
              <w:t xml:space="preserve">alvo</w:t>
            </w:r>
          </w:p>
        </w:tc>
      </w:tr>
      <w:tr>
        <w:tc>
          <w:tcPr/>
          <w:p>
            <w:pPr>
              <w:pStyle w:val="Compact"/>
              <w:spacing w:line="240" w:lineRule="auto"/>
            </w:pPr>
            <w:r>
              <w:rPr>
                <w:i/>
                <w:iCs/>
                <w:sz w:val="18"/>
              </w:rPr>
              <w:t xml:space="preserve">Ostrinia nubilalis</w:t>
            </w:r>
          </w:p>
        </w:tc>
        <w:tc>
          <w:tcPr/>
          <w:p>
            <w:pPr>
              <w:pStyle w:val="Compact"/>
              <w:spacing w:line="240" w:lineRule="auto"/>
            </w:pPr>
            <w:r>
              <w:rPr>
                <w:sz w:val="18"/>
              </w:rPr>
              <w:t xml:space="preserve">Q6R561</w:t>
            </w:r>
          </w:p>
        </w:tc>
        <w:tc>
          <w:tcPr/>
          <w:p>
            <w:pPr>
              <w:pStyle w:val="Compact"/>
              <w:spacing w:line="240" w:lineRule="auto"/>
            </w:pPr>
            <w:r>
              <w:rPr>
                <w:sz w:val="18"/>
              </w:rPr>
              <w:t xml:space="preserve">256</w:t>
            </w:r>
          </w:p>
        </w:tc>
        <w:tc>
          <w:tcPr/>
          <w:p>
            <w:pPr>
              <w:pStyle w:val="Compact"/>
              <w:spacing w:line="240" w:lineRule="auto"/>
            </w:pPr>
            <w:r>
              <w:rPr>
                <w:sz w:val="18"/>
              </w:rPr>
              <w:t xml:space="preserve">66,4</w:t>
            </w:r>
          </w:p>
        </w:tc>
        <w:tc>
          <w:tcPr/>
          <w:p>
            <w:pPr>
              <w:pStyle w:val="Compact"/>
              <w:spacing w:line="240" w:lineRule="auto"/>
            </w:pPr>
            <w:r>
              <w:rPr>
                <w:sz w:val="18"/>
              </w:rPr>
              <w:t xml:space="preserve">89,7</w:t>
            </w:r>
          </w:p>
        </w:tc>
        <w:tc>
          <w:tcPr/>
          <w:p>
            <w:pPr>
              <w:pStyle w:val="Compact"/>
              <w:spacing w:line="240" w:lineRule="auto"/>
            </w:pPr>
            <w:r>
              <w:rPr>
                <w:sz w:val="18"/>
              </w:rPr>
              <w:t xml:space="preserve">213</w:t>
            </w:r>
          </w:p>
        </w:tc>
        <w:tc>
          <w:tcPr/>
          <w:p>
            <w:pPr>
              <w:pStyle w:val="Compact"/>
              <w:spacing w:line="240" w:lineRule="auto"/>
            </w:pPr>
            <w:r>
              <w:rPr>
                <w:sz w:val="18"/>
              </w:rPr>
              <w:t xml:space="preserve">207</w:t>
            </w:r>
          </w:p>
        </w:tc>
        <w:tc>
          <w:tcPr/>
          <w:p>
            <w:pPr>
              <w:pStyle w:val="Compact"/>
              <w:spacing w:line="240" w:lineRule="auto"/>
            </w:pPr>
            <w:r>
              <w:rPr>
                <w:sz w:val="18"/>
              </w:rPr>
              <w:t xml:space="preserve">alvo</w:t>
            </w:r>
          </w:p>
        </w:tc>
      </w:tr>
      <w:tr>
        <w:tc>
          <w:tcPr/>
          <w:p>
            <w:pPr>
              <w:pStyle w:val="Compact"/>
              <w:spacing w:line="240" w:lineRule="auto"/>
            </w:pPr>
            <w:r>
              <w:rPr>
                <w:i/>
                <w:iCs/>
                <w:sz w:val="18"/>
              </w:rPr>
              <w:t xml:space="preserve">Diatraea saccharalis</w:t>
            </w:r>
          </w:p>
        </w:tc>
        <w:tc>
          <w:tcPr/>
          <w:p>
            <w:pPr>
              <w:pStyle w:val="Compact"/>
              <w:spacing w:line="240" w:lineRule="auto"/>
            </w:pPr>
            <w:r>
              <w:rPr>
                <w:sz w:val="18"/>
              </w:rPr>
              <w:t xml:space="preserve">T1QDI0</w:t>
            </w:r>
          </w:p>
        </w:tc>
        <w:tc>
          <w:tcPr/>
          <w:p>
            <w:pPr>
              <w:pStyle w:val="Compact"/>
              <w:spacing w:line="240" w:lineRule="auto"/>
            </w:pPr>
            <w:r>
              <w:rPr>
                <w:sz w:val="18"/>
              </w:rPr>
              <w:t xml:space="preserve">257</w:t>
            </w:r>
          </w:p>
        </w:tc>
        <w:tc>
          <w:tcPr/>
          <w:p>
            <w:pPr>
              <w:pStyle w:val="Compact"/>
              <w:spacing w:line="240" w:lineRule="auto"/>
            </w:pPr>
            <w:r>
              <w:rPr>
                <w:sz w:val="18"/>
              </w:rPr>
              <w:t xml:space="preserve">65,2</w:t>
            </w:r>
          </w:p>
        </w:tc>
        <w:tc>
          <w:tcPr/>
          <w:p>
            <w:pPr>
              <w:pStyle w:val="Compact"/>
              <w:spacing w:line="240" w:lineRule="auto"/>
            </w:pPr>
            <w:r>
              <w:rPr>
                <w:sz w:val="18"/>
              </w:rPr>
              <w:t xml:space="preserve">91,0</w:t>
            </w:r>
          </w:p>
        </w:tc>
        <w:tc>
          <w:tcPr/>
          <w:p>
            <w:pPr>
              <w:pStyle w:val="Compact"/>
              <w:spacing w:line="240" w:lineRule="auto"/>
            </w:pPr>
            <w:r>
              <w:rPr>
                <w:sz w:val="18"/>
              </w:rPr>
              <w:t xml:space="preserve">213</w:t>
            </w:r>
          </w:p>
        </w:tc>
        <w:tc>
          <w:tcPr/>
          <w:p>
            <w:pPr>
              <w:pStyle w:val="Compact"/>
              <w:spacing w:line="240" w:lineRule="auto"/>
            </w:pPr>
            <w:r>
              <w:rPr>
                <w:sz w:val="18"/>
              </w:rPr>
              <w:t xml:space="preserve">207</w:t>
            </w:r>
          </w:p>
        </w:tc>
        <w:tc>
          <w:tcPr/>
          <w:p>
            <w:pPr>
              <w:pStyle w:val="Compact"/>
              <w:spacing w:line="240" w:lineRule="auto"/>
            </w:pPr>
            <w:r>
              <w:rPr>
                <w:sz w:val="18"/>
              </w:rPr>
              <w:t xml:space="preserve">alvo</w:t>
            </w:r>
          </w:p>
        </w:tc>
      </w:tr>
      <w:tr>
        <w:tc>
          <w:tcPr/>
          <w:p>
            <w:pPr>
              <w:pStyle w:val="Compact"/>
              <w:spacing w:line="240" w:lineRule="auto"/>
            </w:pPr>
            <w:r>
              <w:rPr>
                <w:i/>
                <w:iCs/>
                <w:sz w:val="18"/>
              </w:rPr>
              <w:t xml:space="preserve">Chrysodeixis includens</w:t>
            </w:r>
          </w:p>
        </w:tc>
        <w:tc>
          <w:tcPr/>
          <w:p>
            <w:pPr>
              <w:pStyle w:val="Compact"/>
              <w:spacing w:line="240" w:lineRule="auto"/>
            </w:pPr>
            <w:r>
              <w:rPr>
                <w:sz w:val="18"/>
              </w:rPr>
              <w:t xml:space="preserve">A0A9P0BRD5</w:t>
            </w:r>
          </w:p>
        </w:tc>
        <w:tc>
          <w:tcPr/>
          <w:p>
            <w:pPr>
              <w:pStyle w:val="Compact"/>
              <w:spacing w:line="240" w:lineRule="auto"/>
            </w:pPr>
            <w:r>
              <w:rPr>
                <w:sz w:val="18"/>
              </w:rPr>
              <w:t xml:space="preserve">255</w:t>
            </w:r>
          </w:p>
        </w:tc>
        <w:tc>
          <w:tcPr/>
          <w:p>
            <w:pPr>
              <w:pStyle w:val="Compact"/>
              <w:spacing w:line="240" w:lineRule="auto"/>
            </w:pPr>
            <w:r>
              <w:rPr>
                <w:sz w:val="18"/>
              </w:rPr>
              <w:t xml:space="preserve">71,0</w:t>
            </w:r>
          </w:p>
        </w:tc>
        <w:tc>
          <w:tcPr/>
          <w:p>
            <w:pPr>
              <w:pStyle w:val="Compact"/>
              <w:spacing w:line="240" w:lineRule="auto"/>
            </w:pPr>
            <w:r>
              <w:rPr>
                <w:sz w:val="18"/>
              </w:rPr>
              <w:t xml:space="preserve">90,4</w:t>
            </w:r>
          </w:p>
        </w:tc>
        <w:tc>
          <w:tcPr/>
          <w:p>
            <w:pPr>
              <w:pStyle w:val="Compact"/>
              <w:spacing w:line="240" w:lineRule="auto"/>
            </w:pPr>
            <w:r>
              <w:rPr>
                <w:sz w:val="18"/>
              </w:rPr>
              <w:t xml:space="preserve">212</w:t>
            </w:r>
          </w:p>
        </w:tc>
        <w:tc>
          <w:tcPr/>
          <w:p>
            <w:pPr>
              <w:pStyle w:val="Compact"/>
              <w:spacing w:line="240" w:lineRule="auto"/>
            </w:pPr>
            <w:r>
              <w:rPr>
                <w:sz w:val="18"/>
              </w:rPr>
              <w:t xml:space="preserve">206</w:t>
            </w:r>
          </w:p>
        </w:tc>
        <w:tc>
          <w:tcPr/>
          <w:p>
            <w:pPr>
              <w:pStyle w:val="Compact"/>
              <w:spacing w:line="240" w:lineRule="auto"/>
            </w:pPr>
            <w:r>
              <w:rPr>
                <w:sz w:val="18"/>
              </w:rPr>
              <w:t xml:space="preserve">alvo</w:t>
            </w:r>
          </w:p>
        </w:tc>
      </w:tr>
      <w:tr>
        <w:tc>
          <w:tcPr/>
          <w:p>
            <w:pPr>
              <w:pStyle w:val="Compact"/>
              <w:spacing w:line="240" w:lineRule="auto"/>
            </w:pPr>
            <w:r>
              <w:rPr>
                <w:i/>
                <w:iCs/>
                <w:sz w:val="18"/>
              </w:rPr>
              <w:t xml:space="preserve">Heliothis virescens</w:t>
            </w:r>
          </w:p>
        </w:tc>
        <w:tc>
          <w:tcPr/>
          <w:p>
            <w:pPr>
              <w:pStyle w:val="Compact"/>
              <w:spacing w:line="240" w:lineRule="auto"/>
            </w:pPr>
            <w:r>
              <w:rPr>
                <w:sz w:val="18"/>
              </w:rPr>
              <w:t xml:space="preserve">I7D523</w:t>
            </w:r>
          </w:p>
        </w:tc>
        <w:tc>
          <w:tcPr/>
          <w:p>
            <w:pPr>
              <w:pStyle w:val="Compact"/>
              <w:spacing w:line="240" w:lineRule="auto"/>
            </w:pPr>
            <w:r>
              <w:rPr>
                <w:sz w:val="18"/>
              </w:rPr>
              <w:t xml:space="preserve">263</w:t>
            </w:r>
          </w:p>
        </w:tc>
        <w:tc>
          <w:tcPr/>
          <w:p>
            <w:pPr>
              <w:pStyle w:val="Compact"/>
              <w:spacing w:line="240" w:lineRule="auto"/>
            </w:pPr>
            <w:r>
              <w:rPr>
                <w:sz w:val="18"/>
              </w:rPr>
              <w:t xml:space="preserve">48,4</w:t>
            </w:r>
          </w:p>
        </w:tc>
        <w:tc>
          <w:tcPr/>
          <w:p>
            <w:pPr>
              <w:pStyle w:val="Compact"/>
              <w:spacing w:line="240" w:lineRule="auto"/>
            </w:pPr>
            <w:r>
              <w:rPr>
                <w:sz w:val="18"/>
              </w:rPr>
              <w:t xml:space="preserve">89,9</w:t>
            </w:r>
          </w:p>
        </w:tc>
        <w:tc>
          <w:tcPr/>
          <w:p>
            <w:pPr>
              <w:pStyle w:val="Compact"/>
              <w:spacing w:line="240" w:lineRule="auto"/>
            </w:pPr>
            <w:r>
              <w:rPr>
                <w:sz w:val="18"/>
              </w:rPr>
              <w:t xml:space="preserve">219</w:t>
            </w:r>
          </w:p>
        </w:tc>
        <w:tc>
          <w:tcPr/>
          <w:p>
            <w:pPr>
              <w:pStyle w:val="Compact"/>
              <w:spacing w:line="240" w:lineRule="auto"/>
            </w:pPr>
            <w:r>
              <w:rPr>
                <w:sz w:val="18"/>
              </w:rPr>
              <w:t xml:space="preserve">213</w:t>
            </w:r>
          </w:p>
        </w:tc>
        <w:tc>
          <w:tcPr/>
          <w:p>
            <w:pPr>
              <w:pStyle w:val="Compact"/>
              <w:spacing w:line="240" w:lineRule="auto"/>
            </w:pPr>
            <w:r>
              <w:rPr>
                <w:sz w:val="18"/>
              </w:rPr>
              <w:t xml:space="preserve">alvo</w:t>
            </w:r>
          </w:p>
        </w:tc>
      </w:tr>
      <w:tr>
        <w:tc>
          <w:tcPr/>
          <w:p>
            <w:pPr>
              <w:pStyle w:val="Compact"/>
              <w:spacing w:line="240" w:lineRule="auto"/>
            </w:pPr>
            <w:r>
              <w:rPr>
                <w:i/>
                <w:iCs/>
                <w:sz w:val="18"/>
              </w:rPr>
              <w:t xml:space="preserve">Plutella xylostella</w:t>
            </w:r>
          </w:p>
        </w:tc>
        <w:tc>
          <w:tcPr/>
          <w:p>
            <w:pPr>
              <w:pStyle w:val="Compact"/>
              <w:spacing w:line="240" w:lineRule="auto"/>
            </w:pPr>
            <w:r>
              <w:rPr>
                <w:sz w:val="18"/>
              </w:rPr>
              <w:t xml:space="preserve">E2IGY7</w:t>
            </w:r>
          </w:p>
        </w:tc>
        <w:tc>
          <w:tcPr/>
          <w:p>
            <w:pPr>
              <w:pStyle w:val="Compact"/>
              <w:spacing w:line="240" w:lineRule="auto"/>
            </w:pPr>
            <w:r>
              <w:rPr>
                <w:sz w:val="18"/>
              </w:rPr>
              <w:t xml:space="preserve">255</w:t>
            </w:r>
          </w:p>
        </w:tc>
        <w:tc>
          <w:tcPr/>
          <w:p>
            <w:pPr>
              <w:pStyle w:val="Compact"/>
              <w:spacing w:line="240" w:lineRule="auto"/>
            </w:pPr>
            <w:r>
              <w:rPr>
                <w:sz w:val="18"/>
              </w:rPr>
              <w:t xml:space="preserve">44,3</w:t>
            </w:r>
          </w:p>
        </w:tc>
        <w:tc>
          <w:tcPr/>
          <w:p>
            <w:pPr>
              <w:pStyle w:val="Compact"/>
              <w:spacing w:line="240" w:lineRule="auto"/>
            </w:pPr>
            <w:r>
              <w:rPr>
                <w:sz w:val="18"/>
              </w:rPr>
              <w:t xml:space="preserve">90,6</w:t>
            </w:r>
          </w:p>
        </w:tc>
        <w:tc>
          <w:tcPr/>
          <w:p>
            <w:pPr>
              <w:pStyle w:val="Compact"/>
              <w:spacing w:line="240" w:lineRule="auto"/>
            </w:pPr>
            <w:r>
              <w:rPr>
                <w:sz w:val="18"/>
              </w:rPr>
              <w:t xml:space="preserve">211</w:t>
            </w:r>
          </w:p>
        </w:tc>
        <w:tc>
          <w:tcPr/>
          <w:p>
            <w:pPr>
              <w:pStyle w:val="Compact"/>
              <w:spacing w:line="240" w:lineRule="auto"/>
            </w:pPr>
            <w:r>
              <w:rPr>
                <w:sz w:val="18"/>
              </w:rPr>
              <w:t xml:space="preserve">205</w:t>
            </w:r>
          </w:p>
        </w:tc>
        <w:tc>
          <w:tcPr/>
          <w:p>
            <w:pPr>
              <w:pStyle w:val="Compact"/>
              <w:spacing w:line="240" w:lineRule="auto"/>
            </w:pPr>
            <w:r>
              <w:rPr>
                <w:sz w:val="18"/>
              </w:rPr>
              <w:t xml:space="preserve">alvo</w:t>
            </w:r>
          </w:p>
        </w:tc>
      </w:tr>
      <w:tr>
        <w:tc>
          <w:tcPr/>
          <w:p>
            <w:pPr>
              <w:pStyle w:val="Compact"/>
              <w:spacing w:line="240" w:lineRule="auto"/>
            </w:pPr>
            <w:r>
              <w:rPr>
                <w:i/>
                <w:iCs/>
                <w:sz w:val="18"/>
              </w:rPr>
              <w:t xml:space="preserve">Anticarsia gemmatalis</w:t>
            </w:r>
          </w:p>
        </w:tc>
        <w:tc>
          <w:tcPr/>
          <w:p>
            <w:pPr>
              <w:pStyle w:val="Compact"/>
              <w:spacing w:line="240" w:lineRule="auto"/>
            </w:pPr>
            <w:r>
              <w:rPr>
                <w:sz w:val="18"/>
              </w:rPr>
              <w:t xml:space="preserve">A0A2U8NFD7</w:t>
            </w:r>
          </w:p>
        </w:tc>
        <w:tc>
          <w:tcPr/>
          <w:p>
            <w:pPr>
              <w:pStyle w:val="Compact"/>
              <w:spacing w:line="240" w:lineRule="auto"/>
            </w:pPr>
            <w:r>
              <w:rPr>
                <w:sz w:val="18"/>
              </w:rPr>
              <w:t xml:space="preserve">260</w:t>
            </w:r>
          </w:p>
        </w:tc>
        <w:tc>
          <w:tcPr/>
          <w:p>
            <w:pPr>
              <w:pStyle w:val="Compact"/>
              <w:spacing w:line="240" w:lineRule="auto"/>
            </w:pPr>
            <w:r>
              <w:rPr>
                <w:sz w:val="18"/>
              </w:rPr>
              <w:t xml:space="preserve">63,3</w:t>
            </w:r>
          </w:p>
        </w:tc>
        <w:tc>
          <w:tcPr/>
          <w:p>
            <w:pPr>
              <w:pStyle w:val="Compact"/>
              <w:spacing w:line="240" w:lineRule="auto"/>
            </w:pPr>
            <w:r>
              <w:rPr>
                <w:sz w:val="18"/>
              </w:rPr>
              <w:t xml:space="preserve">90,9</w:t>
            </w:r>
          </w:p>
        </w:tc>
        <w:tc>
          <w:tcPr/>
          <w:p>
            <w:pPr>
              <w:pStyle w:val="Compact"/>
              <w:spacing w:line="240" w:lineRule="auto"/>
            </w:pPr>
            <w:r>
              <w:rPr>
                <w:sz w:val="18"/>
              </w:rPr>
              <w:t xml:space="preserve">217</w:t>
            </w:r>
          </w:p>
        </w:tc>
        <w:tc>
          <w:tcPr/>
          <w:p>
            <w:pPr>
              <w:pStyle w:val="Compact"/>
              <w:spacing w:line="240" w:lineRule="auto"/>
            </w:pPr>
            <w:r>
              <w:rPr>
                <w:sz w:val="18"/>
              </w:rPr>
              <w:t xml:space="preserve">211</w:t>
            </w:r>
          </w:p>
        </w:tc>
        <w:tc>
          <w:tcPr/>
          <w:p>
            <w:pPr>
              <w:pStyle w:val="Compact"/>
              <w:spacing w:line="240" w:lineRule="auto"/>
            </w:pPr>
            <w:r>
              <w:rPr>
                <w:sz w:val="18"/>
              </w:rPr>
              <w:t xml:space="preserve">alvo</w:t>
            </w:r>
          </w:p>
        </w:tc>
      </w:tr>
      <w:tr>
        <w:tc>
          <w:tcPr/>
          <w:p>
            <w:pPr>
              <w:pStyle w:val="Compact"/>
              <w:spacing w:line="240" w:lineRule="auto"/>
            </w:pPr>
            <w:r>
              <w:rPr>
                <w:i/>
                <w:iCs/>
                <w:sz w:val="18"/>
              </w:rPr>
              <w:t xml:space="preserve">Manduca sexta</w:t>
            </w:r>
          </w:p>
        </w:tc>
        <w:tc>
          <w:tcPr/>
          <w:p>
            <w:pPr>
              <w:pStyle w:val="Compact"/>
              <w:spacing w:line="240" w:lineRule="auto"/>
            </w:pPr>
            <w:r>
              <w:rPr>
                <w:sz w:val="18"/>
              </w:rPr>
              <w:t xml:space="preserve">P35045</w:t>
            </w:r>
          </w:p>
        </w:tc>
        <w:tc>
          <w:tcPr/>
          <w:p>
            <w:pPr>
              <w:pStyle w:val="Compact"/>
              <w:spacing w:line="240" w:lineRule="auto"/>
            </w:pPr>
            <w:r>
              <w:rPr>
                <w:sz w:val="18"/>
              </w:rPr>
              <w:t xml:space="preserve">256</w:t>
            </w:r>
          </w:p>
        </w:tc>
        <w:tc>
          <w:tcPr/>
          <w:p>
            <w:pPr>
              <w:pStyle w:val="Compact"/>
              <w:spacing w:line="240" w:lineRule="auto"/>
            </w:pPr>
            <w:r>
              <w:rPr>
                <w:sz w:val="18"/>
              </w:rPr>
              <w:t xml:space="preserve">96,1</w:t>
            </w:r>
          </w:p>
        </w:tc>
        <w:tc>
          <w:tcPr/>
          <w:p>
            <w:pPr>
              <w:pStyle w:val="Compact"/>
              <w:spacing w:line="240" w:lineRule="auto"/>
            </w:pPr>
            <w:r>
              <w:rPr>
                <w:sz w:val="18"/>
              </w:rPr>
              <w:t xml:space="preserve">92,2</w:t>
            </w:r>
          </w:p>
        </w:tc>
        <w:tc>
          <w:tcPr/>
          <w:p>
            <w:pPr>
              <w:pStyle w:val="Compact"/>
              <w:spacing w:line="240" w:lineRule="auto"/>
            </w:pPr>
            <w:r>
              <w:rPr>
                <w:sz w:val="18"/>
              </w:rPr>
              <w:t xml:space="preserve">213</w:t>
            </w:r>
          </w:p>
        </w:tc>
        <w:tc>
          <w:tcPr/>
          <w:p>
            <w:pPr>
              <w:pStyle w:val="Compact"/>
              <w:spacing w:line="240" w:lineRule="auto"/>
            </w:pPr>
            <w:r>
              <w:rPr>
                <w:sz w:val="18"/>
              </w:rPr>
              <w:t xml:space="preserve">207</w:t>
            </w:r>
          </w:p>
        </w:tc>
        <w:tc>
          <w:tcPr/>
          <w:p>
            <w:pPr>
              <w:pStyle w:val="Compact"/>
              <w:spacing w:line="240" w:lineRule="auto"/>
            </w:pPr>
            <w:r>
              <w:rPr>
                <w:sz w:val="18"/>
              </w:rPr>
              <w:t xml:space="preserve">referência (intestino médio curado)</w:t>
            </w:r>
          </w:p>
        </w:tc>
      </w:tr>
      <w:tr>
        <w:tc>
          <w:tcPr/>
          <w:p>
            <w:pPr>
              <w:pStyle w:val="Compact"/>
              <w:spacing w:line="240" w:lineRule="auto"/>
            </w:pPr>
            <w:r>
              <w:rPr>
                <w:i/>
                <w:iCs/>
                <w:sz w:val="18"/>
              </w:rPr>
              <w:t xml:space="preserve">Bombyx mori</w:t>
            </w:r>
          </w:p>
        </w:tc>
        <w:tc>
          <w:tcPr/>
          <w:p>
            <w:pPr>
              <w:pStyle w:val="Compact"/>
              <w:spacing w:line="240" w:lineRule="auto"/>
            </w:pPr>
            <w:r>
              <w:rPr>
                <w:sz w:val="18"/>
              </w:rPr>
              <w:t xml:space="preserve">A0A8R2C8B0</w:t>
            </w:r>
          </w:p>
        </w:tc>
        <w:tc>
          <w:tcPr/>
          <w:p>
            <w:pPr>
              <w:pStyle w:val="Compact"/>
              <w:spacing w:line="240" w:lineRule="auto"/>
            </w:pPr>
            <w:r>
              <w:rPr>
                <w:sz w:val="18"/>
              </w:rPr>
              <w:t xml:space="preserve">255</w:t>
            </w:r>
          </w:p>
        </w:tc>
        <w:tc>
          <w:tcPr/>
          <w:p>
            <w:pPr>
              <w:pStyle w:val="Compact"/>
              <w:spacing w:line="240" w:lineRule="auto"/>
            </w:pPr>
            <w:r>
              <w:rPr>
                <w:sz w:val="18"/>
              </w:rPr>
              <w:t xml:space="preserve">67,8</w:t>
            </w:r>
          </w:p>
        </w:tc>
        <w:tc>
          <w:tcPr/>
          <w:p>
            <w:pPr>
              <w:pStyle w:val="Compact"/>
              <w:spacing w:line="240" w:lineRule="auto"/>
            </w:pPr>
            <w:r>
              <w:rPr>
                <w:sz w:val="18"/>
              </w:rPr>
              <w:t xml:space="preserve">88,9</w:t>
            </w:r>
          </w:p>
        </w:tc>
        <w:tc>
          <w:tcPr/>
          <w:p>
            <w:pPr>
              <w:pStyle w:val="Compact"/>
              <w:spacing w:line="240" w:lineRule="auto"/>
            </w:pPr>
            <w:r>
              <w:rPr>
                <w:sz w:val="18"/>
              </w:rPr>
              <w:t xml:space="preserve">212</w:t>
            </w:r>
          </w:p>
        </w:tc>
        <w:tc>
          <w:tcPr/>
          <w:p>
            <w:pPr>
              <w:pStyle w:val="Compact"/>
              <w:spacing w:line="240" w:lineRule="auto"/>
            </w:pPr>
            <w:r>
              <w:rPr>
                <w:sz w:val="18"/>
              </w:rPr>
              <w:t xml:space="preserve">206</w:t>
            </w:r>
          </w:p>
        </w:tc>
        <w:tc>
          <w:tcPr/>
          <w:p>
            <w:pPr>
              <w:pStyle w:val="Compact"/>
              <w:spacing w:line="240" w:lineRule="auto"/>
            </w:pPr>
            <w:r>
              <w:rPr>
                <w:sz w:val="18"/>
              </w:rPr>
              <w:t xml:space="preserve">não usada como alvo</w:t>
            </w:r>
          </w:p>
        </w:tc>
      </w:tr>
    </w:tbl>
    <w:bookmarkEnd w:id="29"/>
    <w:bookmarkStart w:id="33" w:name="calibração-da-escada-de-escores-1"/>
    <w:p>
      <w:pPr>
        <w:pStyle w:val="Heading3"/>
      </w:pPr>
      <w:r>
        <w:t xml:space="preserve">3.2 Calibração da escada de escores</w:t>
      </w:r>
    </w:p>
    <w:p>
      <w:pPr>
        <w:pStyle w:val="FirstParagraph"/>
      </w:pPr>
      <w:r>
        <w:t xml:space="preserve">O Boltz-2 deu confiança maior ao inibidor real do que à sua isca em 10 de 10 pares (diferenças de 0,042–0,274; mediana 0,190), o mesmo valendo para o pLDDT do complexo (10/10) e para o ipTM (10/10; a menor margem foi a do SKTI com</w:t>
      </w:r>
      <w:r>
        <w:t xml:space="preserve"> </w:t>
      </w:r>
      <w:r>
        <w:rPr>
          <w:i/>
          <w:iCs/>
        </w:rPr>
        <w:t xml:space="preserve">S. frugiperda</w:t>
      </w:r>
      <w:r>
        <w:t xml:space="preserve">, 0,711 contra 0,706). Os valores absolutos se sobrepuseram (inibidores reais 0,853–0,986, iscas 0,628–0,944; a isca embaralhada do SFTI-1 chegou a 0,944 com a tripsina bovina), de modo que a discriminação vale dentro de um par e não como limiar absoluto (Figura 2A–C, Tabela 2). O RMSD do ligante foi menor para o inibidor real em 9 de 10 pares (a exceção foi</w:t>
      </w:r>
      <w:r>
        <w:t xml:space="preserve"> </w:t>
      </w:r>
      <w:r>
        <w:rPr>
          <w:i/>
          <w:iCs/>
        </w:rPr>
        <w:t xml:space="preserve">S. frugiperda</w:t>
      </w:r>
      <w:r>
        <w:t xml:space="preserve">–EcTI, 0,366 contra 0,347 nm; Figura 2D). Os escores do Boltz-2 são, portanto, usados adiante para comparar cada candidato com controles pareados contra o mesmo receptor, e não como medida absoluta de ligação.</w:t>
      </w:r>
    </w:p>
    <w:p>
      <w:pPr>
        <w:pStyle w:val="BodyText"/>
      </w:pPr>
      <w:r>
        <w:rPr>
          <w:b/>
          <w:bCs/>
        </w:rPr>
        <w:t xml:space="preserve">Tabela 2.</w:t>
      </w:r>
      <w:r>
        <w:t xml:space="preserve"> </w:t>
      </w:r>
      <w:r>
        <w:t xml:space="preserve">Pares de calibração (inibidor real / isca embaralhada). Conf.: confiança do Boltz-2. ipTM e pLDDT: escore de interface e pLDDT do complexo do Boltz-2. RMSD: RMSD do ligante após superposição no receptor (nm, último terço de 2 ns). Negrito marca o par em que a isca teve escore melhor que o inibidor real.</w:t>
      </w:r>
    </w:p>
    <w:tbl>
      <w:tblPr>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on"/>
        </w:trPr>
        <w:tc>
          <w:tcPr/>
          <w:p>
            <w:pPr>
              <w:pStyle w:val="Compact"/>
              <w:spacing w:line="240" w:lineRule="auto"/>
            </w:pPr>
            <w:r>
              <w:rPr>
                <w:b/>
                <w:sz w:val="18"/>
              </w:rPr>
              <w:t xml:space="preserve">Receptor</w:t>
            </w:r>
          </w:p>
        </w:tc>
        <w:tc>
          <w:tcPr/>
          <w:p>
            <w:pPr>
              <w:pStyle w:val="Compact"/>
              <w:spacing w:line="240" w:lineRule="auto"/>
            </w:pPr>
            <w:r>
              <w:rPr>
                <w:b/>
                <w:sz w:val="18"/>
              </w:rPr>
              <w:t xml:space="preserve">Inibidor</w:t>
            </w:r>
          </w:p>
        </w:tc>
        <w:tc>
          <w:tcPr/>
          <w:p>
            <w:pPr>
              <w:pStyle w:val="Compact"/>
              <w:spacing w:line="240" w:lineRule="auto"/>
            </w:pPr>
            <w:r>
              <w:rPr>
                <w:b/>
                <w:sz w:val="18"/>
              </w:rPr>
              <w:t xml:space="preserve">Conf.</w:t>
            </w:r>
          </w:p>
        </w:tc>
        <w:tc>
          <w:tcPr/>
          <w:p>
            <w:pPr>
              <w:pStyle w:val="Compact"/>
              <w:spacing w:line="240" w:lineRule="auto"/>
            </w:pPr>
            <w:r>
              <w:rPr>
                <w:b/>
                <w:sz w:val="18"/>
              </w:rPr>
              <w:t xml:space="preserve">ipTM</w:t>
            </w:r>
          </w:p>
        </w:tc>
        <w:tc>
          <w:tcPr/>
          <w:p>
            <w:pPr>
              <w:pStyle w:val="Compact"/>
              <w:spacing w:line="240" w:lineRule="auto"/>
            </w:pPr>
            <w:r>
              <w:rPr>
                <w:b/>
                <w:sz w:val="18"/>
              </w:rPr>
              <w:t xml:space="preserve">pLDDT</w:t>
            </w:r>
          </w:p>
        </w:tc>
        <w:tc>
          <w:tcPr/>
          <w:p>
            <w:pPr>
              <w:pStyle w:val="Compact"/>
              <w:spacing w:line="240" w:lineRule="auto"/>
            </w:pPr>
            <w:r>
              <w:rPr>
                <w:b/>
                <w:sz w:val="18"/>
              </w:rPr>
              <w:t xml:space="preserve">RMSD (nm)</w:t>
            </w:r>
          </w:p>
        </w:tc>
      </w:tr>
      <w:tr>
        <w:tc>
          <w:tcPr/>
          <w:p>
            <w:pPr>
              <w:pStyle w:val="Compact"/>
              <w:spacing w:line="240" w:lineRule="auto"/>
            </w:pPr>
            <w:r>
              <w:rPr>
                <w:sz w:val="18"/>
              </w:rPr>
              <w:t xml:space="preserve">bovina</w:t>
            </w:r>
          </w:p>
        </w:tc>
        <w:tc>
          <w:tcPr/>
          <w:p>
            <w:pPr>
              <w:pStyle w:val="Compact"/>
              <w:spacing w:line="240" w:lineRule="auto"/>
            </w:pPr>
            <w:r>
              <w:rPr>
                <w:sz w:val="18"/>
              </w:rPr>
              <w:t xml:space="preserve">SFTI-1</w:t>
            </w:r>
          </w:p>
        </w:tc>
        <w:tc>
          <w:tcPr/>
          <w:p>
            <w:pPr>
              <w:pStyle w:val="Compact"/>
              <w:spacing w:line="240" w:lineRule="auto"/>
            </w:pPr>
            <w:r>
              <w:rPr>
                <w:sz w:val="18"/>
              </w:rPr>
              <w:t xml:space="preserve">0,986 / 0,944</w:t>
            </w:r>
          </w:p>
        </w:tc>
        <w:tc>
          <w:tcPr/>
          <w:p>
            <w:pPr>
              <w:pStyle w:val="Compact"/>
              <w:spacing w:line="240" w:lineRule="auto"/>
            </w:pPr>
            <w:r>
              <w:rPr>
                <w:sz w:val="18"/>
              </w:rPr>
              <w:t xml:space="preserve">0,981 / 0,891</w:t>
            </w:r>
          </w:p>
        </w:tc>
        <w:tc>
          <w:tcPr/>
          <w:p>
            <w:pPr>
              <w:pStyle w:val="Compact"/>
              <w:spacing w:line="240" w:lineRule="auto"/>
            </w:pPr>
            <w:r>
              <w:rPr>
                <w:sz w:val="18"/>
              </w:rPr>
              <w:t xml:space="preserve">0,987 / 0,957</w:t>
            </w:r>
          </w:p>
        </w:tc>
        <w:tc>
          <w:tcPr/>
          <w:p>
            <w:pPr>
              <w:pStyle w:val="Compact"/>
              <w:spacing w:line="240" w:lineRule="auto"/>
            </w:pPr>
            <w:r>
              <w:rPr>
                <w:sz w:val="18"/>
              </w:rPr>
              <w:t xml:space="preserve">0,084 / 0,206</w:t>
            </w:r>
          </w:p>
        </w:tc>
      </w:tr>
      <w:tr>
        <w:tc>
          <w:tcPr/>
          <w:p>
            <w:pPr>
              <w:pStyle w:val="Compact"/>
              <w:spacing w:line="240" w:lineRule="auto"/>
            </w:pPr>
            <w:r>
              <w:rPr>
                <w:sz w:val="18"/>
              </w:rPr>
              <w:t xml:space="preserve">bovina</w:t>
            </w:r>
          </w:p>
        </w:tc>
        <w:tc>
          <w:tcPr/>
          <w:p>
            <w:pPr>
              <w:pStyle w:val="Compact"/>
              <w:spacing w:line="240" w:lineRule="auto"/>
            </w:pPr>
            <w:r>
              <w:rPr>
                <w:sz w:val="18"/>
              </w:rPr>
              <w:t xml:space="preserve">BBI</w:t>
            </w:r>
          </w:p>
        </w:tc>
        <w:tc>
          <w:tcPr/>
          <w:p>
            <w:pPr>
              <w:pStyle w:val="Compact"/>
              <w:spacing w:line="240" w:lineRule="auto"/>
            </w:pPr>
            <w:r>
              <w:rPr>
                <w:sz w:val="18"/>
              </w:rPr>
              <w:t xml:space="preserve">0,931 / 0,794</w:t>
            </w:r>
          </w:p>
        </w:tc>
        <w:tc>
          <w:tcPr/>
          <w:p>
            <w:pPr>
              <w:pStyle w:val="Compact"/>
              <w:spacing w:line="240" w:lineRule="auto"/>
            </w:pPr>
            <w:r>
              <w:rPr>
                <w:sz w:val="18"/>
              </w:rPr>
              <w:t xml:space="preserve">0,853 / 0,716</w:t>
            </w:r>
          </w:p>
        </w:tc>
        <w:tc>
          <w:tcPr/>
          <w:p>
            <w:pPr>
              <w:pStyle w:val="Compact"/>
              <w:spacing w:line="240" w:lineRule="auto"/>
            </w:pPr>
            <w:r>
              <w:rPr>
                <w:sz w:val="18"/>
              </w:rPr>
              <w:t xml:space="preserve">0,950 / 0,813</w:t>
            </w:r>
          </w:p>
        </w:tc>
        <w:tc>
          <w:tcPr/>
          <w:p>
            <w:pPr>
              <w:pStyle w:val="Compact"/>
              <w:spacing w:line="240" w:lineRule="auto"/>
            </w:pPr>
            <w:r>
              <w:rPr>
                <w:sz w:val="18"/>
              </w:rPr>
              <w:t xml:space="preserve">0,372 / 0,452</w:t>
            </w:r>
          </w:p>
        </w:tc>
      </w:tr>
      <w:tr>
        <w:tc>
          <w:tcPr/>
          <w:p>
            <w:pPr>
              <w:pStyle w:val="Compact"/>
              <w:spacing w:line="240" w:lineRule="auto"/>
            </w:pPr>
            <w:r>
              <w:rPr>
                <w:sz w:val="18"/>
              </w:rPr>
              <w:t xml:space="preserve">bovina</w:t>
            </w:r>
          </w:p>
        </w:tc>
        <w:tc>
          <w:tcPr/>
          <w:p>
            <w:pPr>
              <w:pStyle w:val="Compact"/>
              <w:spacing w:line="240" w:lineRule="auto"/>
            </w:pPr>
            <w:r>
              <w:rPr>
                <w:sz w:val="18"/>
              </w:rPr>
              <w:t xml:space="preserve">BPTI</w:t>
            </w:r>
          </w:p>
        </w:tc>
        <w:tc>
          <w:tcPr/>
          <w:p>
            <w:pPr>
              <w:pStyle w:val="Compact"/>
              <w:spacing w:line="240" w:lineRule="auto"/>
            </w:pPr>
            <w:r>
              <w:rPr>
                <w:sz w:val="18"/>
              </w:rPr>
              <w:t xml:space="preserve">0,962 / 0,796</w:t>
            </w:r>
          </w:p>
        </w:tc>
        <w:tc>
          <w:tcPr/>
          <w:p>
            <w:pPr>
              <w:pStyle w:val="Compact"/>
              <w:spacing w:line="240" w:lineRule="auto"/>
            </w:pPr>
            <w:r>
              <w:rPr>
                <w:sz w:val="18"/>
              </w:rPr>
              <w:t xml:space="preserve">0,961 / 0,653</w:t>
            </w:r>
          </w:p>
        </w:tc>
        <w:tc>
          <w:tcPr/>
          <w:p>
            <w:pPr>
              <w:pStyle w:val="Compact"/>
              <w:spacing w:line="240" w:lineRule="auto"/>
            </w:pPr>
            <w:r>
              <w:rPr>
                <w:sz w:val="18"/>
              </w:rPr>
              <w:t xml:space="preserve">0,962 / 0,832</w:t>
            </w:r>
          </w:p>
        </w:tc>
        <w:tc>
          <w:tcPr/>
          <w:p>
            <w:pPr>
              <w:pStyle w:val="Compact"/>
              <w:spacing w:line="240" w:lineRule="auto"/>
            </w:pPr>
            <w:r>
              <w:rPr>
                <w:sz w:val="18"/>
              </w:rPr>
              <w:t xml:space="preserve">0,380 / 0,643</w:t>
            </w:r>
          </w:p>
        </w:tc>
      </w:tr>
      <w:tr>
        <w:tc>
          <w:tcPr/>
          <w:p>
            <w:pPr>
              <w:pStyle w:val="Compact"/>
              <w:spacing w:line="240" w:lineRule="auto"/>
            </w:pPr>
            <w:r>
              <w:rPr>
                <w:sz w:val="18"/>
              </w:rPr>
              <w:t xml:space="preserve">bovina</w:t>
            </w:r>
          </w:p>
        </w:tc>
        <w:tc>
          <w:tcPr/>
          <w:p>
            <w:pPr>
              <w:pStyle w:val="Compact"/>
              <w:spacing w:line="240" w:lineRule="auto"/>
            </w:pPr>
            <w:r>
              <w:rPr>
                <w:sz w:val="18"/>
              </w:rPr>
              <w:t xml:space="preserve">EcTI</w:t>
            </w:r>
          </w:p>
        </w:tc>
        <w:tc>
          <w:tcPr/>
          <w:p>
            <w:pPr>
              <w:pStyle w:val="Compact"/>
              <w:spacing w:line="240" w:lineRule="auto"/>
            </w:pPr>
            <w:r>
              <w:rPr>
                <w:sz w:val="18"/>
              </w:rPr>
              <w:t xml:space="preserve">0,934 / 0,687</w:t>
            </w:r>
          </w:p>
        </w:tc>
        <w:tc>
          <w:tcPr/>
          <w:p>
            <w:pPr>
              <w:pStyle w:val="Compact"/>
              <w:spacing w:line="240" w:lineRule="auto"/>
            </w:pPr>
            <w:r>
              <w:rPr>
                <w:sz w:val="18"/>
              </w:rPr>
              <w:t xml:space="preserve">0,936 / 0,775</w:t>
            </w:r>
          </w:p>
        </w:tc>
        <w:tc>
          <w:tcPr/>
          <w:p>
            <w:pPr>
              <w:pStyle w:val="Compact"/>
              <w:spacing w:line="240" w:lineRule="auto"/>
            </w:pPr>
            <w:r>
              <w:rPr>
                <w:sz w:val="18"/>
              </w:rPr>
              <w:t xml:space="preserve">0,933 / 0,665</w:t>
            </w:r>
          </w:p>
        </w:tc>
        <w:tc>
          <w:tcPr/>
          <w:p>
            <w:pPr>
              <w:pStyle w:val="Compact"/>
              <w:spacing w:line="240" w:lineRule="auto"/>
            </w:pPr>
            <w:r>
              <w:rPr>
                <w:sz w:val="18"/>
              </w:rPr>
              <w:t xml:space="preserve">0,181 / 0,537</w:t>
            </w:r>
          </w:p>
        </w:tc>
      </w:tr>
      <w:tr>
        <w:tc>
          <w:tcPr/>
          <w:p>
            <w:pPr>
              <w:pStyle w:val="Compact"/>
              <w:spacing w:line="240" w:lineRule="auto"/>
            </w:pPr>
            <w:r>
              <w:rPr>
                <w:sz w:val="18"/>
              </w:rPr>
              <w:t xml:space="preserve">bovina</w:t>
            </w:r>
          </w:p>
        </w:tc>
        <w:tc>
          <w:tcPr/>
          <w:p>
            <w:pPr>
              <w:pStyle w:val="Compact"/>
              <w:spacing w:line="240" w:lineRule="auto"/>
            </w:pPr>
            <w:r>
              <w:rPr>
                <w:sz w:val="18"/>
              </w:rPr>
              <w:t xml:space="preserve">SKTI</w:t>
            </w:r>
          </w:p>
        </w:tc>
        <w:tc>
          <w:tcPr/>
          <w:p>
            <w:pPr>
              <w:pStyle w:val="Compact"/>
              <w:spacing w:line="240" w:lineRule="auto"/>
            </w:pPr>
            <w:r>
              <w:rPr>
                <w:sz w:val="18"/>
              </w:rPr>
              <w:t xml:space="preserve">0,954 / 0,680</w:t>
            </w:r>
          </w:p>
        </w:tc>
        <w:tc>
          <w:tcPr/>
          <w:p>
            <w:pPr>
              <w:pStyle w:val="Compact"/>
              <w:spacing w:line="240" w:lineRule="auto"/>
            </w:pPr>
            <w:r>
              <w:rPr>
                <w:sz w:val="18"/>
              </w:rPr>
              <w:t xml:space="preserve">0,963 / 0,844</w:t>
            </w:r>
          </w:p>
        </w:tc>
        <w:tc>
          <w:tcPr/>
          <w:p>
            <w:pPr>
              <w:pStyle w:val="Compact"/>
              <w:spacing w:line="240" w:lineRule="auto"/>
            </w:pPr>
            <w:r>
              <w:rPr>
                <w:sz w:val="18"/>
              </w:rPr>
              <w:t xml:space="preserve">0,951 / 0,639</w:t>
            </w:r>
          </w:p>
        </w:tc>
        <w:tc>
          <w:tcPr/>
          <w:p>
            <w:pPr>
              <w:pStyle w:val="Compact"/>
              <w:spacing w:line="240" w:lineRule="auto"/>
            </w:pPr>
            <w:r>
              <w:rPr>
                <w:sz w:val="18"/>
              </w:rPr>
              <w:t xml:space="preserve">0,275 / 0,364</w:t>
            </w:r>
          </w:p>
        </w:tc>
      </w:tr>
      <w:tr>
        <w:tc>
          <w:tcPr/>
          <w:p>
            <w:pPr>
              <w:pStyle w:val="Compact"/>
              <w:spacing w:line="240" w:lineRule="auto"/>
            </w:pPr>
            <w:r>
              <w:rPr>
                <w:i/>
                <w:iCs/>
                <w:sz w:val="18"/>
              </w:rPr>
              <w:t xml:space="preserve">S. frugiperda</w:t>
            </w:r>
          </w:p>
        </w:tc>
        <w:tc>
          <w:tcPr/>
          <w:p>
            <w:pPr>
              <w:pStyle w:val="Compact"/>
              <w:spacing w:line="240" w:lineRule="auto"/>
            </w:pPr>
            <w:r>
              <w:rPr>
                <w:sz w:val="18"/>
              </w:rPr>
              <w:t xml:space="preserve">SFTI-1</w:t>
            </w:r>
          </w:p>
        </w:tc>
        <w:tc>
          <w:tcPr/>
          <w:p>
            <w:pPr>
              <w:pStyle w:val="Compact"/>
              <w:spacing w:line="240" w:lineRule="auto"/>
            </w:pPr>
            <w:r>
              <w:rPr>
                <w:sz w:val="18"/>
              </w:rPr>
              <w:t xml:space="preserve">0,933 / 0,869</w:t>
            </w:r>
          </w:p>
        </w:tc>
        <w:tc>
          <w:tcPr/>
          <w:p>
            <w:pPr>
              <w:pStyle w:val="Compact"/>
              <w:spacing w:line="240" w:lineRule="auto"/>
            </w:pPr>
            <w:r>
              <w:rPr>
                <w:sz w:val="18"/>
              </w:rPr>
              <w:t xml:space="preserve">0,906 / 0,688</w:t>
            </w:r>
          </w:p>
        </w:tc>
        <w:tc>
          <w:tcPr/>
          <w:p>
            <w:pPr>
              <w:pStyle w:val="Compact"/>
              <w:spacing w:line="240" w:lineRule="auto"/>
            </w:pPr>
            <w:r>
              <w:rPr>
                <w:sz w:val="18"/>
              </w:rPr>
              <w:t xml:space="preserve">0,940 / 0,914</w:t>
            </w:r>
          </w:p>
        </w:tc>
        <w:tc>
          <w:tcPr/>
          <w:p>
            <w:pPr>
              <w:pStyle w:val="Compact"/>
              <w:spacing w:line="240" w:lineRule="auto"/>
            </w:pPr>
            <w:r>
              <w:rPr>
                <w:sz w:val="18"/>
              </w:rPr>
              <w:t xml:space="preserve">0,129 / 0,274</w:t>
            </w:r>
          </w:p>
        </w:tc>
      </w:tr>
      <w:tr>
        <w:tc>
          <w:tcPr/>
          <w:p>
            <w:pPr>
              <w:pStyle w:val="Compact"/>
              <w:spacing w:line="240" w:lineRule="auto"/>
            </w:pPr>
            <w:r>
              <w:rPr>
                <w:i/>
                <w:iCs/>
                <w:sz w:val="18"/>
              </w:rPr>
              <w:t xml:space="preserve">S. frugiperda</w:t>
            </w:r>
          </w:p>
        </w:tc>
        <w:tc>
          <w:tcPr/>
          <w:p>
            <w:pPr>
              <w:pStyle w:val="Compact"/>
              <w:spacing w:line="240" w:lineRule="auto"/>
            </w:pPr>
            <w:r>
              <w:rPr>
                <w:sz w:val="18"/>
              </w:rPr>
              <w:t xml:space="preserve">BBI</w:t>
            </w:r>
          </w:p>
        </w:tc>
        <w:tc>
          <w:tcPr/>
          <w:p>
            <w:pPr>
              <w:pStyle w:val="Compact"/>
              <w:spacing w:line="240" w:lineRule="auto"/>
            </w:pPr>
            <w:r>
              <w:rPr>
                <w:sz w:val="18"/>
              </w:rPr>
              <w:t xml:space="preserve">0,862 / 0,650</w:t>
            </w:r>
          </w:p>
        </w:tc>
        <w:tc>
          <w:tcPr/>
          <w:p>
            <w:pPr>
              <w:pStyle w:val="Compact"/>
              <w:spacing w:line="240" w:lineRule="auto"/>
            </w:pPr>
            <w:r>
              <w:rPr>
                <w:sz w:val="18"/>
              </w:rPr>
              <w:t xml:space="preserve">0,717 / 0,318</w:t>
            </w:r>
          </w:p>
        </w:tc>
        <w:tc>
          <w:tcPr/>
          <w:p>
            <w:pPr>
              <w:pStyle w:val="Compact"/>
              <w:spacing w:line="240" w:lineRule="auto"/>
            </w:pPr>
            <w:r>
              <w:rPr>
                <w:sz w:val="18"/>
              </w:rPr>
              <w:t xml:space="preserve">0,899 / 0,732</w:t>
            </w:r>
          </w:p>
        </w:tc>
        <w:tc>
          <w:tcPr/>
          <w:p>
            <w:pPr>
              <w:pStyle w:val="Compact"/>
              <w:spacing w:line="240" w:lineRule="auto"/>
            </w:pPr>
            <w:r>
              <w:rPr>
                <w:sz w:val="18"/>
              </w:rPr>
              <w:t xml:space="preserve">0,349 / 1,167</w:t>
            </w:r>
          </w:p>
        </w:tc>
      </w:tr>
      <w:tr>
        <w:tc>
          <w:tcPr/>
          <w:p>
            <w:pPr>
              <w:pStyle w:val="Compact"/>
              <w:spacing w:line="240" w:lineRule="auto"/>
            </w:pPr>
            <w:r>
              <w:rPr>
                <w:i/>
                <w:iCs/>
                <w:sz w:val="18"/>
              </w:rPr>
              <w:t xml:space="preserve">S. frugiperda</w:t>
            </w:r>
          </w:p>
        </w:tc>
        <w:tc>
          <w:tcPr/>
          <w:p>
            <w:pPr>
              <w:pStyle w:val="Compact"/>
              <w:spacing w:line="240" w:lineRule="auto"/>
            </w:pPr>
            <w:r>
              <w:rPr>
                <w:sz w:val="18"/>
              </w:rPr>
              <w:t xml:space="preserve">BPTI</w:t>
            </w:r>
          </w:p>
        </w:tc>
        <w:tc>
          <w:tcPr/>
          <w:p>
            <w:pPr>
              <w:pStyle w:val="Compact"/>
              <w:spacing w:line="240" w:lineRule="auto"/>
            </w:pPr>
            <w:r>
              <w:rPr>
                <w:sz w:val="18"/>
              </w:rPr>
              <w:t xml:space="preserve">0,877 / 0,755</w:t>
            </w:r>
          </w:p>
        </w:tc>
        <w:tc>
          <w:tcPr/>
          <w:p>
            <w:pPr>
              <w:pStyle w:val="Compact"/>
              <w:spacing w:line="240" w:lineRule="auto"/>
            </w:pPr>
            <w:r>
              <w:rPr>
                <w:sz w:val="18"/>
              </w:rPr>
              <w:t xml:space="preserve">0,918 / 0,643</w:t>
            </w:r>
          </w:p>
        </w:tc>
        <w:tc>
          <w:tcPr/>
          <w:p>
            <w:pPr>
              <w:pStyle w:val="Compact"/>
              <w:spacing w:line="240" w:lineRule="auto"/>
            </w:pPr>
            <w:r>
              <w:rPr>
                <w:sz w:val="18"/>
              </w:rPr>
              <w:t xml:space="preserve">0,867 / 0,783</w:t>
            </w:r>
          </w:p>
        </w:tc>
        <w:tc>
          <w:tcPr/>
          <w:p>
            <w:pPr>
              <w:pStyle w:val="Compact"/>
              <w:spacing w:line="240" w:lineRule="auto"/>
            </w:pPr>
            <w:r>
              <w:rPr>
                <w:sz w:val="18"/>
              </w:rPr>
              <w:t xml:space="preserve">0,317 / 0,342</w:t>
            </w:r>
          </w:p>
        </w:tc>
      </w:tr>
      <w:tr>
        <w:tc>
          <w:tcPr/>
          <w:p>
            <w:pPr>
              <w:pStyle w:val="Compact"/>
              <w:spacing w:line="240" w:lineRule="auto"/>
            </w:pPr>
            <w:r>
              <w:rPr>
                <w:i/>
                <w:iCs/>
                <w:sz w:val="18"/>
              </w:rPr>
              <w:t xml:space="preserve">S. frugiperda</w:t>
            </w:r>
          </w:p>
        </w:tc>
        <w:tc>
          <w:tcPr/>
          <w:p>
            <w:pPr>
              <w:pStyle w:val="Compact"/>
              <w:spacing w:line="240" w:lineRule="auto"/>
            </w:pPr>
            <w:r>
              <w:rPr>
                <w:sz w:val="18"/>
              </w:rPr>
              <w:t xml:space="preserve">EcTI</w:t>
            </w:r>
          </w:p>
        </w:tc>
        <w:tc>
          <w:tcPr/>
          <w:p>
            <w:pPr>
              <w:pStyle w:val="Compact"/>
              <w:spacing w:line="240" w:lineRule="auto"/>
            </w:pPr>
            <w:r>
              <w:rPr>
                <w:sz w:val="18"/>
              </w:rPr>
              <w:t xml:space="preserve">0,868 / 0,637</w:t>
            </w:r>
          </w:p>
        </w:tc>
        <w:tc>
          <w:tcPr/>
          <w:p>
            <w:pPr>
              <w:pStyle w:val="Compact"/>
              <w:spacing w:line="240" w:lineRule="auto"/>
            </w:pPr>
            <w:r>
              <w:rPr>
                <w:sz w:val="18"/>
              </w:rPr>
              <w:t xml:space="preserve">0,866 / 0,607</w:t>
            </w:r>
          </w:p>
        </w:tc>
        <w:tc>
          <w:tcPr/>
          <w:p>
            <w:pPr>
              <w:pStyle w:val="Compact"/>
              <w:spacing w:line="240" w:lineRule="auto"/>
            </w:pPr>
            <w:r>
              <w:rPr>
                <w:sz w:val="18"/>
              </w:rPr>
              <w:t xml:space="preserve">0,868 / 0,645</w:t>
            </w:r>
          </w:p>
        </w:tc>
        <w:tc>
          <w:tcPr/>
          <w:p>
            <w:pPr>
              <w:pStyle w:val="Compact"/>
              <w:spacing w:line="240" w:lineRule="auto"/>
            </w:pPr>
            <w:r>
              <w:rPr>
                <w:b/>
                <w:bCs/>
                <w:sz w:val="18"/>
              </w:rPr>
              <w:t xml:space="preserve">0,366 / 0,347</w:t>
            </w:r>
          </w:p>
        </w:tc>
      </w:tr>
      <w:tr>
        <w:tc>
          <w:tcPr/>
          <w:p>
            <w:pPr>
              <w:pStyle w:val="Compact"/>
              <w:spacing w:line="240" w:lineRule="auto"/>
            </w:pPr>
            <w:r>
              <w:rPr>
                <w:i/>
                <w:iCs/>
                <w:sz w:val="18"/>
              </w:rPr>
              <w:t xml:space="preserve">S. frugiperda</w:t>
            </w:r>
          </w:p>
        </w:tc>
        <w:tc>
          <w:tcPr/>
          <w:p>
            <w:pPr>
              <w:pStyle w:val="Compact"/>
              <w:spacing w:line="240" w:lineRule="auto"/>
            </w:pPr>
            <w:r>
              <w:rPr>
                <w:sz w:val="18"/>
              </w:rPr>
              <w:t xml:space="preserve">SKTI</w:t>
            </w:r>
          </w:p>
        </w:tc>
        <w:tc>
          <w:tcPr/>
          <w:p>
            <w:pPr>
              <w:pStyle w:val="Compact"/>
              <w:spacing w:line="240" w:lineRule="auto"/>
            </w:pPr>
            <w:r>
              <w:rPr>
                <w:sz w:val="18"/>
              </w:rPr>
              <w:t xml:space="preserve">0,853 / 0,628</w:t>
            </w:r>
          </w:p>
        </w:tc>
        <w:tc>
          <w:tcPr/>
          <w:p>
            <w:pPr>
              <w:pStyle w:val="Compact"/>
              <w:spacing w:line="240" w:lineRule="auto"/>
            </w:pPr>
            <w:r>
              <w:rPr>
                <w:sz w:val="18"/>
              </w:rPr>
              <w:t xml:space="preserve">0,711 / 0,706</w:t>
            </w:r>
          </w:p>
        </w:tc>
        <w:tc>
          <w:tcPr/>
          <w:p>
            <w:pPr>
              <w:pStyle w:val="Compact"/>
              <w:spacing w:line="240" w:lineRule="auto"/>
            </w:pPr>
            <w:r>
              <w:rPr>
                <w:sz w:val="18"/>
              </w:rPr>
              <w:t xml:space="preserve">0,889 / 0,608</w:t>
            </w:r>
          </w:p>
        </w:tc>
        <w:tc>
          <w:tcPr/>
          <w:p>
            <w:pPr>
              <w:pStyle w:val="Compact"/>
              <w:spacing w:line="240" w:lineRule="auto"/>
            </w:pPr>
            <w:r>
              <w:rPr>
                <w:sz w:val="18"/>
              </w:rPr>
              <w:t xml:space="preserve">0,200 / 0,466</w:t>
            </w:r>
          </w:p>
        </w:tc>
      </w:tr>
    </w:tbl>
    <w:p>
      <w:pPr>
        <w:pStyle w:val="CaptionedFigure"/>
      </w:pPr>
      <w:r>
        <w:drawing>
          <wp:inline>
            <wp:extent cx="5334000" cy="3556836"/>
            <wp:effectExtent b="0" l="0" r="0" t="0"/>
            <wp:docPr descr="Figura 2. Calibração da escada de escores com seis inibidores naturais e iscas embaralhadas (22 sistemas; Bt: tripsina bovina, Sf: S. frugiperda). Inibidor real (cheio) e isca embaralhada (vazado) para (A) confiança do Boltz-2, (B) ipTM do Boltz-2, (C) pLDDT do complexo e (D) RMSD do esqueleto do ligante após superposição no receptor (2 ns, último terço); o conector é vermelho quando a isca teve escore melhor, e o número de pares (de 10) em que o inibidor teve o melhor escore está em cada painel." title="" id="31" name="Picture"/>
            <a:graphic>
              <a:graphicData uri="http://schemas.openxmlformats.org/drawingml/2006/picture">
                <pic:pic>
                  <pic:nvPicPr>
                    <pic:cNvPr descr="figures/final/Figure2_calibration.png" id="32" name="Picture"/>
                    <pic:cNvPicPr>
                      <a:picLocks noChangeArrowheads="1" noChangeAspect="1"/>
                    </pic:cNvPicPr>
                  </pic:nvPicPr>
                  <pic:blipFill>
                    <a:blip r:embed="rId30"/>
                    <a:stretch>
                      <a:fillRect/>
                    </a:stretch>
                  </pic:blipFill>
                  <pic:spPr bwMode="auto">
                    <a:xfrm>
                      <a:off x="0" y="0"/>
                      <a:ext cx="5334000" cy="3556836"/>
                    </a:xfrm>
                    <a:prstGeom prst="rect">
                      <a:avLst/>
                    </a:prstGeom>
                    <a:noFill/>
                    <a:ln w="9525">
                      <a:noFill/>
                      <a:headEnd/>
                      <a:tailEnd/>
                    </a:ln>
                  </pic:spPr>
                </pic:pic>
              </a:graphicData>
            </a:graphic>
          </wp:inline>
        </w:drawing>
      </w:r>
    </w:p>
    <w:p>
      <w:pPr>
        <w:pStyle w:val="ImageCaption"/>
      </w:pPr>
      <w:r>
        <w:rPr>
          <w:b/>
          <w:bCs/>
        </w:rPr>
        <w:t xml:space="preserve">Figura 2.</w:t>
      </w:r>
      <w:r>
        <w:t xml:space="preserve"> </w:t>
      </w:r>
      <w:r>
        <w:t xml:space="preserve">Calibração da escada de escores com seis inibidores naturais e iscas embaralhadas (22 sistemas; Bt: tripsina bovina, Sf:</w:t>
      </w:r>
      <w:r>
        <w:t xml:space="preserve"> </w:t>
      </w:r>
      <w:r>
        <w:rPr>
          <w:i/>
          <w:iCs/>
        </w:rPr>
        <w:t xml:space="preserve">S. frugiperda</w:t>
      </w:r>
      <w:r>
        <w:t xml:space="preserve">). Inibidor real (cheio) e isca embaralhada (vazado) para (A) confiança do Boltz-2, (B) ipTM do Boltz-2, (C) pLDDT do complexo e (D) RMSD do esqueleto do ligante após superposição no receptor (2 ns, último terço); o conector é vermelho quando a isca teve escore melhor, e o número de pares (de 10) em que o inibidor teve o melhor escore está em cada painel.</w:t>
      </w:r>
    </w:p>
    <w:bookmarkEnd w:id="33"/>
    <w:bookmarkStart w:id="37" w:name="X9c5422e4f8dccbb1f829705fe840920aa5ed315"/>
    <w:p>
      <w:pPr>
        <w:pStyle w:val="Heading3"/>
      </w:pPr>
      <w:r>
        <w:t xml:space="preserve">3.3 Geração e o critério duro de não clivabilidade</w:t>
      </w:r>
    </w:p>
    <w:p>
      <w:pPr>
        <w:pStyle w:val="FirstParagraph"/>
      </w:pPr>
      <w:r>
        <w:t xml:space="preserve">A geração produziu 880 esqueletos (110 por espécie) com o comprimento pedido e distância de fechamento N–C de 0,76–1,40 Å (sem relaxamento em nível atômico), e o ProteinMPNN rendeu 22.066 sequências únicas (2.692–2.839 por espécie; Tabela 3). A triagem por escore de motivos manteve 1.829 (8,3%) como RESISTENTE, 4.987 (22,6%) como MARGINAL e 15.250 (69,1%) como SUSCEPTIVEL; ela removeu sobretudo sequências longas (comprimento médio de 7,05 resíduos e 95,6% com 10 resíduos ou menos no conjunto RESISTENTE, contra 15,74 e 12,7% no SUSCEPTIVEL), e só 4,3% das sequências RESISTENTE continham lisina ou arginina (Figura S2). As 1.829 sequências RESISTENTE foram co-dobradas com o Boltz-2 em uma primeira rodada (confiança média 0,862, faixa 0,695–0,953; Figura S8), valores que se sobrepõem aos dos inibidores naturais e das iscas da calibração.</w:t>
      </w:r>
    </w:p>
    <w:p>
      <w:pPr>
        <w:pStyle w:val="BodyText"/>
      </w:pPr>
      <w:r>
        <w:rPr>
          <w:b/>
          <w:bCs/>
        </w:rPr>
        <w:t xml:space="preserve">Tabela 3.</w:t>
      </w:r>
      <w:r>
        <w:t xml:space="preserve"> </w:t>
      </w:r>
      <w:r>
        <w:t xml:space="preserve">Resumo da campanha por alvo.</w:t>
      </w:r>
    </w:p>
    <w:tbl>
      <w:tblPr>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on"/>
        </w:trPr>
        <w:tc>
          <w:tcPr/>
          <w:p>
            <w:pPr>
              <w:pStyle w:val="Compact"/>
              <w:spacing w:line="240" w:lineRule="auto"/>
            </w:pPr>
            <w:r>
              <w:rPr>
                <w:b/>
                <w:sz w:val="18"/>
              </w:rPr>
              <w:t xml:space="preserve">Espécie</w:t>
            </w:r>
          </w:p>
        </w:tc>
        <w:tc>
          <w:tcPr/>
          <w:p>
            <w:pPr>
              <w:pStyle w:val="Compact"/>
              <w:spacing w:line="240" w:lineRule="auto"/>
            </w:pPr>
            <w:r>
              <w:rPr>
                <w:b/>
                <w:sz w:val="18"/>
              </w:rPr>
              <w:t xml:space="preserve">Esqueletos</w:t>
            </w:r>
          </w:p>
        </w:tc>
        <w:tc>
          <w:tcPr/>
          <w:p>
            <w:pPr>
              <w:pStyle w:val="Compact"/>
              <w:spacing w:line="240" w:lineRule="auto"/>
            </w:pPr>
            <w:r>
              <w:rPr>
                <w:b/>
                <w:sz w:val="18"/>
              </w:rPr>
              <w:t xml:space="preserve">Sequências únicas</w:t>
            </w:r>
          </w:p>
        </w:tc>
        <w:tc>
          <w:tcPr/>
          <w:p>
            <w:pPr>
              <w:pStyle w:val="Compact"/>
              <w:spacing w:line="240" w:lineRule="auto"/>
            </w:pPr>
            <w:r>
              <w:rPr>
                <w:b/>
                <w:sz w:val="18"/>
              </w:rPr>
              <w:t xml:space="preserve">RESISTENTE</w:t>
            </w:r>
          </w:p>
        </w:tc>
        <w:tc>
          <w:tcPr/>
          <w:p>
            <w:pPr>
              <w:pStyle w:val="Compact"/>
              <w:spacing w:line="240" w:lineRule="auto"/>
            </w:pPr>
            <w:r>
              <w:rPr>
                <w:b/>
                <w:sz w:val="18"/>
              </w:rPr>
              <w:t xml:space="preserve">MARGINAL</w:t>
            </w:r>
          </w:p>
        </w:tc>
        <w:tc>
          <w:tcPr/>
          <w:p>
            <w:pPr>
              <w:pStyle w:val="Compact"/>
              <w:spacing w:line="240" w:lineRule="auto"/>
            </w:pPr>
            <w:r>
              <w:rPr>
                <w:b/>
                <w:sz w:val="18"/>
              </w:rPr>
              <w:t xml:space="preserve">SUSCEPTIVEL</w:t>
            </w:r>
          </w:p>
        </w:tc>
      </w:tr>
      <w:tr>
        <w:tc>
          <w:tcPr/>
          <w:p>
            <w:pPr>
              <w:pStyle w:val="Compact"/>
              <w:spacing w:line="240" w:lineRule="auto"/>
            </w:pPr>
            <w:r>
              <w:rPr>
                <w:i/>
                <w:iCs/>
                <w:sz w:val="18"/>
              </w:rPr>
              <w:t xml:space="preserve">S. frugiperda</w:t>
            </w:r>
          </w:p>
        </w:tc>
        <w:tc>
          <w:tcPr/>
          <w:p>
            <w:pPr>
              <w:pStyle w:val="Compact"/>
              <w:spacing w:line="240" w:lineRule="auto"/>
            </w:pPr>
            <w:r>
              <w:rPr>
                <w:sz w:val="18"/>
              </w:rPr>
              <w:t xml:space="preserve">110</w:t>
            </w:r>
          </w:p>
        </w:tc>
        <w:tc>
          <w:tcPr/>
          <w:p>
            <w:pPr>
              <w:pStyle w:val="Compact"/>
              <w:spacing w:line="240" w:lineRule="auto"/>
            </w:pPr>
            <w:r>
              <w:rPr>
                <w:sz w:val="18"/>
              </w:rPr>
              <w:t xml:space="preserve">2,731</w:t>
            </w:r>
          </w:p>
        </w:tc>
        <w:tc>
          <w:tcPr/>
          <w:p>
            <w:pPr>
              <w:pStyle w:val="Compact"/>
              <w:spacing w:line="240" w:lineRule="auto"/>
            </w:pPr>
            <w:r>
              <w:rPr>
                <w:sz w:val="18"/>
              </w:rPr>
              <w:t xml:space="preserve">147</w:t>
            </w:r>
          </w:p>
        </w:tc>
        <w:tc>
          <w:tcPr/>
          <w:p>
            <w:pPr>
              <w:pStyle w:val="Compact"/>
              <w:spacing w:line="240" w:lineRule="auto"/>
            </w:pPr>
            <w:r>
              <w:rPr>
                <w:sz w:val="18"/>
              </w:rPr>
              <w:t xml:space="preserve">621</w:t>
            </w:r>
          </w:p>
        </w:tc>
        <w:tc>
          <w:tcPr/>
          <w:p>
            <w:pPr>
              <w:pStyle w:val="Compact"/>
              <w:spacing w:line="240" w:lineRule="auto"/>
            </w:pPr>
            <w:r>
              <w:rPr>
                <w:sz w:val="18"/>
              </w:rPr>
              <w:t xml:space="preserve">1,963</w:t>
            </w:r>
          </w:p>
        </w:tc>
      </w:tr>
      <w:tr>
        <w:tc>
          <w:tcPr/>
          <w:p>
            <w:pPr>
              <w:pStyle w:val="Compact"/>
              <w:spacing w:line="240" w:lineRule="auto"/>
            </w:pPr>
            <w:r>
              <w:rPr>
                <w:i/>
                <w:iCs/>
                <w:sz w:val="18"/>
              </w:rPr>
              <w:t xml:space="preserve">S. litura</w:t>
            </w:r>
          </w:p>
        </w:tc>
        <w:tc>
          <w:tcPr/>
          <w:p>
            <w:pPr>
              <w:pStyle w:val="Compact"/>
              <w:spacing w:line="240" w:lineRule="auto"/>
            </w:pPr>
            <w:r>
              <w:rPr>
                <w:sz w:val="18"/>
              </w:rPr>
              <w:t xml:space="preserve">110</w:t>
            </w:r>
          </w:p>
        </w:tc>
        <w:tc>
          <w:tcPr/>
          <w:p>
            <w:pPr>
              <w:pStyle w:val="Compact"/>
              <w:spacing w:line="240" w:lineRule="auto"/>
            </w:pPr>
            <w:r>
              <w:rPr>
                <w:sz w:val="18"/>
              </w:rPr>
              <w:t xml:space="preserve">2,706</w:t>
            </w:r>
          </w:p>
        </w:tc>
        <w:tc>
          <w:tcPr/>
          <w:p>
            <w:pPr>
              <w:pStyle w:val="Compact"/>
              <w:spacing w:line="240" w:lineRule="auto"/>
            </w:pPr>
            <w:r>
              <w:rPr>
                <w:sz w:val="18"/>
              </w:rPr>
              <w:t xml:space="preserve">205</w:t>
            </w:r>
          </w:p>
        </w:tc>
        <w:tc>
          <w:tcPr/>
          <w:p>
            <w:pPr>
              <w:pStyle w:val="Compact"/>
              <w:spacing w:line="240" w:lineRule="auto"/>
            </w:pPr>
            <w:r>
              <w:rPr>
                <w:sz w:val="18"/>
              </w:rPr>
              <w:t xml:space="preserve">607</w:t>
            </w:r>
          </w:p>
        </w:tc>
        <w:tc>
          <w:tcPr/>
          <w:p>
            <w:pPr>
              <w:pStyle w:val="Compact"/>
              <w:spacing w:line="240" w:lineRule="auto"/>
            </w:pPr>
            <w:r>
              <w:rPr>
                <w:sz w:val="18"/>
              </w:rPr>
              <w:t xml:space="preserve">1,894</w:t>
            </w:r>
          </w:p>
        </w:tc>
      </w:tr>
      <w:tr>
        <w:tc>
          <w:tcPr/>
          <w:p>
            <w:pPr>
              <w:pStyle w:val="Compact"/>
              <w:spacing w:line="240" w:lineRule="auto"/>
            </w:pPr>
            <w:r>
              <w:rPr>
                <w:i/>
                <w:iCs/>
                <w:sz w:val="18"/>
              </w:rPr>
              <w:t xml:space="preserve">O. nubilalis</w:t>
            </w:r>
          </w:p>
        </w:tc>
        <w:tc>
          <w:tcPr/>
          <w:p>
            <w:pPr>
              <w:pStyle w:val="Compact"/>
              <w:spacing w:line="240" w:lineRule="auto"/>
            </w:pPr>
            <w:r>
              <w:rPr>
                <w:sz w:val="18"/>
              </w:rPr>
              <w:t xml:space="preserve">110</w:t>
            </w:r>
          </w:p>
        </w:tc>
        <w:tc>
          <w:tcPr/>
          <w:p>
            <w:pPr>
              <w:pStyle w:val="Compact"/>
              <w:spacing w:line="240" w:lineRule="auto"/>
            </w:pPr>
            <w:r>
              <w:rPr>
                <w:sz w:val="18"/>
              </w:rPr>
              <w:t xml:space="preserve">2,739</w:t>
            </w:r>
          </w:p>
        </w:tc>
        <w:tc>
          <w:tcPr/>
          <w:p>
            <w:pPr>
              <w:pStyle w:val="Compact"/>
              <w:spacing w:line="240" w:lineRule="auto"/>
            </w:pPr>
            <w:r>
              <w:rPr>
                <w:sz w:val="18"/>
              </w:rPr>
              <w:t xml:space="preserve">238</w:t>
            </w:r>
          </w:p>
        </w:tc>
        <w:tc>
          <w:tcPr/>
          <w:p>
            <w:pPr>
              <w:pStyle w:val="Compact"/>
              <w:spacing w:line="240" w:lineRule="auto"/>
            </w:pPr>
            <w:r>
              <w:rPr>
                <w:sz w:val="18"/>
              </w:rPr>
              <w:t xml:space="preserve">667</w:t>
            </w:r>
          </w:p>
        </w:tc>
        <w:tc>
          <w:tcPr/>
          <w:p>
            <w:pPr>
              <w:pStyle w:val="Compact"/>
              <w:spacing w:line="240" w:lineRule="auto"/>
            </w:pPr>
            <w:r>
              <w:rPr>
                <w:sz w:val="18"/>
              </w:rPr>
              <w:t xml:space="preserve">1,834</w:t>
            </w:r>
          </w:p>
        </w:tc>
      </w:tr>
      <w:tr>
        <w:tc>
          <w:tcPr/>
          <w:p>
            <w:pPr>
              <w:pStyle w:val="Compact"/>
              <w:spacing w:line="240" w:lineRule="auto"/>
            </w:pPr>
            <w:r>
              <w:rPr>
                <w:i/>
                <w:iCs/>
                <w:sz w:val="18"/>
              </w:rPr>
              <w:t xml:space="preserve">D. saccharalis</w:t>
            </w:r>
          </w:p>
        </w:tc>
        <w:tc>
          <w:tcPr/>
          <w:p>
            <w:pPr>
              <w:pStyle w:val="Compact"/>
              <w:spacing w:line="240" w:lineRule="auto"/>
            </w:pPr>
            <w:r>
              <w:rPr>
                <w:sz w:val="18"/>
              </w:rPr>
              <w:t xml:space="preserve">110</w:t>
            </w:r>
          </w:p>
        </w:tc>
        <w:tc>
          <w:tcPr/>
          <w:p>
            <w:pPr>
              <w:pStyle w:val="Compact"/>
              <w:spacing w:line="240" w:lineRule="auto"/>
            </w:pPr>
            <w:r>
              <w:rPr>
                <w:sz w:val="18"/>
              </w:rPr>
              <w:t xml:space="preserve">2,807</w:t>
            </w:r>
          </w:p>
        </w:tc>
        <w:tc>
          <w:tcPr/>
          <w:p>
            <w:pPr>
              <w:pStyle w:val="Compact"/>
              <w:spacing w:line="240" w:lineRule="auto"/>
            </w:pPr>
            <w:r>
              <w:rPr>
                <w:sz w:val="18"/>
              </w:rPr>
              <w:t xml:space="preserve">247</w:t>
            </w:r>
          </w:p>
        </w:tc>
        <w:tc>
          <w:tcPr/>
          <w:p>
            <w:pPr>
              <w:pStyle w:val="Compact"/>
              <w:spacing w:line="240" w:lineRule="auto"/>
            </w:pPr>
            <w:r>
              <w:rPr>
                <w:sz w:val="18"/>
              </w:rPr>
              <w:t xml:space="preserve">638</w:t>
            </w:r>
          </w:p>
        </w:tc>
        <w:tc>
          <w:tcPr/>
          <w:p>
            <w:pPr>
              <w:pStyle w:val="Compact"/>
              <w:spacing w:line="240" w:lineRule="auto"/>
            </w:pPr>
            <w:r>
              <w:rPr>
                <w:sz w:val="18"/>
              </w:rPr>
              <w:t xml:space="preserve">1,922</w:t>
            </w:r>
          </w:p>
        </w:tc>
      </w:tr>
      <w:tr>
        <w:tc>
          <w:tcPr/>
          <w:p>
            <w:pPr>
              <w:pStyle w:val="Compact"/>
              <w:spacing w:line="240" w:lineRule="auto"/>
            </w:pPr>
            <w:r>
              <w:rPr>
                <w:i/>
                <w:iCs/>
                <w:sz w:val="18"/>
              </w:rPr>
              <w:t xml:space="preserve">C. includens</w:t>
            </w:r>
          </w:p>
        </w:tc>
        <w:tc>
          <w:tcPr/>
          <w:p>
            <w:pPr>
              <w:pStyle w:val="Compact"/>
              <w:spacing w:line="240" w:lineRule="auto"/>
            </w:pPr>
            <w:r>
              <w:rPr>
                <w:sz w:val="18"/>
              </w:rPr>
              <w:t xml:space="preserve">110</w:t>
            </w:r>
          </w:p>
        </w:tc>
        <w:tc>
          <w:tcPr/>
          <w:p>
            <w:pPr>
              <w:pStyle w:val="Compact"/>
              <w:spacing w:line="240" w:lineRule="auto"/>
            </w:pPr>
            <w:r>
              <w:rPr>
                <w:sz w:val="18"/>
              </w:rPr>
              <w:t xml:space="preserve">2,778</w:t>
            </w:r>
          </w:p>
        </w:tc>
        <w:tc>
          <w:tcPr/>
          <w:p>
            <w:pPr>
              <w:pStyle w:val="Compact"/>
              <w:spacing w:line="240" w:lineRule="auto"/>
            </w:pPr>
            <w:r>
              <w:rPr>
                <w:sz w:val="18"/>
              </w:rPr>
              <w:t xml:space="preserve">235</w:t>
            </w:r>
          </w:p>
        </w:tc>
        <w:tc>
          <w:tcPr/>
          <w:p>
            <w:pPr>
              <w:pStyle w:val="Compact"/>
              <w:spacing w:line="240" w:lineRule="auto"/>
            </w:pPr>
            <w:r>
              <w:rPr>
                <w:sz w:val="18"/>
              </w:rPr>
              <w:t xml:space="preserve">640</w:t>
            </w:r>
          </w:p>
        </w:tc>
        <w:tc>
          <w:tcPr/>
          <w:p>
            <w:pPr>
              <w:pStyle w:val="Compact"/>
              <w:spacing w:line="240" w:lineRule="auto"/>
            </w:pPr>
            <w:r>
              <w:rPr>
                <w:sz w:val="18"/>
              </w:rPr>
              <w:t xml:space="preserve">1,903</w:t>
            </w:r>
          </w:p>
        </w:tc>
      </w:tr>
      <w:tr>
        <w:tc>
          <w:tcPr/>
          <w:p>
            <w:pPr>
              <w:pStyle w:val="Compact"/>
              <w:spacing w:line="240" w:lineRule="auto"/>
            </w:pPr>
            <w:r>
              <w:rPr>
                <w:i/>
                <w:iCs/>
                <w:sz w:val="18"/>
              </w:rPr>
              <w:t xml:space="preserve">H. virescens</w:t>
            </w:r>
          </w:p>
        </w:tc>
        <w:tc>
          <w:tcPr/>
          <w:p>
            <w:pPr>
              <w:pStyle w:val="Compact"/>
              <w:spacing w:line="240" w:lineRule="auto"/>
            </w:pPr>
            <w:r>
              <w:rPr>
                <w:sz w:val="18"/>
              </w:rPr>
              <w:t xml:space="preserve">110</w:t>
            </w:r>
          </w:p>
        </w:tc>
        <w:tc>
          <w:tcPr/>
          <w:p>
            <w:pPr>
              <w:pStyle w:val="Compact"/>
              <w:spacing w:line="240" w:lineRule="auto"/>
            </w:pPr>
            <w:r>
              <w:rPr>
                <w:sz w:val="18"/>
              </w:rPr>
              <w:t xml:space="preserve">2,774</w:t>
            </w:r>
          </w:p>
        </w:tc>
        <w:tc>
          <w:tcPr/>
          <w:p>
            <w:pPr>
              <w:pStyle w:val="Compact"/>
              <w:spacing w:line="240" w:lineRule="auto"/>
            </w:pPr>
            <w:r>
              <w:rPr>
                <w:sz w:val="18"/>
              </w:rPr>
              <w:t xml:space="preserve">189</w:t>
            </w:r>
          </w:p>
        </w:tc>
        <w:tc>
          <w:tcPr/>
          <w:p>
            <w:pPr>
              <w:pStyle w:val="Compact"/>
              <w:spacing w:line="240" w:lineRule="auto"/>
            </w:pPr>
            <w:r>
              <w:rPr>
                <w:sz w:val="18"/>
              </w:rPr>
              <w:t xml:space="preserve">614</w:t>
            </w:r>
          </w:p>
        </w:tc>
        <w:tc>
          <w:tcPr/>
          <w:p>
            <w:pPr>
              <w:pStyle w:val="Compact"/>
              <w:spacing w:line="240" w:lineRule="auto"/>
            </w:pPr>
            <w:r>
              <w:rPr>
                <w:sz w:val="18"/>
              </w:rPr>
              <w:t xml:space="preserve">1,971</w:t>
            </w:r>
          </w:p>
        </w:tc>
      </w:tr>
      <w:tr>
        <w:tc>
          <w:tcPr/>
          <w:p>
            <w:pPr>
              <w:pStyle w:val="Compact"/>
              <w:spacing w:line="240" w:lineRule="auto"/>
            </w:pPr>
            <w:r>
              <w:rPr>
                <w:i/>
                <w:iCs/>
                <w:sz w:val="18"/>
              </w:rPr>
              <w:t xml:space="preserve">P. xylostella</w:t>
            </w:r>
          </w:p>
        </w:tc>
        <w:tc>
          <w:tcPr/>
          <w:p>
            <w:pPr>
              <w:pStyle w:val="Compact"/>
              <w:spacing w:line="240" w:lineRule="auto"/>
            </w:pPr>
            <w:r>
              <w:rPr>
                <w:sz w:val="18"/>
              </w:rPr>
              <w:t xml:space="preserve">110</w:t>
            </w:r>
          </w:p>
        </w:tc>
        <w:tc>
          <w:tcPr/>
          <w:p>
            <w:pPr>
              <w:pStyle w:val="Compact"/>
              <w:spacing w:line="240" w:lineRule="auto"/>
            </w:pPr>
            <w:r>
              <w:rPr>
                <w:sz w:val="18"/>
              </w:rPr>
              <w:t xml:space="preserve">2,692</w:t>
            </w:r>
          </w:p>
        </w:tc>
        <w:tc>
          <w:tcPr/>
          <w:p>
            <w:pPr>
              <w:pStyle w:val="Compact"/>
              <w:spacing w:line="240" w:lineRule="auto"/>
            </w:pPr>
            <w:r>
              <w:rPr>
                <w:sz w:val="18"/>
              </w:rPr>
              <w:t xml:space="preserve">287</w:t>
            </w:r>
          </w:p>
        </w:tc>
        <w:tc>
          <w:tcPr/>
          <w:p>
            <w:pPr>
              <w:pStyle w:val="Compact"/>
              <w:spacing w:line="240" w:lineRule="auto"/>
            </w:pPr>
            <w:r>
              <w:rPr>
                <w:sz w:val="18"/>
              </w:rPr>
              <w:t xml:space="preserve">539</w:t>
            </w:r>
          </w:p>
        </w:tc>
        <w:tc>
          <w:tcPr/>
          <w:p>
            <w:pPr>
              <w:pStyle w:val="Compact"/>
              <w:spacing w:line="240" w:lineRule="auto"/>
            </w:pPr>
            <w:r>
              <w:rPr>
                <w:sz w:val="18"/>
              </w:rPr>
              <w:t xml:space="preserve">1,866</w:t>
            </w:r>
          </w:p>
        </w:tc>
      </w:tr>
      <w:tr>
        <w:tc>
          <w:tcPr/>
          <w:p>
            <w:pPr>
              <w:pStyle w:val="Compact"/>
              <w:spacing w:line="240" w:lineRule="auto"/>
            </w:pPr>
            <w:r>
              <w:rPr>
                <w:i/>
                <w:iCs/>
                <w:sz w:val="18"/>
              </w:rPr>
              <w:t xml:space="preserve">A. gemmatalis</w:t>
            </w:r>
          </w:p>
        </w:tc>
        <w:tc>
          <w:tcPr/>
          <w:p>
            <w:pPr>
              <w:pStyle w:val="Compact"/>
              <w:spacing w:line="240" w:lineRule="auto"/>
            </w:pPr>
            <w:r>
              <w:rPr>
                <w:sz w:val="18"/>
              </w:rPr>
              <w:t xml:space="preserve">110</w:t>
            </w:r>
          </w:p>
        </w:tc>
        <w:tc>
          <w:tcPr/>
          <w:p>
            <w:pPr>
              <w:pStyle w:val="Compact"/>
              <w:spacing w:line="240" w:lineRule="auto"/>
            </w:pPr>
            <w:r>
              <w:rPr>
                <w:sz w:val="18"/>
              </w:rPr>
              <w:t xml:space="preserve">2,839</w:t>
            </w:r>
          </w:p>
        </w:tc>
        <w:tc>
          <w:tcPr/>
          <w:p>
            <w:pPr>
              <w:pStyle w:val="Compact"/>
              <w:spacing w:line="240" w:lineRule="auto"/>
            </w:pPr>
            <w:r>
              <w:rPr>
                <w:sz w:val="18"/>
              </w:rPr>
              <w:t xml:space="preserve">281</w:t>
            </w:r>
          </w:p>
        </w:tc>
        <w:tc>
          <w:tcPr/>
          <w:p>
            <w:pPr>
              <w:pStyle w:val="Compact"/>
              <w:spacing w:line="240" w:lineRule="auto"/>
            </w:pPr>
            <w:r>
              <w:rPr>
                <w:sz w:val="18"/>
              </w:rPr>
              <w:t xml:space="preserve">661</w:t>
            </w:r>
          </w:p>
        </w:tc>
        <w:tc>
          <w:tcPr/>
          <w:p>
            <w:pPr>
              <w:pStyle w:val="Compact"/>
              <w:spacing w:line="240" w:lineRule="auto"/>
            </w:pPr>
            <w:r>
              <w:rPr>
                <w:sz w:val="18"/>
              </w:rPr>
              <w:t xml:space="preserve">1,897</w:t>
            </w:r>
          </w:p>
        </w:tc>
      </w:tr>
      <w:tr>
        <w:tc>
          <w:tcPr/>
          <w:p>
            <w:pPr>
              <w:pStyle w:val="Compact"/>
              <w:spacing w:line="240" w:lineRule="auto"/>
            </w:pPr>
            <w:r>
              <w:rPr>
                <w:sz w:val="18"/>
              </w:rPr>
              <w:t xml:space="preserve">Total</w:t>
            </w:r>
          </w:p>
        </w:tc>
        <w:tc>
          <w:tcPr/>
          <w:p>
            <w:pPr>
              <w:pStyle w:val="Compact"/>
              <w:spacing w:line="240" w:lineRule="auto"/>
            </w:pPr>
            <w:r>
              <w:rPr>
                <w:sz w:val="18"/>
              </w:rPr>
              <w:t xml:space="preserve">880</w:t>
            </w:r>
          </w:p>
        </w:tc>
        <w:tc>
          <w:tcPr/>
          <w:p>
            <w:pPr>
              <w:pStyle w:val="Compact"/>
              <w:spacing w:line="240" w:lineRule="auto"/>
            </w:pPr>
            <w:r>
              <w:rPr>
                <w:sz w:val="18"/>
              </w:rPr>
              <w:t xml:space="preserve">22,066</w:t>
            </w:r>
          </w:p>
        </w:tc>
        <w:tc>
          <w:tcPr/>
          <w:p>
            <w:pPr>
              <w:pStyle w:val="Compact"/>
              <w:spacing w:line="240" w:lineRule="auto"/>
            </w:pPr>
            <w:r>
              <w:rPr>
                <w:sz w:val="18"/>
              </w:rPr>
              <w:t xml:space="preserve">1,829</w:t>
            </w:r>
          </w:p>
        </w:tc>
        <w:tc>
          <w:tcPr/>
          <w:p>
            <w:pPr>
              <w:pStyle w:val="Compact"/>
              <w:spacing w:line="240" w:lineRule="auto"/>
            </w:pPr>
            <w:r>
              <w:rPr>
                <w:sz w:val="18"/>
              </w:rPr>
              <w:t xml:space="preserve">4,987</w:t>
            </w:r>
          </w:p>
        </w:tc>
        <w:tc>
          <w:tcPr/>
          <w:p>
            <w:pPr>
              <w:pStyle w:val="Compact"/>
              <w:spacing w:line="240" w:lineRule="auto"/>
            </w:pPr>
            <w:r>
              <w:rPr>
                <w:sz w:val="18"/>
              </w:rPr>
              <w:t xml:space="preserve">15,250</w:t>
            </w:r>
          </w:p>
        </w:tc>
      </w:tr>
    </w:tbl>
    <w:p>
      <w:pPr>
        <w:pStyle w:val="BodyText"/>
      </w:pPr>
      <w:r>
        <w:t xml:space="preserve">O critério duro (Figura S1) deixou 527 sequências (2,4%) para o peptídeo linear e 543 (2,5%) para o macrociclo, 41–86 e 41–87 por espécie (Figura 3); como as sequências foram reunidas dentro de cada espécie e não entre espécies, essas contagens são pares sequência–alvo e correspondem a 445 e 461 sequências distintas. As 527 lineares estão no conjunto cíclico; das 16 só cíclicas, 14 terminam em um resíduo proibido seguido, pelo fechamento, de uma prolina que também é o primeiro resíduo, e duas terminam em isoleucina. As duas frentes são, portanto, leituras aninhadas de um mesmo conjunto, e não uma partição dele. O conjunto duro e o conjunto do escore de motivos, ao contrário, não se aninham (396 dos 543 candidatos cíclicos, 73%, também eram RESISTENTE), e a divergência tem uma causa única: a regra de elastase do escore de motivos conta glicina e serina em P1, o que o critério duro não proíbe (Seção 2.4), de modo que os 147 candidatos que o escore de motivos não chama de RESISTENTE são justamente os ricos em glicina (85,9% de glicina e comprimento médio de 10,1 resíduos, contra 27,9% e 6,8 nos 396 aceitos pelas duas triagens). O conjunto duro é curto e rico em glicina (Figura S3): comprimento médio de 7,7 resíduos, 430 das 527 sequências lineares (81,6%) com 8 resíduos ou menos, e glicina em 49,4% dos 4.060 resíduos, seguida de serina (11,7%), prolina (9,8%), treonina (9,0%) e aspartato (5,8%). Lisina ou arginina somaram nove resíduos (0,22%), cada um seguido de prolina (seis Arg–Pro, três Lys–Pro). O critério é sensível a onde se traça sua fronteira: proibir também a isoleucina no interior deixa 393 sequências lineares, proibir a glicina deixa 49, proibir glicina e serina deixa 13, e acrescentar a treonina deixa 4.</w:t>
      </w:r>
    </w:p>
    <w:p>
      <w:pPr>
        <w:pStyle w:val="CaptionedFigure"/>
      </w:pPr>
      <w:r>
        <w:drawing>
          <wp:inline>
            <wp:extent cx="5334000" cy="1982992"/>
            <wp:effectExtent b="0" l="0" r="0" t="0"/>
            <wp:docPr descr="Figura 3. Candidatos que sobrevivem a cada triagem. Esquerda: sequências por espécie rotuladas como semelhantes a resistentes pelo escore de motivos da primeira rodada (regra circular) e pelo critério duro nas interpretações linear (frente L) e cíclica (frente M); direita: totais de 22.066 sequências." title="" id="35" name="Picture"/>
            <a:graphic>
              <a:graphicData uri="http://schemas.openxmlformats.org/drawingml/2006/picture">
                <pic:pic>
                  <pic:nvPicPr>
                    <pic:cNvPr descr="figures/pt/fig5_funil.png" id="36" name="Picture"/>
                    <pic:cNvPicPr>
                      <a:picLocks noChangeArrowheads="1" noChangeAspect="1"/>
                    </pic:cNvPicPr>
                  </pic:nvPicPr>
                  <pic:blipFill>
                    <a:blip r:embed="rId34"/>
                    <a:stretch>
                      <a:fillRect/>
                    </a:stretch>
                  </pic:blipFill>
                  <pic:spPr bwMode="auto">
                    <a:xfrm>
                      <a:off x="0" y="0"/>
                      <a:ext cx="5334000" cy="1982992"/>
                    </a:xfrm>
                    <a:prstGeom prst="rect">
                      <a:avLst/>
                    </a:prstGeom>
                    <a:noFill/>
                    <a:ln w="9525">
                      <a:noFill/>
                      <a:headEnd/>
                      <a:tailEnd/>
                    </a:ln>
                  </pic:spPr>
                </pic:pic>
              </a:graphicData>
            </a:graphic>
          </wp:inline>
        </w:drawing>
      </w:r>
    </w:p>
    <w:p>
      <w:pPr>
        <w:pStyle w:val="ImageCaption"/>
      </w:pPr>
      <w:r>
        <w:rPr>
          <w:b/>
          <w:bCs/>
        </w:rPr>
        <w:t xml:space="preserve">Figura 3.</w:t>
      </w:r>
      <w:r>
        <w:t xml:space="preserve"> </w:t>
      </w:r>
      <w:r>
        <w:t xml:space="preserve">Candidatos que sobrevivem a cada triagem. Esquerda: sequências por espécie rotuladas como semelhantes a resistentes pelo escore de motivos da primeira rodada (regra circular) e pelo critério duro nas interpretações linear (frente L) e cíclica (frente M); direita: totais de 22.066 sequências.</w:t>
      </w:r>
    </w:p>
    <w:bookmarkEnd w:id="37"/>
    <w:bookmarkStart w:id="41" w:name="X180ba561e52d95f4625825c47eb965db4ba60f2"/>
    <w:p>
      <w:pPr>
        <w:pStyle w:val="Heading3"/>
      </w:pPr>
      <w:r>
        <w:t xml:space="preserve">3.4 Co-dobramento com o Boltz-2: reprodutibilidade, controles pareados e qualidade da pose</w:t>
      </w:r>
    </w:p>
    <w:p>
      <w:pPr>
        <w:pStyle w:val="FirstParagraph"/>
      </w:pPr>
      <w:r>
        <w:t xml:space="preserve">Os 527 candidatos lineares e 543 cíclicos foram todos preditos (E1; confiança média de 0,874 e 0,862). Prever 442 candidatos cíclicos uma segunda vez com entrada idêntica deu correlação de postos de apenas 0,57 entre execuções (diferença absoluta média 0,028; 0,21–0,69 por espécie), e as predições linear e cíclica da mesma sequência (n = 527) se correlacionaram em 0,50 (Figura 4). A concordância entre as duas modalidades é, portanto, próxima da concordância entre duas execuções da mesma modalidade, e uma única predição não separa um efeito da modalidade do ruído de amostragem. No E2, os dez melhores candidatos por espécie e frente foram re-preditos (15 predições cada): a confiança média caiu de 0,922 para 0,900 (linear) e de 0,911 para 0,888 (cíclico), a regressão esperada para um conjunto de topo; o desvio-padrão entre as 15 predições de um candidato foi em média de 0,019 e 0,022, da ordem da dispersão entre os dez candidatos de uma espécie, de modo que a ordem dentro de um top dez não é resolvida (Figura S4). Todo candidato teve ao menos uma amostra que passou no controle de qualidade de pose, e os 48 candidatos selecionados passaram, com a tríade catalítica íntegra (distância His57–Ser195 de 2,4–3,4 Å) e nenhum par de átomos pesados peptídeo–receptor a menos de 2,4 Å (Figura S5). A distância mínima ao carboxilato do Asp189 na estrutura inicial foi de 5 Å ou menos em 9 das 24 estruturas lineares e 18 das 24 cíclicas. Só três dos 48 contêm lisina ou arginina (o linear NGGRPDAP; os cíclicos PISQIDSGSR e GGKPGEP).</w:t>
      </w:r>
    </w:p>
    <w:p>
      <w:pPr>
        <w:pStyle w:val="BodyText"/>
      </w:pPr>
      <w:r>
        <w:t xml:space="preserve">A diferença pareada Δ frente a três controles embaralhados (E3) foi positiva em 63 dos 78 candidatos lineares (81%; mediana 0,013, intervalo interquartil 0,003–0,030) e em 60 dos 79 cíclicos (76%; mediana 0,014; os outros dois lineares e um cíclico dos 80 por frente são poli-glicina e não podem ser embaralhados); entre os 48 candidatos finais foi positiva em 23 de 24 lineares e 22 de 24 cíclicos. As diferenças são da ordem do desvio-padrão entre as 15 predições de um candidato (0,02), cada Δ se apoia em três controles, e os controles embaralhados de sequências ricas em glicina se parecem com o candidato (identidade média de 0,35 linear, 0,29 cíclico); um Δ positivo significa, portanto, que o candidato não pontuou abaixo de seus controles, e não que se liga; que sequências de poli-glicina, sem controle embaralhado, estejam entre as dez melhores pela confiança da primeira predição (E1) nas duas frentes aponta no mesmo sentido, pois um escore que premia um homopolímero não está medindo reconhecimento específico. A matriz cruzada (melhor candidato de cada espécie contra seu receptor e os outros sete) não mostrou preferência espécie-específica: o receptor próprio deu a maior confiança em 4 de 8 (linear) e 3 de 8 (cíclico) espécies, e o receptor explicou mais variação que o peptídeo (o modelo de</w:t>
      </w:r>
      <w:r>
        <w:t xml:space="preserve"> </w:t>
      </w:r>
      <w:r>
        <w:rPr>
          <w:i/>
          <w:iCs/>
        </w:rPr>
        <w:t xml:space="preserve">S. litura</w:t>
      </w:r>
      <w:r>
        <w:t xml:space="preserve"> </w:t>
      </w:r>
      <w:r>
        <w:t xml:space="preserve">deu a menor confiança média nas duas frentes). Como a confiança do Boltz-2 não é afinidade (Seção 3.2), isso não demonstra nem refuta seletividade.</w:t>
      </w:r>
    </w:p>
    <w:p>
      <w:pPr>
        <w:pStyle w:val="CaptionedFigure"/>
      </w:pPr>
      <w:r>
        <w:drawing>
          <wp:inline>
            <wp:extent cx="5334000" cy="2414733"/>
            <wp:effectExtent b="0" l="0" r="0" t="0"/>
            <wp:docPr descr="Figura 4. Reprodutibilidade da confiança do Boltz-2 na triagem de duas frentes. (A) Os mesmos 442 candidatos cíclicos preditos na primeira rodada e de novo na triagem de duas frentes, com entrada idêntica. (B) As mesmas 527 sequências preditas como cíclicas e como peptídeos lineares. A linha pontilhada é a identidade; ρ é a correlação de Spearman e |Δ| a diferença absoluta média." title="" id="39" name="Picture"/>
            <a:graphic>
              <a:graphicData uri="http://schemas.openxmlformats.org/drawingml/2006/picture">
                <pic:pic>
                  <pic:nvPicPr>
                    <pic:cNvPr descr="figures/pt/fig8_reprodutibilidade.png" id="40" name="Picture"/>
                    <pic:cNvPicPr>
                      <a:picLocks noChangeArrowheads="1" noChangeAspect="1"/>
                    </pic:cNvPicPr>
                  </pic:nvPicPr>
                  <pic:blipFill>
                    <a:blip r:embed="rId38"/>
                    <a:stretch>
                      <a:fillRect/>
                    </a:stretch>
                  </pic:blipFill>
                  <pic:spPr bwMode="auto">
                    <a:xfrm>
                      <a:off x="0" y="0"/>
                      <a:ext cx="5334000" cy="2414733"/>
                    </a:xfrm>
                    <a:prstGeom prst="rect">
                      <a:avLst/>
                    </a:prstGeom>
                    <a:noFill/>
                    <a:ln w="9525">
                      <a:noFill/>
                      <a:headEnd/>
                      <a:tailEnd/>
                    </a:ln>
                  </pic:spPr>
                </pic:pic>
              </a:graphicData>
            </a:graphic>
          </wp:inline>
        </w:drawing>
      </w:r>
    </w:p>
    <w:p>
      <w:pPr>
        <w:pStyle w:val="ImageCaption"/>
      </w:pPr>
      <w:r>
        <w:rPr>
          <w:b/>
          <w:bCs/>
        </w:rPr>
        <w:t xml:space="preserve">Figura 4.</w:t>
      </w:r>
      <w:r>
        <w:t xml:space="preserve"> </w:t>
      </w:r>
      <w:r>
        <w:t xml:space="preserve">Reprodutibilidade da confiança do Boltz-2 na triagem de duas frentes. (A) Os mesmos 442 candidatos cíclicos preditos na primeira rodada e de novo na triagem de duas frentes, com entrada idêntica. (B) As mesmas 527 sequências preditas como cíclicas e como peptídeos lineares. A linha pontilhada é a identidade; ρ é a correlação de Spearman e |Δ| a diferença absoluta média.</w:t>
      </w:r>
    </w:p>
    <w:bookmarkEnd w:id="41"/>
    <w:bookmarkStart w:id="45" w:name="simulações-de-10-ns-em-ph-100"/>
    <w:p>
      <w:pPr>
        <w:pStyle w:val="Heading3"/>
      </w:pPr>
      <w:r>
        <w:t xml:space="preserve">3.5 Simulações de 10 ns em pH 10,0</w:t>
      </w:r>
    </w:p>
    <w:p>
      <w:pPr>
        <w:pStyle w:val="FirstParagraph"/>
      </w:pPr>
      <w:r>
        <w:t xml:space="preserve">As 48 simulações (uma execução cada) terminaram e foram analisadas com o procedimento da Seção 2.7 (Figura 5). A distância mediana âncora–Asp189 subiu de 5,72 Å na janela inicial para 6,77 Å na janela final nos candidatos lineares, e de 5,07 para 6,11 Å nos cíclicos. Na janela final a âncora estava a até 4 Å do Asp189 em 2 de 24 simulações lineares e 2 de 24 cíclicas, e a mais de 10 Å em 6 e 4. A ocupância na segunda metade a 5 Å chegou a pelo menos 0,70 em 5 das 48: NGGRPDAP (âncora Arg, 1,00) e GQNDS (Gln, 1,00) na frente linear, e GGKPGEP (Lys, 1,00), GGHSE (His, 0,99) e GGGGH (His, 0,82) na frente cíclica. A âncora foi a mesma nas duas metades em 21 de 24 simulações lineares e 24 de 24 cíclicas. O peptídeo manteve algum contato com o receptor a até 4,5 Å em pelo menos 0,82 (linear) e 0,97 (cíclico) dos quadros, de modo que sair de S1 não significou dissociação; o contato com a serina e a histidina catalíticas esteve presente com a âncora longe de S1 e não discrimina. O RMSD final do peptídeo teve mediana de 0,56 nm (0,21–2,64) na frente linear e de 0,30 nm (0,16–1,69) na cíclica. Nas 24 simulações cíclicas o anel permaneceu fechado (C–N no máximo 1,462 Å); 11 cumpriram o critério estrito e os outros 13 ficaram abaixo do limite de ω (mínimo de 137,2–149,9°) em pelo menos um quadro, em 12 deles em menos de 2,2% dos quadros (Figura S6).</w:t>
      </w:r>
    </w:p>
    <w:p>
      <w:pPr>
        <w:pStyle w:val="BodyText"/>
      </w:pPr>
      <w:r>
        <w:rPr>
          <w:i/>
          <w:iCs/>
        </w:rPr>
        <w:t xml:space="preserve">A pose inicial decide o resultado.</w:t>
      </w:r>
      <w:r>
        <w:t xml:space="preserve"> </w:t>
      </w:r>
      <w:r>
        <w:t xml:space="preserve">Uma ocupância de pelo menos 0,70 na segunda metade ocorreu em 5 das 9 simulações cujo peptídeo partiu a até 4,0 Å do carboxilato do Asp189 e em nenhuma das 39 que partiram mais longe (teste exato de Fisher,</w:t>
      </w:r>
      <w:r>
        <w:t xml:space="preserve"> </w:t>
      </w:r>
      <w:r>
        <w:rPr>
          <w:i/>
          <w:iCs/>
        </w:rPr>
        <w:t xml:space="preserve">P</w:t>
      </w:r>
      <w:r>
        <w:t xml:space="preserve"> </w:t>
      </w:r>
      <w:r>
        <w:t xml:space="preserve">= 7 × 10^−5; descritivo, porque cada candidato foi executado uma vez e a âncora é definida</w:t>
      </w:r>
      <w:r>
        <w:t xml:space="preserve"> </w:t>
      </w:r>
      <w:r>
        <w:rPr>
          <w:i/>
          <w:iCs/>
        </w:rPr>
        <w:t xml:space="preserve">post hoc</w:t>
      </w:r>
      <w:r>
        <w:t xml:space="preserve">). As distâncias inicial e final se correlacionaram (ρ de Spearman = 0,63) e a distância inicial se relacionou inversamente com a ocupância (ρ = −0,63); a identidade da âncora não separou as cinco (Arg, Gln, Lys e duas His; três delas sem resíduo básico). A triagem de 10 ns re-relata, portanto, a pose proposta pelo Boltz-2: mede se uma pose já em S1 sobrevive, e um peptídeo colocado a 5 Å não recebe tempo para achar o bolso. Por isso a ocupância passou de critério a descrição (Seção 2.7).</w:t>
      </w:r>
    </w:p>
    <w:p>
      <w:pPr>
        <w:pStyle w:val="BodyText"/>
      </w:pPr>
      <w:r>
        <w:rPr>
          <w:i/>
          <w:iCs/>
        </w:rPr>
        <w:t xml:space="preserve">Escala de referência.</w:t>
      </w:r>
      <w:r>
        <w:t xml:space="preserve"> </w:t>
      </w:r>
      <w:r>
        <w:t xml:space="preserve">A análise idêntica dos complexos de calibração (receptor de</w:t>
      </w:r>
      <w:r>
        <w:t xml:space="preserve"> </w:t>
      </w:r>
      <w:r>
        <w:rPr>
          <w:i/>
          <w:iCs/>
        </w:rPr>
        <w:t xml:space="preserve">S. frugiperda</w:t>
      </w:r>
      <w:r>
        <w:t xml:space="preserve">; 2 ns; outro campo de força e pH) deu ocupância de 1,00 na segunda metade para as cinco iscas embaralhadas e para quatro dos seis inibidores; nos onze sistemas a âncora era uma lisina ou uma arginina, que chegam a S1 sempre que são colocadas ali (Brandsdal et al., 2006; Helland et al., 1999). A ocupância mede, portanto, a colocação, e não a discriminação entre ligante e isca. Também foram simulados, no mesmo protocolo, controles embaralhados dos candidatos (sete) e variantes com a âncora trocada por Asp ou Leu (oito); eles não são usados, porque a distância inicial ao Asp189 explicou o desfecho (os controles que partiram a até 2,74 Å chegaram todos a 1,00; as variantes partiram de 1,0 a 4,8 Å mais longe que seus originais), de modo que não separam sequência de pose. Pela regra fixada antes das rodadas, um controle que não separa é retirado das análises e das camadas; as análises estão no repositório.</w:t>
      </w:r>
    </w:p>
    <w:p>
      <w:pPr>
        <w:pStyle w:val="CaptionedFigure"/>
      </w:pPr>
      <w:r>
        <w:drawing>
          <wp:inline>
            <wp:extent cx="5334000" cy="5484607"/>
            <wp:effectExtent b="0" l="0" r="0" t="0"/>
            <wp:docPr descr="Figura 5. Simulações de triagem de 10 ns em pH 10,0 (CHARMM36, 300 K, uma execução cada; as 48 terminaram). (A) Distância do resíduo âncora ao carboxilato do Asp189 e (B) RMSD local do peptídeo (Cα, alinhado ao receptor) para os três candidatos de A. gemmatalis de cada frente (contínuo, tracejado e pontilhado: candidatos 1, 2 e 3). (C) Ocupância de S1 a 5 Å na primeira e na segunda metades das 48 simulações (círculo: passa na triagem como declarada originalmente; cruz: não passa; a linha tracejada é o nível de 70%, agora descritivo). (D) Por simulação, linear (em cima) e macrocíclica (embaixo): ocupância na segunda metade, contato com a serina catalítica e qualquer contato com o receptor; ✗ marca macrociclos que falharam no critério estrito do anel e ✓ os que o cumpriram." title="" id="43" name="Picture"/>
            <a:graphic>
              <a:graphicData uri="http://schemas.openxmlformats.org/drawingml/2006/picture">
                <pic:pic>
                  <pic:nvPicPr>
                    <pic:cNvPr descr="figures/pt/fig11_md_triagem_10ns.png" id="44" name="Picture"/>
                    <pic:cNvPicPr>
                      <a:picLocks noChangeArrowheads="1" noChangeAspect="1"/>
                    </pic:cNvPicPr>
                  </pic:nvPicPr>
                  <pic:blipFill>
                    <a:blip r:embed="rId42"/>
                    <a:stretch>
                      <a:fillRect/>
                    </a:stretch>
                  </pic:blipFill>
                  <pic:spPr bwMode="auto">
                    <a:xfrm>
                      <a:off x="0" y="0"/>
                      <a:ext cx="5334000" cy="5484607"/>
                    </a:xfrm>
                    <a:prstGeom prst="rect">
                      <a:avLst/>
                    </a:prstGeom>
                    <a:noFill/>
                    <a:ln w="9525">
                      <a:noFill/>
                      <a:headEnd/>
                      <a:tailEnd/>
                    </a:ln>
                  </pic:spPr>
                </pic:pic>
              </a:graphicData>
            </a:graphic>
          </wp:inline>
        </w:drawing>
      </w:r>
    </w:p>
    <w:p>
      <w:pPr>
        <w:pStyle w:val="ImageCaption"/>
      </w:pPr>
      <w:r>
        <w:rPr>
          <w:b/>
          <w:bCs/>
        </w:rPr>
        <w:t xml:space="preserve">Figura 5.</w:t>
      </w:r>
      <w:r>
        <w:t xml:space="preserve"> </w:t>
      </w:r>
      <w:r>
        <w:t xml:space="preserve">Simulações de triagem de 10 ns em pH 10,0 (CHARMM36, 300 K, uma execução cada; as 48 terminaram). (A) Distância do resíduo âncora ao carboxilato do Asp189 e (B) RMSD local do peptídeo (Cα, alinhado ao receptor) para os três candidatos de</w:t>
      </w:r>
      <w:r>
        <w:t xml:space="preserve"> </w:t>
      </w:r>
      <w:r>
        <w:rPr>
          <w:i/>
          <w:iCs/>
        </w:rPr>
        <w:t xml:space="preserve">A. gemmatalis</w:t>
      </w:r>
      <w:r>
        <w:t xml:space="preserve"> </w:t>
      </w:r>
      <w:r>
        <w:t xml:space="preserve">de cada frente (contínuo, tracejado e pontilhado: candidatos 1, 2 e 3). (C) Ocupância de S1 a 5 Å na primeira e na segunda metades das 48 simulações (círculo: passa na triagem como declarada originalmente; cruz: não passa; a linha tracejada é o nível de 70%, agora descritivo). (D) Por simulação, linear (em cima) e macrocíclica (embaixo): ocupância na segunda metade, contato com a serina catalítica e qualquer contato com o receptor; ✗ marca macrociclos que falharam no critério estrito do anel e ✓ os que o cumpriram.</w:t>
      </w:r>
    </w:p>
    <w:bookmarkEnd w:id="45"/>
    <w:bookmarkStart w:id="49" w:name="X89b5986abfa277ea9fc3aefc5e2c8fcf2c9ba8a"/>
    <w:p>
      <w:pPr>
        <w:pStyle w:val="Heading3"/>
      </w:pPr>
      <w:r>
        <w:t xml:space="preserve">3.6 Filtro de energia e classificação por etapa</w:t>
      </w:r>
    </w:p>
    <w:p>
      <w:pPr>
        <w:pStyle w:val="FirstParagraph"/>
      </w:pPr>
      <w:r>
        <w:t xml:space="preserve">O PRODIGY nas poses iniciais dos 48 candidatos (protonadas em pH 8,2) deu ΔG entre −12,2 e −7,1 kcal mol</w:t>
      </w:r>
      <w:r>
        <w:rPr>
          <w:vertAlign w:val="superscript"/>
        </w:rPr>
        <w:t xml:space="preserve">−1</w:t>
      </w:r>
      <w:r>
        <w:t xml:space="preserve"> </w:t>
      </w:r>
      <w:r>
        <w:t xml:space="preserve">(mediana −9,6) e acompanhou o tamanho do peptídeo (ρ de Spearman com o número de resíduos −0,60; com o número de contatos −0,62; Figura 6A). Os menores valores são dos macrociclos mais longos (QSPDFPNPPNNH −12,2 e QAPDFPTGPNQS −12,1, ambos de</w:t>
      </w:r>
      <w:r>
        <w:t xml:space="preserve"> </w:t>
      </w:r>
      <w:r>
        <w:rPr>
          <w:i/>
          <w:iCs/>
        </w:rPr>
        <w:t xml:space="preserve">S. litura</w:t>
      </w:r>
      <w:r>
        <w:t xml:space="preserve">), e o NGGRPDAP tem o menor valor da frente linear (−11,1); GQNDS, GGHSE e GGKPGEP têm −9,0, −8,8 e −9,7 (por resíduo: −1,80, −1,76 e −1,39 contra −1,39 do NGGRPDAP). Dada a calibração (Seção 3.2), esses valores ordenam candidatos de tamanho parecido e não são afinidades.</w:t>
      </w:r>
    </w:p>
    <w:p>
      <w:pPr>
        <w:pStyle w:val="BodyText"/>
      </w:pPr>
      <w:r>
        <w:t xml:space="preserve">A classificação por etapa entre os 33 candidatos que passaram nos portões (23 lineares, 10 cíclicos) com as seis etapas (confiança do Boltz-2 no E2, Δ, RMSD final do peptídeo, PRODIGY na pose, PRODIGY nos quadros da trajetória e MM-GBSA, as três últimas da simulação de pH 8,2) colocou NGGRPDAP (posto médio 6,7), GSNIN (7,0), PTTTQT (7,4), SGPIG (7,8) e TDETG (8,2) à frente na frente linear, e SGSTDIE (3,2), GQNDS (4,1), IYPETG (4,5), GGHSE (4,9) e GGSTDID (5,2) à frente na frente cíclica (Figura 6B). Os postos de um mesmo candidato variam muito entre as etapas (por exemplo, o NGGRPDAP está empatado em 2º pelo E2 e em 13º pelo Δ), de modo que a classificação agregada é uma triagem grosseira e não uma medida.</w:t>
      </w:r>
    </w:p>
    <w:p>
      <w:pPr>
        <w:pStyle w:val="BodyText"/>
      </w:pPr>
      <w:r>
        <w:t xml:space="preserve">O MM-GBSA e o PRODIGY também foram calculados na segunda metade das 48 simulações de pH 10,0 (Figura S10). O ΔG do MM-GBSA teve mediana de −24,8 kcal mol</w:t>
      </w:r>
      <w:r>
        <w:rPr>
          <w:vertAlign w:val="superscript"/>
        </w:rPr>
        <w:t xml:space="preserve">−1</w:t>
      </w:r>
      <w:r>
        <w:t xml:space="preserve"> </w:t>
      </w:r>
      <w:r>
        <w:t xml:space="preserve">(−65,0 a −4,1; erro padrão entre blocos de quadros, mediana 0,9), correlacionou-se fracamente com o comprimento do peptídeo (ρ = −0,29,</w:t>
      </w:r>
      <w:r>
        <w:t xml:space="preserve"> </w:t>
      </w:r>
      <w:r>
        <w:rPr>
          <w:i/>
          <w:iCs/>
        </w:rPr>
        <w:t xml:space="preserve">P</w:t>
      </w:r>
      <w:r>
        <w:t xml:space="preserve"> </w:t>
      </w:r>
      <w:r>
        <w:t xml:space="preserve">= 0,05) e com a distância final âncora–Asp189 (ρ = 0,37,</w:t>
      </w:r>
      <w:r>
        <w:t xml:space="preserve"> </w:t>
      </w:r>
      <w:r>
        <w:rPr>
          <w:i/>
          <w:iCs/>
        </w:rPr>
        <w:t xml:space="preserve">P</w:t>
      </w:r>
      <w:r>
        <w:t xml:space="preserve"> </w:t>
      </w:r>
      <w:r>
        <w:t xml:space="preserve">= 0,01), e foi mais favorável para os três peptídeos com lisina ou arginina (mediana −45,3 contra −23,2 dos outros 45; Mann–Whitney</w:t>
      </w:r>
      <w:r>
        <w:t xml:space="preserve"> </w:t>
      </w:r>
      <w:r>
        <w:rPr>
          <w:i/>
          <w:iCs/>
        </w:rPr>
        <w:t xml:space="preserve">P</w:t>
      </w:r>
      <w:r>
        <w:t xml:space="preserve"> </w:t>
      </w:r>
      <w:r>
        <w:t xml:space="preserve">= 0,014), como esperado de um escore que inclui a atração eletrostática pelo carboxilato do Asp189. Os valores mais favoráveis foram os do PISQIDSGSR (−65,0), QAPDFPTGPNNS (−56,5), QSPDFPNGPGQS (−54,5), GENGGPG (−47,3) e NGGRPDAP (−45,3). O PRODIGY em 30 quadros da mesma metade deu mediana de −8,2 kcal mol</w:t>
      </w:r>
      <w:r>
        <w:rPr>
          <w:vertAlign w:val="superscript"/>
        </w:rPr>
        <w:t xml:space="preserve">−1</w:t>
      </w:r>
      <w:r>
        <w:t xml:space="preserve"> </w:t>
      </w:r>
      <w:r>
        <w:t xml:space="preserve">(−11,4 a −6,5; ρ com o comprimento −0,37, com o MM-GBSA 0,61). Dada a calibração (Seção 3.2), esses valores ordenam candidatos e não são afinidades.</w:t>
      </w:r>
    </w:p>
    <w:p>
      <w:pPr>
        <w:pStyle w:val="BodyText"/>
      </w:pPr>
      <w:r>
        <w:t xml:space="preserve">O MM-GBSA e o PRODIGY foram calculados do mesmo modo na segunda metade das 48 simulações de pH 8,2 (</w:t>
      </w:r>
      <w:r>
        <w:rPr>
          <w:rStyle w:val="VerbatimChar"/>
        </w:rPr>
        <w:t xml:space="preserve">outputs/ranking_energy_final_all.*</w:t>
      </w:r>
      <w:r>
        <w:t xml:space="preserve">). O ΔG do MM-GBSA teve mediana de −26,7 kcal mol</w:t>
      </w:r>
      <w:r>
        <w:rPr>
          <w:vertAlign w:val="superscript"/>
        </w:rPr>
        <w:t xml:space="preserve">−1</w:t>
      </w:r>
      <w:r>
        <w:t xml:space="preserve"> </w:t>
      </w:r>
      <w:r>
        <w:t xml:space="preserve">(−53,3 a −2,0; erro padrão entre blocos de quadros, mediana 0,9) e o PRODIGY em 30 quadros, mediana de −8,4 kcal mol</w:t>
      </w:r>
      <w:r>
        <w:rPr>
          <w:vertAlign w:val="superscript"/>
        </w:rPr>
        <w:t xml:space="preserve">−1</w:t>
      </w:r>
      <w:r>
        <w:t xml:space="preserve"> </w:t>
      </w:r>
      <w:r>
        <w:t xml:space="preserve">(−11,9 a −6,7). Os valores mais favoráveis do MM-GBSA foram os do NGGRPDAP (−53,3), QAPDFPTGPNNS (−51,4), GSNIN (−48,2), PISQIDSGSR (−42,5) e GTPESNES (−42,2). A comparação com o pH 10,0 está na Seção 3.7.</w:t>
      </w:r>
    </w:p>
    <w:p>
      <w:pPr>
        <w:pStyle w:val="CaptionedFigure"/>
      </w:pPr>
      <w:r>
        <w:drawing>
          <wp:inline>
            <wp:extent cx="5334000" cy="4445418"/>
            <wp:effectExtent b="0" l="0" r="0" t="0"/>
            <wp:docPr descr="Figura 6. Filtro de energia e classificação por etapa. (A) ΔG do PRODIGY da pose inicial dos 48 candidatos contra o comprimento do peptídeo (ρ: Spearman). (B) Posto de cada candidato dentro de sua frente em cada etapa e o agregado (posto médio) para os dez melhores candidatos de cada frente entre os que passaram nos portões; etapas mostradas: confiança do Boltz-2 no E2, Δ pareado (E3), RMSD final do peptídeo, PRODIGY na pose, PRODIGY nos quadros da trajetória e MM-GBSA (as três últimas da simulação de pH 8,2). O número impresso na célula é o posto bruto (1 = melhor); a cor é esse posto em relação ao número de candidatos classificados na mesma frente (23 lineares, 10 macrocíclicos), porque um mesmo posto não significa o mesmo em conjuntos de tamanhos diferentes." title="" id="47" name="Picture"/>
            <a:graphic>
              <a:graphicData uri="http://schemas.openxmlformats.org/drawingml/2006/picture">
                <pic:pic>
                  <pic:nvPicPr>
                    <pic:cNvPr descr="figures/final/Figure6_energy_ranking.png" id="48" name="Picture"/>
                    <pic:cNvPicPr>
                      <a:picLocks noChangeArrowheads="1" noChangeAspect="1"/>
                    </pic:cNvPicPr>
                  </pic:nvPicPr>
                  <pic:blipFill>
                    <a:blip r:embed="rId46"/>
                    <a:stretch>
                      <a:fillRect/>
                    </a:stretch>
                  </pic:blipFill>
                  <pic:spPr bwMode="auto">
                    <a:xfrm>
                      <a:off x="0" y="0"/>
                      <a:ext cx="5334000" cy="4445418"/>
                    </a:xfrm>
                    <a:prstGeom prst="rect">
                      <a:avLst/>
                    </a:prstGeom>
                    <a:noFill/>
                    <a:ln w="9525">
                      <a:noFill/>
                      <a:headEnd/>
                      <a:tailEnd/>
                    </a:ln>
                  </pic:spPr>
                </pic:pic>
              </a:graphicData>
            </a:graphic>
          </wp:inline>
        </w:drawing>
      </w:r>
    </w:p>
    <w:p>
      <w:pPr>
        <w:pStyle w:val="ImageCaption"/>
      </w:pPr>
      <w:r>
        <w:rPr>
          <w:b/>
          <w:bCs/>
        </w:rPr>
        <w:t xml:space="preserve">Figura 6.</w:t>
      </w:r>
      <w:r>
        <w:t xml:space="preserve"> </w:t>
      </w:r>
      <w:r>
        <w:t xml:space="preserve">Filtro de energia e classificação por etapa. (A) ΔG do PRODIGY da pose inicial dos 48 candidatos contra o comprimento do peptídeo (ρ: Spearman). (B) Posto de cada candidato dentro de sua frente em cada etapa e o agregado (posto médio) para os dez melhores candidatos de cada frente entre os que passaram nos portões; etapas mostradas: confiança do Boltz-2 no E2, Δ pareado (E3), RMSD final do peptídeo, PRODIGY na pose, PRODIGY nos quadros da trajetória e MM-GBSA (as três últimas da simulação de pH 8,2). O número impresso na célula é o posto bruto (1 = melhor); a cor é esse posto em relação ao número de candidatos classificados na mesma frente (23 lineares, 10 macrocíclicos), porque um mesmo posto não significa o mesmo em conjuntos de tamanhos diferentes.</w:t>
      </w:r>
    </w:p>
    <w:bookmarkEnd w:id="49"/>
    <w:bookmarkStart w:id="53" w:name="ph-82-versus-ph-100"/>
    <w:p>
      <w:pPr>
        <w:pStyle w:val="Heading3"/>
      </w:pPr>
      <w:r>
        <w:t xml:space="preserve">3.7 pH 8,2 versus pH 10,0</w:t>
      </w:r>
    </w:p>
    <w:p>
      <w:pPr>
        <w:pStyle w:val="FirstParagraph"/>
      </w:pPr>
      <w:r>
        <w:t xml:space="preserve">Os dois pH foram simulados porque o intestino médio das lagartas de lepidópteros não tem um pH único: o lúmen é fortemente alcalino (Dow, 1992), com extratos de intestino de</w:t>
      </w:r>
      <w:r>
        <w:t xml:space="preserve"> </w:t>
      </w:r>
      <w:r>
        <w:rPr>
          <w:i/>
          <w:iCs/>
        </w:rPr>
        <w:t xml:space="preserve">H. virescens</w:t>
      </w:r>
      <w:r>
        <w:t xml:space="preserve"> </w:t>
      </w:r>
      <w:r>
        <w:t xml:space="preserve">em pH 9,56–10,0 (Karumbaiah et al., 2007), mas o valor difere entre espécies, e o pH 8,2 é também o dos ensaios enzimáticos contra os quais um Ki seria medido (Schultz et al., 2026). Um candidato que mantivesse sua posição em S1 nos dois pH seria eficaz ao longo da faixa encontrada nas espécies-alvo e, portanto, mais viável como agente de controle do que um que se ligasse em apenas um deles; este é o critério aplicado nesta seção, e a comparação pergunta se o resultado em um pH se reproduz no outro, não qual pH é melhor.</w:t>
      </w:r>
    </w:p>
    <w:p>
      <w:pPr>
        <w:pStyle w:val="BodyText"/>
      </w:pPr>
      <w:r>
        <w:t xml:space="preserve">As 48 simulações de pH 8,2 (24 lineares, 24 macrocíclicas) terminaram e estão pareadas na Figura 7 com os mesmos candidatos em pH 10,0 (mesma pose inicial; mudam apenas o estado de protonação atribuído pelo PROPKA, que diferiu em mediana de um resíduo por sistema, e o número de contraíons). A distância final âncora–Asp189 teve mediana de 6,40 Å em pH 8,2 contra 6,62 Å em pH 10,0 (Wilcoxon</w:t>
      </w:r>
      <w:r>
        <w:t xml:space="preserve"> </w:t>
      </w:r>
      <w:r>
        <w:rPr>
          <w:i/>
          <w:iCs/>
        </w:rPr>
        <w:t xml:space="preserve">P</w:t>
      </w:r>
      <w:r>
        <w:t xml:space="preserve"> </w:t>
      </w:r>
      <w:r>
        <w:t xml:space="preserve">= 0,16), a ocupância na segunda metade 0,01 contra 0,00 (</w:t>
      </w:r>
      <w:r>
        <w:rPr>
          <w:i/>
          <w:iCs/>
        </w:rPr>
        <w:t xml:space="preserve">P</w:t>
      </w:r>
      <w:r>
        <w:t xml:space="preserve"> </w:t>
      </w:r>
      <w:r>
        <w:t xml:space="preserve">= 0,88) e o RMSD final do peptídeo 0,43 contra 0,40 nm (</w:t>
      </w:r>
      <w:r>
        <w:rPr>
          <w:i/>
          <w:iCs/>
        </w:rPr>
        <w:t xml:space="preserve">P</w:t>
      </w:r>
      <w:r>
        <w:t xml:space="preserve"> </w:t>
      </w:r>
      <w:r>
        <w:t xml:space="preserve">= 0,63). A âncora esteve a menos de 4 Å do Asp189 na janela final em 4 simulações em cada pH, e a mais de 10 Å em 5 em pH 8,2 e 10 em pH 10,0. Uma ocupância de pelo menos 0,70 ocorreu em seis simulações de pH 8,2 (NGGRPDAP, GGKPGEP, os macrociclos PISQIDSGSR, GGHGGG e GGSDHT, e GENGGPG) e em cinco de pH 10,0 (NGGRPDAP, GGKPGEP, GQNDS linear, GGHSE e GGGGH); só NGGRPDAP e GGKPGEP a atingiram nos dois, quatro a atingiram apenas em pH 8,2 e três apenas em pH 10,0, e 39 dos 48 pares em nenhum. A ocupância diferiu em mais de 0,5 entre os pH em nove pares, nos dois sentidos. O desfecho em um pH previu o do outro de modo moderado para a distância final (ρ de Spearman = 0,51,</w:t>
      </w:r>
      <w:r>
        <w:t xml:space="preserve"> </w:t>
      </w:r>
      <w:r>
        <w:rPr>
          <w:i/>
          <w:iCs/>
        </w:rPr>
        <w:t xml:space="preserve">P</w:t>
      </w:r>
      <w:r>
        <w:t xml:space="preserve"> </w:t>
      </w:r>
      <w:r>
        <w:t xml:space="preserve">&lt; 0,001) e para a ocupância (ρ = 0,44,</w:t>
      </w:r>
      <w:r>
        <w:t xml:space="preserve"> </w:t>
      </w:r>
      <w:r>
        <w:rPr>
          <w:i/>
          <w:iCs/>
        </w:rPr>
        <w:t xml:space="preserve">P</w:t>
      </w:r>
      <w:r>
        <w:t xml:space="preserve"> </w:t>
      </w:r>
      <w:r>
        <w:t xml:space="preserve">= 0,002). O GQNDS linear ocupou S1 só na primeira metade em pH 8,2 (0,97 e depois 0,04), o GGHSE saiu (distância final 8,61 Å, ocupância 0,00; |ω| mínimo 149,5° contra 153,7° em pH 10,0) e o GGGGH também (0,07 contra 0,82; partiu de 4,11 Å contra 2,93 Å), ao passo que GGHGGG (0,91 contra 0,00), GGSDHT (1,00 contra 0,00), GENGGPG (0,85 contra 0,41) e PISQIDSGSR ficaram mais perto de S1 em pH 8,2. O PISQIDSGSR, macrociclo com âncora Arg, manteve a Arg em S1 em pH 8,2 (ocupância 1,00, distância final 2,80 Å, partiu de 3,21 Å) e a perdeu em pH 10,0 (0,33; 5,21 Å; partiu de 3,97 Å). NGGRPDAP e GGKPGEP, os dois peptídeos cuja âncora é um resíduo básico seguido de prolina (Arg e Lys), mantiveram S1 nos dois pH: ocupância 0,98 e 1,00 e distância final 2,84 e 2,74 Å para o NGGRPDAP; ocupância 1,00 nos dois pH e 2,71 Å para o GGKPGEP, cujo anel atendeu ao critério estrito em pH 8,2 (|ω| mínimo 156,7° contra 144,5° em pH 10,0).</w:t>
      </w:r>
      <w:r>
        <w:t xml:space="preserve"> </w:t>
      </w:r>
      <w:r>
        <w:rPr>
          <w:i/>
          <w:iCs/>
        </w:rPr>
        <w:t xml:space="preserve">A pose inicial decidiu aqui também:</w:t>
      </w:r>
      <w:r>
        <w:t xml:space="preserve"> </w:t>
      </w:r>
      <w:r>
        <w:t xml:space="preserve">cinco das nove simulações de pH 8,2 cujo peptídeo partiu a até 4,0 Å do Asp189 atingiram ocupância de pelo menos 0,70, e uma das 39 que partiram mais longe (GENGGPG, 4,57 Å; teste exato de Fisher,</w:t>
      </w:r>
      <w:r>
        <w:t xml:space="preserve"> </w:t>
      </w:r>
      <w:r>
        <w:rPr>
          <w:i/>
          <w:iCs/>
        </w:rPr>
        <w:t xml:space="preserve">P</w:t>
      </w:r>
      <w:r>
        <w:t xml:space="preserve"> </w:t>
      </w:r>
      <w:r>
        <w:t xml:space="preserve">= 4 × 10</w:t>
      </w:r>
      <w:r>
        <w:rPr>
          <w:vertAlign w:val="superscript"/>
        </w:rPr>
        <w:t xml:space="preserve">−4</w:t>
      </w:r>
      <w:r>
        <w:t xml:space="preserve">; ρ de Spearman entre distância inicial e ocupância −0,60), como em pH 10,0. Os escores de energia concordaram entre os pH: MM-GBSA ρ = 0,50 (</w:t>
      </w:r>
      <w:r>
        <w:rPr>
          <w:i/>
          <w:iCs/>
        </w:rPr>
        <w:t xml:space="preserve">P</w:t>
      </w:r>
      <w:r>
        <w:t xml:space="preserve"> </w:t>
      </w:r>
      <w:r>
        <w:t xml:space="preserve">&lt; 0,001; mediana −26,7 em pH 8,2 contra −24,8 kcal mol</w:t>
      </w:r>
      <w:r>
        <w:rPr>
          <w:vertAlign w:val="superscript"/>
        </w:rPr>
        <w:t xml:space="preserve">−1</w:t>
      </w:r>
      <w:r>
        <w:t xml:space="preserve"> </w:t>
      </w:r>
      <w:r>
        <w:t xml:space="preserve">em pH 10,0,</w:t>
      </w:r>
      <w:r>
        <w:t xml:space="preserve"> </w:t>
      </w:r>
      <w:r>
        <w:rPr>
          <w:i/>
          <w:iCs/>
        </w:rPr>
        <w:t xml:space="preserve">P</w:t>
      </w:r>
      <w:r>
        <w:t xml:space="preserve"> </w:t>
      </w:r>
      <w:r>
        <w:t xml:space="preserve">= 0,80) e PRODIGY nos quadros ρ = 0,60 (</w:t>
      </w:r>
      <w:r>
        <w:rPr>
          <w:i/>
          <w:iCs/>
        </w:rPr>
        <w:t xml:space="preserve">P</w:t>
      </w:r>
      <w:r>
        <w:t xml:space="preserve"> </w:t>
      </w:r>
      <w:r>
        <w:t xml:space="preserve">&lt; 0,001; −8,38 contra −8,21 kcal mol</w:t>
      </w:r>
      <w:r>
        <w:rPr>
          <w:vertAlign w:val="superscript"/>
        </w:rPr>
        <w:t xml:space="preserve">−1</w:t>
      </w:r>
      <w:r>
        <w:t xml:space="preserve">,</w:t>
      </w:r>
      <w:r>
        <w:t xml:space="preserve"> </w:t>
      </w:r>
      <w:r>
        <w:rPr>
          <w:i/>
          <w:iCs/>
        </w:rPr>
        <w:t xml:space="preserve">P</w:t>
      </w:r>
      <w:r>
        <w:t xml:space="preserve"> </w:t>
      </w:r>
      <w:r>
        <w:t xml:space="preserve">= 0,18). Em pH 8,2 o ΔG do MM-GBSA foi mais favorável para os três peptídeos com âncora de lisina ou arginina (NGGRPDAP, GGKPGEP e PISQIDSGSR; mediana −42,5 contra −25,9 kcal mol</w:t>
      </w:r>
      <w:r>
        <w:rPr>
          <w:vertAlign w:val="superscript"/>
        </w:rPr>
        <w:t xml:space="preserve">−1</w:t>
      </w:r>
      <w:r>
        <w:t xml:space="preserve"> </w:t>
      </w:r>
      <w:r>
        <w:t xml:space="preserve">para os outros 45; Mann–Whitney</w:t>
      </w:r>
      <w:r>
        <w:t xml:space="preserve"> </w:t>
      </w:r>
      <w:r>
        <w:rPr>
          <w:i/>
          <w:iCs/>
        </w:rPr>
        <w:t xml:space="preserve">P</w:t>
      </w:r>
      <w:r>
        <w:t xml:space="preserve"> </w:t>
      </w:r>
      <w:r>
        <w:t xml:space="preserve">= 0,041), no mesmo sentido do pH 10,0, e relacionou-se fracamente com a distância final (ρ = 0,29,</w:t>
      </w:r>
      <w:r>
        <w:t xml:space="preserve"> </w:t>
      </w:r>
      <w:r>
        <w:rPr>
          <w:i/>
          <w:iCs/>
        </w:rPr>
        <w:t xml:space="preserve">P</w:t>
      </w:r>
      <w:r>
        <w:t xml:space="preserve"> </w:t>
      </w:r>
      <w:r>
        <w:t xml:space="preserve">= 0,044). Cada candidato foi simulado uma vez por pH com semente diferente. Para estimar o piso de variação entre execuções, oito candidatos da lista curta (quatro por frente: GSNIN, GQNDS, PTTTQT e NGGRPDAP; GGHSE, IYPETG, SGSTDIE e GGKPGEP) foram simulados uma segunda vez em cada pH com outra semente (16 pares, 8 em cada pH). Eles não são uma amostra aleatória. A diferença absoluta mediana entre as duas execuções do mesmo pH foi de 0,31 Å (pH 10,0) e 1,37 Å (pH 8,2) na distância final âncora–Asp189, 0,03 (pH 10,0) e 0,05 (pH 8,2) na ocupância da segunda metade e 0,11 nm nos dois pH no RMSD do peptídeo, contra 1,36 Å, 0,04 e 0,18 nm entre pH nos 48 pares; a diferença entre execuções é, portanto, do mesmo tamanho que a diferença entre pH. As medianas escondem os casos que importam, porque a maioria das ocupâncias fica perto de zero: em três dos 16 pares a ocupância mudou em mais de 0,5 entre execuções do mesmo pH (GQNDS em pH 8,2, 0,04 e 0,73; GGHSE em pH 8,2, 0,00 e 0,88; IYPETG em pH 8,2, 0,57 e 0,00), e duas delas atravessaram o limite de 0,70. A perda de S1 pelo GGHSE em pH 8,2 e a ocupância só na primeira metade do GQNDS, portanto, não se reproduzem, e nenhuma mudança entre pH pode ser lida como efeito do pH. Só o NGGRPDAP (0,98 e 1,00 em pH 8,2; 1,00 e 1,00 em pH 10,0) e o GGKPGEP (1,00 nas duas execuções nos dois pH) repetiram a ocupância. As mudanças de ocupância entre pH foram nos dois sentidos, nenhuma diferença entre pH excede o que repetições do mesmo pH produzem, e a comparação entre pH não mostra diferença que passe em um teste pareado.</w:t>
      </w:r>
    </w:p>
    <w:p>
      <w:pPr>
        <w:pStyle w:val="CaptionedFigure"/>
      </w:pPr>
      <w:r>
        <w:drawing>
          <wp:inline>
            <wp:extent cx="5334000" cy="3704933"/>
            <wp:effectExtent b="0" l="0" r="0" t="0"/>
            <wp:docPr descr="Figura 7. Comparação das 48 simulações de pH 8,2 e pH 10,0 (uma execução por pH, com sementes diferentes). (A, B) Distância final âncora–Asp189 e ocupância de S1 a 5 Å na segunda metade, pareadas (linhas pontilhadas: 4 Å e 0,70; teste de Wilcoxon de postos sinalizados). (C–E) pH 8,2 contra pH 10,0 para a distância final, o ΔG do MM-GBSA e o ΔG do PRODIGY nos quadros da trajetória (linha pontilhada: identidade; ρ: correlação de Spearman). Azul: linear; verde-azulado: macrociclo; em destaque: NGGRPDAP, GGKPGEP, GQNDS e GGHSE." title="" id="51" name="Picture"/>
            <a:graphic>
              <a:graphicData uri="http://schemas.openxmlformats.org/drawingml/2006/picture">
                <pic:pic>
                  <pic:nvPicPr>
                    <pic:cNvPr descr="figures/final/Figure7_pH_comparison.png" id="52" name="Picture"/>
                    <pic:cNvPicPr>
                      <a:picLocks noChangeArrowheads="1" noChangeAspect="1"/>
                    </pic:cNvPicPr>
                  </pic:nvPicPr>
                  <pic:blipFill>
                    <a:blip r:embed="rId50"/>
                    <a:stretch>
                      <a:fillRect/>
                    </a:stretch>
                  </pic:blipFill>
                  <pic:spPr bwMode="auto">
                    <a:xfrm>
                      <a:off x="0" y="0"/>
                      <a:ext cx="5334000" cy="3704933"/>
                    </a:xfrm>
                    <a:prstGeom prst="rect">
                      <a:avLst/>
                    </a:prstGeom>
                    <a:noFill/>
                    <a:ln w="9525">
                      <a:noFill/>
                      <a:headEnd/>
                      <a:tailEnd/>
                    </a:ln>
                  </pic:spPr>
                </pic:pic>
              </a:graphicData>
            </a:graphic>
          </wp:inline>
        </w:drawing>
      </w:r>
    </w:p>
    <w:p>
      <w:pPr>
        <w:pStyle w:val="ImageCaption"/>
      </w:pPr>
      <w:r>
        <w:rPr>
          <w:b/>
          <w:bCs/>
        </w:rPr>
        <w:t xml:space="preserve">Figura 7.</w:t>
      </w:r>
      <w:r>
        <w:t xml:space="preserve"> </w:t>
      </w:r>
      <w:r>
        <w:t xml:space="preserve">Comparação das 48 simulações de pH 8,2 e pH 10,0 (uma execução por pH, com sementes diferentes). (A, B) Distância final âncora–Asp189 e ocupância de S1 a 5 Å na segunda metade, pareadas (linhas pontilhadas: 4 Å e 0,70; teste de Wilcoxon de postos sinalizados). (C–E) pH 8,2 contra pH 10,0 para a distância final, o ΔG do MM-GBSA e o ΔG do PRODIGY nos quadros da trajetória (linha pontilhada: identidade; ρ: correlação de Spearman). Azul: linear; verde-azulado: macrociclo; em destaque: NGGRPDAP, GGKPGEP, GQNDS e GGHSE.</w:t>
      </w:r>
    </w:p>
    <w:bookmarkEnd w:id="53"/>
    <w:bookmarkStart w:id="57" w:name="peptídeos-candidatos"/>
    <w:p>
      <w:pPr>
        <w:pStyle w:val="Heading3"/>
      </w:pPr>
      <w:r>
        <w:t xml:space="preserve">3.8 Peptídeos candidatos</w:t>
      </w:r>
    </w:p>
    <w:p>
      <w:pPr>
        <w:pStyle w:val="FirstParagraph"/>
      </w:pPr>
      <w:r>
        <w:t xml:space="preserve">Quatro peptídeos se destacam pelos critérios declarados de antemão e pelas etapas acima (Tabela 4, Figura 8). O GGHSE (</w:t>
      </w:r>
      <w:r>
        <w:rPr>
          <w:i/>
          <w:iCs/>
        </w:rPr>
        <w:t xml:space="preserve">S. frugiperda</w:t>
      </w:r>
      <w:r>
        <w:t xml:space="preserve">, cíclico) é a única simulação de pH 10,0 que combinou ocupância de pelo menos 0,70 com o critério estrito do anel; em pH 8,2 ele saiu de S1 em uma execução e a manteve na repetição (ocupância 0,00 e 0,88; Seção 3.7). O GQNDS (</w:t>
      </w:r>
      <w:r>
        <w:rPr>
          <w:i/>
          <w:iCs/>
        </w:rPr>
        <w:t xml:space="preserve">O. nubilalis</w:t>
      </w:r>
      <w:r>
        <w:t xml:space="preserve">, linear) chegou a ocupância de 1,00 com âncora Gln em pH 10,0, mas em pH 8,2 ocupou S1 só na primeira metade de uma execução e em 0,73 da segunda metade de sua repetição. O NGGRPDAP (</w:t>
      </w:r>
      <w:r>
        <w:rPr>
          <w:i/>
          <w:iCs/>
        </w:rPr>
        <w:t xml:space="preserve">A. gemmatalis</w:t>
      </w:r>
      <w:r>
        <w:t xml:space="preserve">, linear) tem uma Arg em S1 seguida de prolina, o mecanismo canônico, e o menor ΔG do PRODIGY da frente linear; com o GGKPGEP, é um dos dois dos quatro cuja ocupância de S1 apareceu nos dois pH (uma execução cada), e teve o MM-GBSA mais favorável das 48 simulações de pH 8,2 (−53,3 kcal mol</w:t>
      </w:r>
      <w:r>
        <w:rPr>
          <w:vertAlign w:val="superscript"/>
        </w:rPr>
        <w:t xml:space="preserve">−1</w:t>
      </w:r>
      <w:r>
        <w:t xml:space="preserve">) e o quinto em pH 10,0 (−45,3). O GGKPGEP (</w:t>
      </w:r>
      <w:r>
        <w:rPr>
          <w:i/>
          <w:iCs/>
        </w:rPr>
        <w:t xml:space="preserve">A. gemmatalis</w:t>
      </w:r>
      <w:r>
        <w:t xml:space="preserve">, cíclico) tem a menor distância final âncora–Asp189 (2,71 Å) e uma Lys seguida de prolina, mas em pH 10,0 fica abaixo do limite de ω do critério estrito do anel (mínimo de 144,5° contra 150°; 156,7° em pH 8,2, onde também manteve S1). Os quatro partiram com a âncora a até 4,0 Å do Asp189 (Seção 3.5), e nem a pose inicial do Boltz-2 nem a simulação de 10 ns os separa de uma sequência embaralhada; são candidatos que sobreviveram aos filtros disponíveis, e nenhum carrega alegação de seletividade ou atividade. Os 48 candidatos também foram classificados em camadas A–C pelos critérios declarados antes das simulações (23 A e 1 B lineares; 10 A, 13 B e 1 C cíclicos; Figura S7); a camada A exclui poucos candidatos e não discrimina entre os demais.</w:t>
      </w:r>
    </w:p>
    <w:p>
      <w:pPr>
        <w:pStyle w:val="BodyText"/>
      </w:pPr>
      <w:r>
        <w:t xml:space="preserve">Lisina ou arginina seguida de prolina é só uma barreira estatística para a tripsina: a clivagem antes de prolina é observada em grandes conjuntos de espectros de peptídeos (Rodriguez et al., 2008) e é mais lenta, não ausente, ao lado de prolina ou de resíduos carregados (Pan et al., 2014). Inibidores que se ligam como substratos também são clivados no sítio reativo, em uma extensão dada pelo equilíbrio entre a forma intacta e a clivada (Song e Markley, 2003), e a tripsina pode tanto clivar quanto refazer a ligação Lys–Ser do sítio reativo de análogos do SFTI-1 (Karna et al., 2015). As simulações, portanto, não podem mostrar que um peptídeo resiste à proteólise, mas podem mostrar se a serina catalítica está posicionada para atacar a ligação K/R–Pro. Nas 20 execuções dos cinco peptídeos analisados (GGKPGEP, NGGRPDAP, PISQIDSGSR, GGHSE e GQNDS, com as repetições nos dois pH), uma conformação quase de ataque de qualquer ligação apareceu em uma única execução (1,6% dos quadros da segunda metade, na ligação Gly3–Arg4 do NGGRPDAP). A distância mediana do Oγ da Ser195 ao carbono da ligação K/R–Pro foi de 5,3–5,4 Å (mínimo 3,8–4,2 Å) para o GGKPGEP em pH 10,0 e 6,7–7,6 Å em pH 8,2, 4,7–5,0 Å (mínimo 4,2–4,4 Å) para o NGGRPDAP em pH 10,0 e 4,7–5,5 Å em pH 8,2, e 9,2–9,5 Å para a ligação Arg10–Pro1 do PISQIDSGSR. Na maioria das execuções a carbonila mais próxima da serina foi a que antecede a âncora (Gly2–Lys3 no GGKPGEP, Gly3–Arg4 no NGGRPDAP, a menos de 4 Å em 19–88% dos quadros do NGGRPDAP e em no máximo 23% dos do GGKPGEP), uma ligação glicina–resíduo básico que não é sítio de tripsina, o que sugere que o registro do peptídeo está deslocado de um resíduo em relação a um substrato canônico. Peptídeos tão curtos e ricos em glicina provavelmente são móveis, e em simulações de QM/MM do SFTI-1 e de análogos a taxa de hidrólise aumentou com a mobilidade do inibidor, ao passo que a cadeia cíclica e as ligações de hidrogênio intramoleculares a reduziram (Wei et al., 2019). Isso é uma propriedade de simulações clássicas de 10 ns que partem de uma pose predita e não mede catálise.</w:t>
      </w:r>
    </w:p>
    <w:p>
      <w:pPr>
        <w:pStyle w:val="BodyText"/>
      </w:pPr>
      <w:r>
        <w:rPr>
          <w:i/>
          <w:iCs/>
        </w:rPr>
        <w:t xml:space="preserve">Uma linha de base interna para a prolina protetora.</w:t>
      </w:r>
      <w:r>
        <w:t xml:space="preserve"> </w:t>
      </w:r>
      <w:r>
        <w:t xml:space="preserve">A pergunta que esses números precisam responder é se uma lisina ou arginina interna é clivada, e um dos controles embaralhados da Seção 3.5 fornece a linha de base. O PGRGDANP tem a composição do NGGRPDAP e foi simulado com o mesmo receptor de</w:t>
      </w:r>
      <w:r>
        <w:t xml:space="preserve"> </w:t>
      </w:r>
      <w:r>
        <w:rPr>
          <w:i/>
          <w:iCs/>
        </w:rPr>
        <w:t xml:space="preserve">A. gemmatalis</w:t>
      </w:r>
      <w:r>
        <w:t xml:space="preserve">, o mesmo campo de força e o mesmo protocolo em pH 10,0; seu Arg3 foi a âncora, a 2,73 Å do carboxilato do Asp189 tanto na janela inicial quanto na final, com ocupância de S1 de 1,00 — a mesma profundidade e a mesma exposição do Arg4 do NGGRPDAP (2,78 e 2,74 Å, ocupância 1,00). Os dois diferem no resíduo que segue o básico: glicina no controle, prolina no candidato. No controle, a ligação Arg3–Gly4 teve distância mediana do Oγ da Ser195 ao carbono de 3,68 Å (mínimo 3,03 Å), ficou a menos de 4 Å em 75,7% dos quadros da segunda metade e atingiu conformação quase de ataque em 8,0% deles. Nas nove execuções que carregam um sítio protegido por prolina — quatro do NGGRPDAP, quatro do GGKPGEP e uma do GGEKPPG, o controle embaralhado do GGKPGEP, em que a lisina também cai antes de uma prolina —, a fração quase de ataque foi de 0,0% sem exceção, e a ligação cindível só chegou a menos de 4 Å em 0,8% dos quadros de uma execução do GGKPGEP (Figura S11). A análise, portanto, registra a geometria de ataque quando o sítio de tripsina está exposto e não registra nenhuma quando há uma prolina em seguida, com a ocupância de S1 pareada.</w:t>
      </w:r>
    </w:p>
    <w:p>
      <w:pPr>
        <w:pStyle w:val="BodyText"/>
      </w:pPr>
      <w:r>
        <w:t xml:space="preserve">Esses controles foram simulados para outra pergunta — se a ocupância de S1 separa sequência de pose inicial —, que não responderam (Seção 3.5); a distância inicial pareada que os tornou inúteis lá é o que os torna uma linha de base válida aqui. A comparação se apoia em um sítio exposto, uma execução e um pH; uma fração quase de ataque não é uma taxa; e o critério é geométrico, não codifica especificidade, e é por isso que a ligação que mais se aproxima da serina nos peptídeos protegidos, a ligação glicina–resíduo básico que antecede a âncora, não é risco de clivagem para uma enzima que exige lisina ou arginina em P1. O resultado também nada diz sobre exopeptidases: o critério duro avalia o resíduo C-terminal, mas não a aminopeptidase N, que processa um N-terminal livre qualquer que seja a sequência interna; vale, portanto, sem ressalva para o macrociclo e, no peptídeo linear, só para as ligações internas. Um ensaio de estabilidade com tripsina e extrato do intestino médio das lagartas continua sendo o teste decisivo.</w:t>
      </w:r>
    </w:p>
    <w:p>
      <w:pPr>
        <w:pStyle w:val="BodyText"/>
      </w:pPr>
      <w:r>
        <w:rPr>
          <w:b/>
          <w:bCs/>
        </w:rPr>
        <w:t xml:space="preserve">Tabela 4.</w:t>
      </w:r>
      <w:r>
        <w:t xml:space="preserve"> </w:t>
      </w:r>
      <w:r>
        <w:t xml:space="preserve">Candidatos da lista curta. Inicial e final: distância âncora–Asp189 nas janelas inicial e final da simulação de 10 ns em pH 10,0. Ocup.: ocupância a 5 Å na segunda metade (descritiva). ΔG PRODIGY: pose inicial; entre parênteses, por resíduo. MM-GBSA: segunda metade da simulação de 10 ns em pH 10,0 e em pH 8,2 (uma execução cada). As colunas de ocupância e anel referem-se a pH 10,0.</w:t>
      </w:r>
    </w:p>
    <w:tbl>
      <w:tblPr>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spacing w:line="240" w:lineRule="auto"/>
            </w:pPr>
            <w:r>
              <w:rPr>
                <w:b/>
                <w:sz w:val="18"/>
              </w:rPr>
              <w:t xml:space="preserve">Peptídeo</w:t>
            </w:r>
          </w:p>
        </w:tc>
        <w:tc>
          <w:tcPr/>
          <w:p>
            <w:pPr>
              <w:pStyle w:val="Compact"/>
              <w:spacing w:line="240" w:lineRule="auto"/>
            </w:pPr>
            <w:r>
              <w:rPr>
                <w:b/>
                <w:sz w:val="18"/>
              </w:rPr>
              <w:t xml:space="preserve">Frente</w:t>
            </w:r>
          </w:p>
        </w:tc>
        <w:tc>
          <w:tcPr/>
          <w:p>
            <w:pPr>
              <w:pStyle w:val="Compact"/>
              <w:spacing w:line="240" w:lineRule="auto"/>
            </w:pPr>
            <w:r>
              <w:rPr>
                <w:b/>
                <w:sz w:val="18"/>
              </w:rPr>
              <w:t xml:space="preserve">Espécie</w:t>
            </w:r>
          </w:p>
        </w:tc>
        <w:tc>
          <w:tcPr/>
          <w:p>
            <w:pPr>
              <w:pStyle w:val="Compact"/>
              <w:spacing w:line="240" w:lineRule="auto"/>
            </w:pPr>
            <w:r>
              <w:rPr>
                <w:b/>
                <w:sz w:val="18"/>
              </w:rPr>
              <w:t xml:space="preserve">Comprimento</w:t>
            </w:r>
          </w:p>
        </w:tc>
        <w:tc>
          <w:tcPr/>
          <w:p>
            <w:pPr>
              <w:pStyle w:val="Compact"/>
              <w:spacing w:line="240" w:lineRule="auto"/>
            </w:pPr>
            <w:r>
              <w:rPr>
                <w:b/>
                <w:sz w:val="18"/>
              </w:rPr>
              <w:t xml:space="preserve">Conf. E2</w:t>
            </w:r>
          </w:p>
        </w:tc>
        <w:tc>
          <w:tcPr/>
          <w:p>
            <w:pPr>
              <w:pStyle w:val="Compact"/>
              <w:spacing w:line="240" w:lineRule="auto"/>
            </w:pPr>
            <w:r>
              <w:rPr>
                <w:b/>
                <w:sz w:val="18"/>
              </w:rPr>
              <w:t xml:space="preserve">Δ (E3)</w:t>
            </w:r>
          </w:p>
        </w:tc>
        <w:tc>
          <w:tcPr/>
          <w:p>
            <w:pPr>
              <w:pStyle w:val="Compact"/>
              <w:spacing w:line="240" w:lineRule="auto"/>
            </w:pPr>
            <w:r>
              <w:rPr>
                <w:b/>
                <w:sz w:val="18"/>
              </w:rPr>
              <w:t xml:space="preserve">Âncora</w:t>
            </w:r>
          </w:p>
        </w:tc>
        <w:tc>
          <w:tcPr/>
          <w:p>
            <w:pPr>
              <w:pStyle w:val="Compact"/>
              <w:spacing w:line="240" w:lineRule="auto"/>
            </w:pPr>
            <w:r>
              <w:rPr>
                <w:b/>
                <w:sz w:val="18"/>
              </w:rPr>
              <w:t xml:space="preserve">Inicial (Å)</w:t>
            </w:r>
          </w:p>
        </w:tc>
        <w:tc>
          <w:tcPr/>
          <w:p>
            <w:pPr>
              <w:pStyle w:val="Compact"/>
              <w:spacing w:line="240" w:lineRule="auto"/>
            </w:pPr>
            <w:r>
              <w:rPr>
                <w:b/>
                <w:sz w:val="18"/>
              </w:rPr>
              <w:t xml:space="preserve">Final (Å)</w:t>
            </w:r>
          </w:p>
        </w:tc>
        <w:tc>
          <w:tcPr/>
          <w:p>
            <w:pPr>
              <w:pStyle w:val="Compact"/>
              <w:spacing w:line="240" w:lineRule="auto"/>
            </w:pPr>
            <w:r>
              <w:rPr>
                <w:b/>
                <w:sz w:val="18"/>
              </w:rPr>
              <w:t xml:space="preserve">Ocup.</w:t>
            </w:r>
          </w:p>
        </w:tc>
        <w:tc>
          <w:tcPr/>
          <w:p>
            <w:pPr>
              <w:pStyle w:val="Compact"/>
              <w:spacing w:line="240" w:lineRule="auto"/>
            </w:pPr>
            <w:r>
              <w:rPr>
                <w:b/>
                <w:sz w:val="18"/>
              </w:rPr>
              <w:t xml:space="preserve">Anel</w:t>
            </w:r>
          </w:p>
        </w:tc>
        <w:tc>
          <w:tcPr/>
          <w:p>
            <w:pPr>
              <w:pStyle w:val="Compact"/>
              <w:spacing w:line="240" w:lineRule="auto"/>
            </w:pPr>
            <w:r>
              <w:rPr>
                <w:b/>
                <w:sz w:val="18"/>
              </w:rPr>
              <w:t xml:space="preserve">ΔG PRODIGY (kcal mol</w:t>
            </w:r>
            <w:r>
              <w:rPr>
                <w:b/>
                <w:sz w:val="18"/>
                <w:vertAlign w:val="superscript"/>
              </w:rPr>
              <w:t xml:space="preserve">−1</w:t>
            </w:r>
            <w:r>
              <w:rPr>
                <w:b/>
                <w:sz w:val="18"/>
              </w:rPr>
              <w:t xml:space="preserve">)</w:t>
            </w:r>
          </w:p>
        </w:tc>
        <w:tc>
          <w:tcPr/>
          <w:p>
            <w:pPr>
              <w:pStyle w:val="Compact"/>
              <w:spacing w:line="240" w:lineRule="auto"/>
            </w:pPr>
            <w:r>
              <w:rPr>
                <w:b/>
                <w:sz w:val="18"/>
              </w:rPr>
              <w:t xml:space="preserve">MM-GBSA pH 10,0 / 8,2 (kcal mol</w:t>
            </w:r>
            <w:r>
              <w:rPr>
                <w:b/>
                <w:sz w:val="18"/>
                <w:vertAlign w:val="superscript"/>
              </w:rPr>
              <w:t xml:space="preserve">−1</w:t>
            </w:r>
            <w:r>
              <w:rPr>
                <w:b/>
                <w:sz w:val="18"/>
              </w:rPr>
              <w:t xml:space="preserve">)</w:t>
            </w:r>
          </w:p>
        </w:tc>
      </w:tr>
      <w:tr>
        <w:tc>
          <w:tcPr/>
          <w:p>
            <w:pPr>
              <w:pStyle w:val="Compact"/>
              <w:spacing w:line="240" w:lineRule="auto"/>
            </w:pPr>
            <w:r>
              <w:rPr>
                <w:sz w:val="18"/>
              </w:rPr>
              <w:t xml:space="preserve">NGGRPDAP</w:t>
            </w:r>
          </w:p>
        </w:tc>
        <w:tc>
          <w:tcPr/>
          <w:p>
            <w:pPr>
              <w:pStyle w:val="Compact"/>
              <w:spacing w:line="240" w:lineRule="auto"/>
            </w:pPr>
            <w:r>
              <w:rPr>
                <w:sz w:val="18"/>
              </w:rPr>
              <w:t xml:space="preserve">linear</w:t>
            </w:r>
          </w:p>
        </w:tc>
        <w:tc>
          <w:tcPr/>
          <w:p>
            <w:pPr>
              <w:pStyle w:val="Compact"/>
              <w:spacing w:line="240" w:lineRule="auto"/>
            </w:pPr>
            <w:r>
              <w:rPr>
                <w:i/>
                <w:iCs/>
                <w:sz w:val="18"/>
              </w:rPr>
              <w:t xml:space="preserve">A. gemmatalis</w:t>
            </w:r>
          </w:p>
        </w:tc>
        <w:tc>
          <w:tcPr/>
          <w:p>
            <w:pPr>
              <w:pStyle w:val="Compact"/>
              <w:spacing w:line="240" w:lineRule="auto"/>
            </w:pPr>
            <w:r>
              <w:rPr>
                <w:sz w:val="18"/>
              </w:rPr>
              <w:t xml:space="preserve">8</w:t>
            </w:r>
          </w:p>
        </w:tc>
        <w:tc>
          <w:tcPr/>
          <w:p>
            <w:pPr>
              <w:pStyle w:val="Compact"/>
              <w:spacing w:line="240" w:lineRule="auto"/>
            </w:pPr>
            <w:r>
              <w:rPr>
                <w:sz w:val="18"/>
              </w:rPr>
              <w:t xml:space="preserve">0,937</w:t>
            </w:r>
          </w:p>
        </w:tc>
        <w:tc>
          <w:tcPr/>
          <w:p>
            <w:pPr>
              <w:pStyle w:val="Compact"/>
              <w:spacing w:line="240" w:lineRule="auto"/>
            </w:pPr>
            <w:r>
              <w:rPr>
                <w:sz w:val="18"/>
              </w:rPr>
              <w:t xml:space="preserve">0,030</w:t>
            </w:r>
          </w:p>
        </w:tc>
        <w:tc>
          <w:tcPr/>
          <w:p>
            <w:pPr>
              <w:pStyle w:val="Compact"/>
              <w:spacing w:line="240" w:lineRule="auto"/>
            </w:pPr>
            <w:r>
              <w:rPr>
                <w:sz w:val="18"/>
              </w:rPr>
              <w:t xml:space="preserve">Arg</w:t>
            </w:r>
          </w:p>
        </w:tc>
        <w:tc>
          <w:tcPr/>
          <w:p>
            <w:pPr>
              <w:pStyle w:val="Compact"/>
              <w:spacing w:line="240" w:lineRule="auto"/>
            </w:pPr>
            <w:r>
              <w:rPr>
                <w:sz w:val="18"/>
              </w:rPr>
              <w:t xml:space="preserve">2,78</w:t>
            </w:r>
          </w:p>
        </w:tc>
        <w:tc>
          <w:tcPr/>
          <w:p>
            <w:pPr>
              <w:pStyle w:val="Compact"/>
              <w:spacing w:line="240" w:lineRule="auto"/>
            </w:pPr>
            <w:r>
              <w:rPr>
                <w:sz w:val="18"/>
              </w:rPr>
              <w:t xml:space="preserve">2,74</w:t>
            </w:r>
          </w:p>
        </w:tc>
        <w:tc>
          <w:tcPr/>
          <w:p>
            <w:pPr>
              <w:pStyle w:val="Compact"/>
              <w:spacing w:line="240" w:lineRule="auto"/>
            </w:pPr>
            <w:r>
              <w:rPr>
                <w:sz w:val="18"/>
              </w:rPr>
              <w:t xml:space="preserve">1,00</w:t>
            </w:r>
          </w:p>
        </w:tc>
        <w:tc>
          <w:tcPr/>
          <w:p>
            <w:pPr>
              <w:pStyle w:val="Compact"/>
              <w:spacing w:line="240" w:lineRule="auto"/>
            </w:pPr>
            <w:r>
              <w:rPr>
                <w:sz w:val="18"/>
              </w:rPr>
              <w:t xml:space="preserve">–</w:t>
            </w:r>
          </w:p>
        </w:tc>
        <w:tc>
          <w:tcPr/>
          <w:p>
            <w:pPr>
              <w:pStyle w:val="Compact"/>
              <w:spacing w:line="240" w:lineRule="auto"/>
            </w:pPr>
            <w:r>
              <w:rPr>
                <w:sz w:val="18"/>
              </w:rPr>
              <w:t xml:space="preserve">−11,1 (−1,39)</w:t>
            </w:r>
          </w:p>
        </w:tc>
        <w:tc>
          <w:tcPr/>
          <w:p>
            <w:pPr>
              <w:pStyle w:val="Compact"/>
              <w:spacing w:line="240" w:lineRule="auto"/>
            </w:pPr>
            <w:r>
              <w:rPr>
                <w:sz w:val="18"/>
              </w:rPr>
              <w:t xml:space="preserve">−45,3 / −53,3</w:t>
            </w:r>
          </w:p>
        </w:tc>
      </w:tr>
      <w:tr>
        <w:tc>
          <w:tcPr/>
          <w:p>
            <w:pPr>
              <w:pStyle w:val="Compact"/>
              <w:spacing w:line="240" w:lineRule="auto"/>
            </w:pPr>
            <w:r>
              <w:rPr>
                <w:sz w:val="18"/>
              </w:rPr>
              <w:t xml:space="preserve">GQNDS</w:t>
            </w:r>
          </w:p>
        </w:tc>
        <w:tc>
          <w:tcPr/>
          <w:p>
            <w:pPr>
              <w:pStyle w:val="Compact"/>
              <w:spacing w:line="240" w:lineRule="auto"/>
            </w:pPr>
            <w:r>
              <w:rPr>
                <w:sz w:val="18"/>
              </w:rPr>
              <w:t xml:space="preserve">linear</w:t>
            </w:r>
          </w:p>
        </w:tc>
        <w:tc>
          <w:tcPr/>
          <w:p>
            <w:pPr>
              <w:pStyle w:val="Compact"/>
              <w:spacing w:line="240" w:lineRule="auto"/>
            </w:pPr>
            <w:r>
              <w:rPr>
                <w:i/>
                <w:iCs/>
                <w:sz w:val="18"/>
              </w:rPr>
              <w:t xml:space="preserve">O. nubilalis</w:t>
            </w:r>
          </w:p>
        </w:tc>
        <w:tc>
          <w:tcPr/>
          <w:p>
            <w:pPr>
              <w:pStyle w:val="Compact"/>
              <w:spacing w:line="240" w:lineRule="auto"/>
            </w:pPr>
            <w:r>
              <w:rPr>
                <w:sz w:val="18"/>
              </w:rPr>
              <w:t xml:space="preserve">5</w:t>
            </w:r>
          </w:p>
        </w:tc>
        <w:tc>
          <w:tcPr/>
          <w:p>
            <w:pPr>
              <w:pStyle w:val="Compact"/>
              <w:spacing w:line="240" w:lineRule="auto"/>
            </w:pPr>
            <w:r>
              <w:rPr>
                <w:sz w:val="18"/>
              </w:rPr>
              <w:t xml:space="preserve">0,909</w:t>
            </w:r>
          </w:p>
        </w:tc>
        <w:tc>
          <w:tcPr/>
          <w:p>
            <w:pPr>
              <w:pStyle w:val="Compact"/>
              <w:spacing w:line="240" w:lineRule="auto"/>
            </w:pPr>
            <w:r>
              <w:rPr>
                <w:sz w:val="18"/>
              </w:rPr>
              <w:t xml:space="preserve">0,013</w:t>
            </w:r>
          </w:p>
        </w:tc>
        <w:tc>
          <w:tcPr/>
          <w:p>
            <w:pPr>
              <w:pStyle w:val="Compact"/>
              <w:spacing w:line="240" w:lineRule="auto"/>
            </w:pPr>
            <w:r>
              <w:rPr>
                <w:sz w:val="18"/>
              </w:rPr>
              <w:t xml:space="preserve">Gln</w:t>
            </w:r>
          </w:p>
        </w:tc>
        <w:tc>
          <w:tcPr/>
          <w:p>
            <w:pPr>
              <w:pStyle w:val="Compact"/>
              <w:spacing w:line="240" w:lineRule="auto"/>
            </w:pPr>
            <w:r>
              <w:rPr>
                <w:sz w:val="18"/>
              </w:rPr>
              <w:t xml:space="preserve">4,00</w:t>
            </w:r>
          </w:p>
        </w:tc>
        <w:tc>
          <w:tcPr/>
          <w:p>
            <w:pPr>
              <w:pStyle w:val="Compact"/>
              <w:spacing w:line="240" w:lineRule="auto"/>
            </w:pPr>
            <w:r>
              <w:rPr>
                <w:sz w:val="18"/>
              </w:rPr>
              <w:t xml:space="preserve">3,77</w:t>
            </w:r>
          </w:p>
        </w:tc>
        <w:tc>
          <w:tcPr/>
          <w:p>
            <w:pPr>
              <w:pStyle w:val="Compact"/>
              <w:spacing w:line="240" w:lineRule="auto"/>
            </w:pPr>
            <w:r>
              <w:rPr>
                <w:sz w:val="18"/>
              </w:rPr>
              <w:t xml:space="preserve">1,00</w:t>
            </w:r>
          </w:p>
        </w:tc>
        <w:tc>
          <w:tcPr/>
          <w:p>
            <w:pPr>
              <w:pStyle w:val="Compact"/>
              <w:spacing w:line="240" w:lineRule="auto"/>
            </w:pPr>
            <w:r>
              <w:rPr>
                <w:sz w:val="18"/>
              </w:rPr>
              <w:t xml:space="preserve">–</w:t>
            </w:r>
          </w:p>
        </w:tc>
        <w:tc>
          <w:tcPr/>
          <w:p>
            <w:pPr>
              <w:pStyle w:val="Compact"/>
              <w:spacing w:line="240" w:lineRule="auto"/>
            </w:pPr>
            <w:r>
              <w:rPr>
                <w:sz w:val="18"/>
              </w:rPr>
              <w:t xml:space="preserve">−9,0 (−1,80)</w:t>
            </w:r>
          </w:p>
        </w:tc>
        <w:tc>
          <w:tcPr/>
          <w:p>
            <w:pPr>
              <w:pStyle w:val="Compact"/>
              <w:spacing w:line="240" w:lineRule="auto"/>
            </w:pPr>
            <w:r>
              <w:rPr>
                <w:sz w:val="18"/>
              </w:rPr>
              <w:t xml:space="preserve">−18,2 / −2,0</w:t>
            </w:r>
          </w:p>
        </w:tc>
      </w:tr>
      <w:tr>
        <w:tc>
          <w:tcPr/>
          <w:p>
            <w:pPr>
              <w:pStyle w:val="Compact"/>
              <w:spacing w:line="240" w:lineRule="auto"/>
            </w:pPr>
            <w:r>
              <w:rPr>
                <w:sz w:val="18"/>
              </w:rPr>
              <w:t xml:space="preserve">GGHSE</w:t>
            </w:r>
          </w:p>
        </w:tc>
        <w:tc>
          <w:tcPr/>
          <w:p>
            <w:pPr>
              <w:pStyle w:val="Compact"/>
              <w:spacing w:line="240" w:lineRule="auto"/>
            </w:pPr>
            <w:r>
              <w:rPr>
                <w:sz w:val="18"/>
              </w:rPr>
              <w:t xml:space="preserve">cíclico</w:t>
            </w:r>
          </w:p>
        </w:tc>
        <w:tc>
          <w:tcPr/>
          <w:p>
            <w:pPr>
              <w:pStyle w:val="Compact"/>
              <w:spacing w:line="240" w:lineRule="auto"/>
            </w:pPr>
            <w:r>
              <w:rPr>
                <w:i/>
                <w:iCs/>
                <w:sz w:val="18"/>
              </w:rPr>
              <w:t xml:space="preserve">S. frugiperda</w:t>
            </w:r>
          </w:p>
        </w:tc>
        <w:tc>
          <w:tcPr/>
          <w:p>
            <w:pPr>
              <w:pStyle w:val="Compact"/>
              <w:spacing w:line="240" w:lineRule="auto"/>
            </w:pPr>
            <w:r>
              <w:rPr>
                <w:sz w:val="18"/>
              </w:rPr>
              <w:t xml:space="preserve">5</w:t>
            </w:r>
          </w:p>
        </w:tc>
        <w:tc>
          <w:tcPr/>
          <w:p>
            <w:pPr>
              <w:pStyle w:val="Compact"/>
              <w:spacing w:line="240" w:lineRule="auto"/>
            </w:pPr>
            <w:r>
              <w:rPr>
                <w:sz w:val="18"/>
              </w:rPr>
              <w:t xml:space="preserve">0,908</w:t>
            </w:r>
          </w:p>
        </w:tc>
        <w:tc>
          <w:tcPr/>
          <w:p>
            <w:pPr>
              <w:pStyle w:val="Compact"/>
              <w:spacing w:line="240" w:lineRule="auto"/>
            </w:pPr>
            <w:r>
              <w:rPr>
                <w:sz w:val="18"/>
              </w:rPr>
              <w:t xml:space="preserve">0,015</w:t>
            </w:r>
          </w:p>
        </w:tc>
        <w:tc>
          <w:tcPr/>
          <w:p>
            <w:pPr>
              <w:pStyle w:val="Compact"/>
              <w:spacing w:line="240" w:lineRule="auto"/>
            </w:pPr>
            <w:r>
              <w:rPr>
                <w:sz w:val="18"/>
              </w:rPr>
              <w:t xml:space="preserve">His</w:t>
            </w:r>
          </w:p>
        </w:tc>
        <w:tc>
          <w:tcPr/>
          <w:p>
            <w:pPr>
              <w:pStyle w:val="Compact"/>
              <w:spacing w:line="240" w:lineRule="auto"/>
            </w:pPr>
            <w:r>
              <w:rPr>
                <w:sz w:val="18"/>
              </w:rPr>
              <w:t xml:space="preserve">2,86</w:t>
            </w:r>
          </w:p>
        </w:tc>
        <w:tc>
          <w:tcPr/>
          <w:p>
            <w:pPr>
              <w:pStyle w:val="Compact"/>
              <w:spacing w:line="240" w:lineRule="auto"/>
            </w:pPr>
            <w:r>
              <w:rPr>
                <w:sz w:val="18"/>
              </w:rPr>
              <w:t xml:space="preserve">3,07</w:t>
            </w:r>
          </w:p>
        </w:tc>
        <w:tc>
          <w:tcPr/>
          <w:p>
            <w:pPr>
              <w:pStyle w:val="Compact"/>
              <w:spacing w:line="240" w:lineRule="auto"/>
            </w:pPr>
            <w:r>
              <w:rPr>
                <w:sz w:val="18"/>
              </w:rPr>
              <w:t xml:space="preserve">0,99</w:t>
            </w:r>
          </w:p>
        </w:tc>
        <w:tc>
          <w:tcPr/>
          <w:p>
            <w:pPr>
              <w:pStyle w:val="Compact"/>
              <w:spacing w:line="240" w:lineRule="auto"/>
            </w:pPr>
            <w:r>
              <w:rPr>
                <w:sz w:val="18"/>
              </w:rPr>
              <w:t xml:space="preserve">estrito</w:t>
            </w:r>
          </w:p>
        </w:tc>
        <w:tc>
          <w:tcPr/>
          <w:p>
            <w:pPr>
              <w:pStyle w:val="Compact"/>
              <w:spacing w:line="240" w:lineRule="auto"/>
            </w:pPr>
            <w:r>
              <w:rPr>
                <w:sz w:val="18"/>
              </w:rPr>
              <w:t xml:space="preserve">−8,8 (−1,76)</w:t>
            </w:r>
          </w:p>
        </w:tc>
        <w:tc>
          <w:tcPr/>
          <w:p>
            <w:pPr>
              <w:pStyle w:val="Compact"/>
              <w:spacing w:line="240" w:lineRule="auto"/>
            </w:pPr>
            <w:r>
              <w:rPr>
                <w:sz w:val="18"/>
              </w:rPr>
              <w:t xml:space="preserve">−26,5 / −23,9</w:t>
            </w:r>
          </w:p>
        </w:tc>
      </w:tr>
      <w:tr>
        <w:tc>
          <w:tcPr/>
          <w:p>
            <w:pPr>
              <w:pStyle w:val="Compact"/>
              <w:spacing w:line="240" w:lineRule="auto"/>
            </w:pPr>
            <w:r>
              <w:rPr>
                <w:sz w:val="18"/>
              </w:rPr>
              <w:t xml:space="preserve">GGKPGEP</w:t>
            </w:r>
          </w:p>
        </w:tc>
        <w:tc>
          <w:tcPr/>
          <w:p>
            <w:pPr>
              <w:pStyle w:val="Compact"/>
              <w:spacing w:line="240" w:lineRule="auto"/>
            </w:pPr>
            <w:r>
              <w:rPr>
                <w:sz w:val="18"/>
              </w:rPr>
              <w:t xml:space="preserve">cíclico</w:t>
            </w:r>
          </w:p>
        </w:tc>
        <w:tc>
          <w:tcPr/>
          <w:p>
            <w:pPr>
              <w:pStyle w:val="Compact"/>
              <w:spacing w:line="240" w:lineRule="auto"/>
            </w:pPr>
            <w:r>
              <w:rPr>
                <w:i/>
                <w:iCs/>
                <w:sz w:val="18"/>
              </w:rPr>
              <w:t xml:space="preserve">A. gemmatalis</w:t>
            </w:r>
          </w:p>
        </w:tc>
        <w:tc>
          <w:tcPr/>
          <w:p>
            <w:pPr>
              <w:pStyle w:val="Compact"/>
              <w:spacing w:line="240" w:lineRule="auto"/>
            </w:pPr>
            <w:r>
              <w:rPr>
                <w:sz w:val="18"/>
              </w:rPr>
              <w:t xml:space="preserve">7</w:t>
            </w:r>
          </w:p>
        </w:tc>
        <w:tc>
          <w:tcPr/>
          <w:p>
            <w:pPr>
              <w:pStyle w:val="Compact"/>
              <w:spacing w:line="240" w:lineRule="auto"/>
            </w:pPr>
            <w:r>
              <w:rPr>
                <w:sz w:val="18"/>
              </w:rPr>
              <w:t xml:space="preserve">0,923</w:t>
            </w:r>
          </w:p>
        </w:tc>
        <w:tc>
          <w:tcPr/>
          <w:p>
            <w:pPr>
              <w:pStyle w:val="Compact"/>
              <w:spacing w:line="240" w:lineRule="auto"/>
            </w:pPr>
            <w:r>
              <w:rPr>
                <w:sz w:val="18"/>
              </w:rPr>
              <w:t xml:space="preserve">0,020</w:t>
            </w:r>
          </w:p>
        </w:tc>
        <w:tc>
          <w:tcPr/>
          <w:p>
            <w:pPr>
              <w:pStyle w:val="Compact"/>
              <w:spacing w:line="240" w:lineRule="auto"/>
            </w:pPr>
            <w:r>
              <w:rPr>
                <w:sz w:val="18"/>
              </w:rPr>
              <w:t xml:space="preserve">Lys</w:t>
            </w:r>
          </w:p>
        </w:tc>
        <w:tc>
          <w:tcPr/>
          <w:p>
            <w:pPr>
              <w:pStyle w:val="Compact"/>
              <w:spacing w:line="240" w:lineRule="auto"/>
            </w:pPr>
            <w:r>
              <w:rPr>
                <w:sz w:val="18"/>
              </w:rPr>
              <w:t xml:space="preserve">2,71</w:t>
            </w:r>
          </w:p>
        </w:tc>
        <w:tc>
          <w:tcPr/>
          <w:p>
            <w:pPr>
              <w:pStyle w:val="Compact"/>
              <w:spacing w:line="240" w:lineRule="auto"/>
            </w:pPr>
            <w:r>
              <w:rPr>
                <w:sz w:val="18"/>
              </w:rPr>
              <w:t xml:space="preserve">2,71</w:t>
            </w:r>
          </w:p>
        </w:tc>
        <w:tc>
          <w:tcPr/>
          <w:p>
            <w:pPr>
              <w:pStyle w:val="Compact"/>
              <w:spacing w:line="240" w:lineRule="auto"/>
            </w:pPr>
            <w:r>
              <w:rPr>
                <w:sz w:val="18"/>
              </w:rPr>
              <w:t xml:space="preserve">1,00</w:t>
            </w:r>
          </w:p>
        </w:tc>
        <w:tc>
          <w:tcPr/>
          <w:p>
            <w:pPr>
              <w:pStyle w:val="Compact"/>
              <w:spacing w:line="240" w:lineRule="auto"/>
            </w:pPr>
            <w:r>
              <w:rPr>
                <w:sz w:val="18"/>
              </w:rPr>
              <w:t xml:space="preserve">não estrito</w:t>
            </w:r>
          </w:p>
        </w:tc>
        <w:tc>
          <w:tcPr/>
          <w:p>
            <w:pPr>
              <w:pStyle w:val="Compact"/>
              <w:spacing w:line="240" w:lineRule="auto"/>
            </w:pPr>
            <w:r>
              <w:rPr>
                <w:sz w:val="18"/>
              </w:rPr>
              <w:t xml:space="preserve">−9,7 (−1,39)</w:t>
            </w:r>
          </w:p>
        </w:tc>
        <w:tc>
          <w:tcPr/>
          <w:p>
            <w:pPr>
              <w:pStyle w:val="Compact"/>
              <w:spacing w:line="240" w:lineRule="auto"/>
            </w:pPr>
            <w:r>
              <w:rPr>
                <w:sz w:val="18"/>
              </w:rPr>
              <w:t xml:space="preserve">−35,4 / −27,7</w:t>
            </w:r>
          </w:p>
        </w:tc>
      </w:tr>
    </w:tbl>
    <w:p>
      <w:pPr>
        <w:pStyle w:val="CaptionedFigure"/>
      </w:pPr>
      <w:r>
        <w:drawing>
          <wp:inline>
            <wp:extent cx="5334000" cy="3853030"/>
            <wp:effectExtent b="0" l="0" r="0" t="0"/>
            <wp:docPr descr="Figura 8. Poses iniciais (Boltz-2) dos quatro peptídeos da lista curta no sítio ativo. Peptídeo em ciano com o resíduo âncora (o mais próximo do carboxilato do Asp189) em magenta; Asp189 em laranja; His57 e Ser195 em verde; a linha pontilhada é a distância âncora–Asp189; receptor em cartoon até 12 Å do peptídeo. (A) NGGRPDAP (linear, A. gemmatalis). (B) GQNDS (linear, O. nubilalis). (C) GGHSE (cíclico, S. frugiperda). (D) GGKPGEP (cíclico, A. gemmatalis)." title="" id="55" name="Picture"/>
            <a:graphic>
              <a:graphicData uri="http://schemas.openxmlformats.org/drawingml/2006/picture">
                <pic:pic>
                  <pic:nvPicPr>
                    <pic:cNvPr descr="figures/final/Figure8_candidate_poses.png" id="56" name="Picture"/>
                    <pic:cNvPicPr>
                      <a:picLocks noChangeArrowheads="1" noChangeAspect="1"/>
                    </pic:cNvPicPr>
                  </pic:nvPicPr>
                  <pic:blipFill>
                    <a:blip r:embed="rId54"/>
                    <a:stretch>
                      <a:fillRect/>
                    </a:stretch>
                  </pic:blipFill>
                  <pic:spPr bwMode="auto">
                    <a:xfrm>
                      <a:off x="0" y="0"/>
                      <a:ext cx="5334000" cy="3853030"/>
                    </a:xfrm>
                    <a:prstGeom prst="rect">
                      <a:avLst/>
                    </a:prstGeom>
                    <a:noFill/>
                    <a:ln w="9525">
                      <a:noFill/>
                      <a:headEnd/>
                      <a:tailEnd/>
                    </a:ln>
                  </pic:spPr>
                </pic:pic>
              </a:graphicData>
            </a:graphic>
          </wp:inline>
        </w:drawing>
      </w:r>
    </w:p>
    <w:p>
      <w:pPr>
        <w:pStyle w:val="ImageCaption"/>
      </w:pPr>
      <w:r>
        <w:rPr>
          <w:b/>
          <w:bCs/>
        </w:rPr>
        <w:t xml:space="preserve">Figura 8.</w:t>
      </w:r>
      <w:r>
        <w:t xml:space="preserve"> </w:t>
      </w:r>
      <w:r>
        <w:t xml:space="preserve">Poses iniciais (Boltz-2) dos quatro peptídeos da lista curta no sítio ativo. Peptídeo em ciano com o resíduo âncora (o mais próximo do carboxilato do Asp189) em magenta; Asp189 em laranja; His57 e Ser195 em verde; a linha pontilhada é a distância âncora–Asp189; receptor em</w:t>
      </w:r>
      <w:r>
        <w:t xml:space="preserve"> </w:t>
      </w:r>
      <w:r>
        <w:rPr>
          <w:i/>
          <w:iCs/>
        </w:rPr>
        <w:t xml:space="preserve">cartoon</w:t>
      </w:r>
      <w:r>
        <w:t xml:space="preserve"> </w:t>
      </w:r>
      <w:r>
        <w:t xml:space="preserve">até 12 Å do peptídeo. (A) NGGRPDAP (linear,</w:t>
      </w:r>
      <w:r>
        <w:t xml:space="preserve"> </w:t>
      </w:r>
      <w:r>
        <w:rPr>
          <w:i/>
          <w:iCs/>
        </w:rPr>
        <w:t xml:space="preserve">A. gemmatalis</w:t>
      </w:r>
      <w:r>
        <w:t xml:space="preserve">). (B) GQNDS (linear,</w:t>
      </w:r>
      <w:r>
        <w:t xml:space="preserve"> </w:t>
      </w:r>
      <w:r>
        <w:rPr>
          <w:i/>
          <w:iCs/>
        </w:rPr>
        <w:t xml:space="preserve">O. nubilalis</w:t>
      </w:r>
      <w:r>
        <w:t xml:space="preserve">). (C) GGHSE (cíclico,</w:t>
      </w:r>
      <w:r>
        <w:t xml:space="preserve"> </w:t>
      </w:r>
      <w:r>
        <w:rPr>
          <w:i/>
          <w:iCs/>
        </w:rPr>
        <w:t xml:space="preserve">S. frugiperda</w:t>
      </w:r>
      <w:r>
        <w:t xml:space="preserve">). (D) GGKPGEP (cíclico,</w:t>
      </w:r>
      <w:r>
        <w:t xml:space="preserve"> </w:t>
      </w:r>
      <w:r>
        <w:rPr>
          <w:i/>
          <w:iCs/>
        </w:rPr>
        <w:t xml:space="preserve">A. gemmatalis</w:t>
      </w:r>
      <w:r>
        <w:t xml:space="preserve">).</w:t>
      </w:r>
    </w:p>
    <w:p>
      <w:r>
        <w:pict>
          <v:rect style="width:0;height:1.5pt" o:hralign="center" o:hrstd="t" o:hr="t"/>
        </w:pict>
      </w:r>
    </w:p>
    <w:bookmarkEnd w:id="57"/>
    <w:bookmarkEnd w:id="58"/>
    <w:bookmarkStart w:id="64" w:name="discussão"/>
    <w:p>
      <w:pPr>
        <w:pStyle w:val="Heading2"/>
      </w:pPr>
      <w:r>
        <w:t xml:space="preserve">4 Discussão</w:t>
      </w:r>
    </w:p>
    <w:bookmarkStart w:id="59" w:name="principais-achados"/>
    <w:p>
      <w:pPr>
        <w:pStyle w:val="Heading3"/>
      </w:pPr>
      <w:r>
        <w:t xml:space="preserve">4.1 Principais achados</w:t>
      </w:r>
    </w:p>
    <w:p>
      <w:pPr>
        <w:pStyle w:val="FirstParagraph"/>
      </w:pPr>
      <w:r>
        <w:t xml:space="preserve">Montamos e calibramos um pipeline que vai de oito tripsinas digestivas de lepidópteros a peptídeos candidatos ordenados, com a não clivabilidade pelas proteases do intestino médio como requisito binário explícito. A parte estrutural foi robusta: os subsítios de dois complexos cristalográficos foram transferidos para os dez receptores, e o equivalente do Asp189 achado pela estrutura coincidiu com o achado pela sequência. A escada de escores foi mais fraca: o Boltz-2 separou inibidores reais de iscas dentro dos pares, mas não como limiar absoluto. Exigir não clivabilidade deixou 527 sequências lineares e 543 cíclicas, curtas e com quase metade de glicina. As simulações de 10 ns mostraram que a ocupância de S1 acompanha a pose inicial do Boltz-2, de modo que as simulações verificam a estabilidade de uma pose e não são evidência de ligação; as mesmas 48 simulações em pH 8,2 não diferiram do pH 10,0 em nenhum teste pareado, e só dois peptídeos (NGGRPDAP, GGKPGEP) mantiveram S1 nos dois pH. Nenhum resultado diz respeito a atividade inibitória ou a seletividade.</w:t>
      </w:r>
    </w:p>
    <w:p>
      <w:pPr>
        <w:pStyle w:val="BodyText"/>
      </w:pPr>
      <w:r>
        <w:t xml:space="preserve">Os inibidores naturais forneceram os subsítios (2PTC, 1SFI), os padrões de calibração e a lógica de ancoragem em S1. Não forneceram sua característica definidora: os peptídeos desenhados não têm cisteína, de modo que as alças estabilizadas por dissulfeto de BPTI, SKTI e SFTI-1 (Luckett et al., 1999; Kelly et al., 2005) não são reproduzidas, e o anel cabeça-cauda é a única restrição mantida, em uma das duas frentes. A rigidez não é simplesmente uma vantagem contra tripsinas adaptadas de lepidópteros: um inibidor de Bowman–Birk com sete ligações dissulfeto inibiu as enzimas tipo tripsina de</w:t>
      </w:r>
      <w:r>
        <w:t xml:space="preserve"> </w:t>
      </w:r>
      <w:r>
        <w:rPr>
          <w:i/>
          <w:iCs/>
        </w:rPr>
        <w:t xml:space="preserve">A. gemmatalis</w:t>
      </w:r>
      <w:r>
        <w:t xml:space="preserve"> </w:t>
      </w:r>
      <w:r>
        <w:t xml:space="preserve">menos que o inibidor de Kunitz da soja (Patarroyo-Vargas et al., 2020).</w:t>
      </w:r>
    </w:p>
    <w:bookmarkEnd w:id="59"/>
    <w:bookmarkStart w:id="60" w:name="o-que-a-escada-de-escores-sustenta"/>
    <w:p>
      <w:pPr>
        <w:pStyle w:val="Heading3"/>
      </w:pPr>
      <w:r>
        <w:t xml:space="preserve">4.2 O que a escada de escores sustenta</w:t>
      </w:r>
    </w:p>
    <w:p>
      <w:pPr>
        <w:pStyle w:val="FirstParagraph"/>
      </w:pPr>
      <w:r>
        <w:t xml:space="preserve">O Boltz-2 preferiu o inibidor real em todos os pares, mas os escores absolutos se sobrepuseram, e uma isca embaralhada de 14 resíduos do SFTI-1 pontuou 0,944. Os candidatos têm 5–8 resíduos e foram em sua maioria pontuados entre 0,80 e 0,95, de modo que a calibração sustenta comparar um candidato com um controle pareado e não ler 0,9 como evidência de ligação. Isso concorda com uma avaliação do Boltz-2 em dois conjuntos de pequenas moléculas, que achou só correlações fracas a moderadas de suas predições de afinidade com energias livres físicas e concluiu que ele não tem a resolução energética para identificar líderes (Wan et al., 2026), e com um</w:t>
      </w:r>
      <w:r>
        <w:t xml:space="preserve"> </w:t>
      </w:r>
      <w:r>
        <w:rPr>
          <w:i/>
          <w:iCs/>
        </w:rPr>
        <w:t xml:space="preserve">benchmark</w:t>
      </w:r>
      <w:r>
        <w:t xml:space="preserve"> </w:t>
      </w:r>
      <w:r>
        <w:t xml:space="preserve">de 111 complexos peptídeo cíclico–proteína, em que a confiança do modelo se correlacionou só moderadamente com a qualidade da pose (Spearman 0,53–0,66) e cerca de 12% das poses tinham confiança alta apesar de qualidade ruim (Li et al., 2026). Usamos o escore de confiança e não a saída de afinidade do Boltz-2, de modo que o primeiro resultado é uma cautela e não um teste do nosso uso. A correlação de postos de 0,57 entre execuções com entrada idêntica acrescenta um limite: diferenças de poucos centésimos na confiança não devem ser interpretadas, e a concordância entre as formas linear e cíclica (ρ = 0,50) não pode ser lida como efeito da modalidade até ser comparada com esse teto. As iscas são sequências embaralhadas de proteínas dobradas, de modo que diferem dos inibidores no enovelamento e não só na ligação, os ligantes da calibração têm 14–176 resíduos contra 5–8 dos candidatos, e os pares não são independentes.</w:t>
      </w:r>
    </w:p>
    <w:p>
      <w:pPr>
        <w:pStyle w:val="BodyText"/>
      </w:pPr>
      <w:r>
        <w:t xml:space="preserve">O MM-GBSA de uma única trajetória sem entropia e o PRODIGY, treinado em complexos proteína–proteína (Vangone e Bonvin, 2015), são sensíveis à amostragem e ao tipo de sistema (Hou et al., 2011; Genheden e Ryde, 2015; Xu et al., 2025). São usados, por isso, para ordenar peptídeos do mesmo receptor e do mesmo protocolo, com um valor por resíduo, e não para estimar afinidade. Para comparação, um estudo de um peptídeo derivado de interface contra tripsinas de</w:t>
      </w:r>
      <w:r>
        <w:t xml:space="preserve"> </w:t>
      </w:r>
      <w:r>
        <w:rPr>
          <w:i/>
          <w:iCs/>
        </w:rPr>
        <w:t xml:space="preserve">S. frugiperda</w:t>
      </w:r>
      <w:r>
        <w:t xml:space="preserve"> </w:t>
      </w:r>
      <w:r>
        <w:t xml:space="preserve">usou simulações de 100 ns em triplicata e MM/GBSA (Severiche-Castro et al., 2026); nossa triagem é uma única execução de 10 ns por candidato e não consegue estabelecer estabilidade.</w:t>
      </w:r>
    </w:p>
    <w:p>
      <w:pPr>
        <w:pStyle w:val="BodyText"/>
      </w:pPr>
      <w:r>
        <w:t xml:space="preserve">Um ponto metodológico merece ênfase: moléculas separadas de receptor e ligante podem ser gravadas em imagens periódicas diferentes da caixa. Em um de nossos sistemas a distância entre os centros de massa de receptor e peptídeo chegou a 94,8 Å numa caixa de 116 Å enquanto as moléculas estavam em contato em todos os quadros. Qualquer análise de RMSD ou de contatos de simulações proteína–peptídeo que não corrija isso relata o deslocamento da imagem como instabilidade.</w:t>
      </w:r>
    </w:p>
    <w:bookmarkEnd w:id="60"/>
    <w:bookmarkStart w:id="61" w:name="Xe9dfdcff25bd151c47ff6de27d373c777e68813"/>
    <w:p>
      <w:pPr>
        <w:pStyle w:val="Heading3"/>
      </w:pPr>
      <w:r>
        <w:t xml:space="preserve">4.3 Resistência à proteólise e engajamento de S1 puxam em sentidos opostos</w:t>
      </w:r>
    </w:p>
    <w:p>
      <w:pPr>
        <w:pStyle w:val="FirstParagraph"/>
      </w:pPr>
      <w:r>
        <w:t xml:space="preserve">A triagem seleciona peptídeos curtos (comprimento médio de 7,7 resíduos) e quase sem resíduos básicos. Nos inibidores canônicos o resíduo P1 se insere em S1 (Laskowski e Kato, 1980; Laskowski e Qasim, 2000), e as enzimas tipo tripsina, inclusive as de</w:t>
      </w:r>
      <w:r>
        <w:t xml:space="preserve"> </w:t>
      </w:r>
      <w:r>
        <w:rPr>
          <w:i/>
          <w:iCs/>
        </w:rPr>
        <w:t xml:space="preserve">A. gemmatalis</w:t>
      </w:r>
      <w:r>
        <w:t xml:space="preserve">, preferem arginina ou lisina ali (Patarroyo-Vargas et al., 2017; Meriño-Cabrera et al., 2022); o critério duro seleciona, portanto, contra o resíduo mais adequado para engajar o Asp189. Ao proibir os nove resíduos que as três especificidades primárias documentadas assumem em P1, ele deixa peptídeos com quase metade de glicina e só nove resíduos básicos, cada um protegido por uma prolina seguinte, uma exceção tirada da especificidade geral das enzimas e aproximada para cada espécie. O critério não proíbe todo P1 concebível: glicina e serina, que regras amplas de elastase também listam, foram mantidas, porque a enzima de Lepidoptera caracterizada até aqui é do tipo elastase-2, com P1 = Leu, e porque excluí-las deixa 13 dos 527 candidatos (Seções 2.4 e 3.3). A seleção troca, assim, um risco por outro — remove os sítios das enzimas que foram medidas nesses intestinos e enriquece peptídeos cujas posições P1 são resíduos pequenos que não foram — e o enriquecimento é consequência da regra, não evidência de estabilidade. Tais sequências são provavelmente flexíveis, o que pode custar entropia de ligação, e lhes faltam as cadeias laterais que definem a interação de S1 dos inibidores canônicos. A alternativa canônica é a rigidez, que melhora a ligação em cerca de seis ordens de grandeza e protege contra a proteólise (Kelly et al., 2005); um macrociclo poderia tolerar um P1 básico que uma regra linear de motivos sinaliza. Os três candidatos que carregam uma Lys ou Arg (NGGRPDAP, PISQIDSGSR, GGKPGEP) são aqueles em que isso pode ser examinado, e a presente triagem não diz se sua conformação mantém esse resíduo protegido (a Seção 3.8 relata a geometria de ataque nas simulações). A ciclização remove as extremidades expostas, mas não os sítios internos (o macrociclo ganhou só 16 sequências sobre o conjunto linear), e a aminopeptidase N, que precisa de um N-terminal livre, não é tratada nos peptídeos lineares. As regras de motivos são grosseiras (uma contagem ponderada de sítios; a regra tipo elastase sinaliza quatro resíduos comuns), e RESISTENTE é uma previsão de baixa carga de motivos, não uma medida de estabilidade no intestino médio.</w:t>
      </w:r>
    </w:p>
    <w:p>
      <w:pPr>
        <w:pStyle w:val="BodyText"/>
      </w:pPr>
      <w:r>
        <w:rPr>
          <w:i/>
          <w:iCs/>
        </w:rPr>
        <w:t xml:space="preserve">Relação com trabalhos anteriores com peptídeos.</w:t>
      </w:r>
      <w:r>
        <w:t xml:space="preserve"> </w:t>
      </w:r>
      <w:r>
        <w:t xml:space="preserve">Os candidatos têm o mesmo porte dos tripeptídeos GORE1 e GORE2 e dos tripeptídeos da alça Pin-II, de potência milimolar (de Almeida Barros et al., 2021; Saikhedkar et al., 2018), assim como os peptídeos da região pró do tripsinogênio (Ki de 0,78–1,80 mM contra enzimas de</w:t>
      </w:r>
      <w:r>
        <w:t xml:space="preserve"> </w:t>
      </w:r>
      <w:r>
        <w:rPr>
          <w:i/>
          <w:iCs/>
        </w:rPr>
        <w:t xml:space="preserve">A. gemmatalis</w:t>
      </w:r>
      <w:r>
        <w:t xml:space="preserve"> </w:t>
      </w:r>
      <w:r>
        <w:t xml:space="preserve">(Mariano et al., 2026)), e são mais curtos que o peptídeo de interface de 11 resíduos proposto para</w:t>
      </w:r>
      <w:r>
        <w:t xml:space="preserve"> </w:t>
      </w:r>
      <w:r>
        <w:rPr>
          <w:i/>
          <w:iCs/>
        </w:rPr>
        <w:t xml:space="preserve">S. frugiperda</w:t>
      </w:r>
      <w:r>
        <w:t xml:space="preserve"> </w:t>
      </w:r>
      <w:r>
        <w:t xml:space="preserve">(Severiche-Castro et al., 2026). O que este trabalho acrescenta é uma exigência explícita, baseada em regras, de não clivabilidade e uma escada de escores calibrada; não acrescenta evidência de afinidade maior. Como há Ki medido para o GORE2 e para peptídeos derivados de alças e da região pró (de Almeida Barros et al., 2021; Paulo et al., 2026; Mariano et al., 2026), o GORE2 é o controle positivo natural: um candidato só interessa se seu Ki, medido nas mesmas condições, ficar abaixo da faixa milimolar desses peptídeos ou se persistir por mais tempo em extrato de intestino médio.</w:t>
      </w:r>
    </w:p>
    <w:bookmarkEnd w:id="61"/>
    <w:bookmarkStart w:id="62" w:name="limitações"/>
    <w:p>
      <w:pPr>
        <w:pStyle w:val="Heading3"/>
      </w:pPr>
      <w:r>
        <w:t xml:space="preserve">4.4 Limitações</w:t>
      </w:r>
    </w:p>
    <w:p>
      <w:pPr>
        <w:pStyle w:val="Compact"/>
        <w:numPr>
          <w:ilvl w:val="0"/>
          <w:numId w:val="1003"/>
        </w:numPr>
      </w:pPr>
      <w:r>
        <w:t xml:space="preserve">Todos os resultados são computacionais; nenhum ensaio de inibição ou de estabilidade foi feito. (ii) A seletividade não foi tratada: S1 é conservado entre tripsinas, e um peptídeo ancorado ali não pode ser presumido como poupando proteases não alvo. (iii) Os receptores são modelos do AlphaFold, e a expressão no intestino médio não está documentada nas espécies-praga. (iv) O ProteinMPNN redesenhou o receptor junto com o peptídeo e só oito dos 15 resíduos de ponto quente chegaram ao RFdiffusion. Todo esqueleto foi gerado como macrociclo cabeça-cauda, de modo que a frente linear é o mesmo conjunto de sequências lido com extremidades livres e redobrado pelo Boltz-2, e não uma campanha desenhada para a forma linear; um esqueleto difundido como peptídeo linear poderia dar sequências diferentes, e nenhuma comparação feita aqui separa o efeito da forma do dessa assimetria. (v) O critério de não clivabilidade é uma previsão em nível de motivo: cobre os resíduos P1 das atividades tipo tripsina e tipo quimotripsina/elastase-2 medidas em intestino médio de Lepidoptera, acrescenta Ala e Val por uma especificidade tipo elastase-1 não caracterizada nessas espécies e deixa glicina e serina sem exclusão, de modo que atividade de P1 pequeno e de oligopeptidases não é tratada; a exceção K/R–Pro é estatística e a aminopeptidase N não é excluída nos peptídeos lineares. (vi) Cada simulação é uma única execução de 10 ns com um campo de força, e trajetórias únicas podem dar conclusões falso-positivas (Knapp et al., 2018); o peptídeo linear tem extremidades NH</w:t>
      </w:r>
      <w:r>
        <w:rPr>
          <w:vertAlign w:val="subscript"/>
        </w:rPr>
        <w:t xml:space="preserve">3</w:t>
      </w:r>
      <w:r>
        <w:rPr>
          <w:vertAlign w:val="superscript"/>
        </w:rPr>
        <w:t xml:space="preserve">+</w:t>
      </w:r>
      <w:r>
        <w:t xml:space="preserve">/COO</w:t>
      </w:r>
      <w:r>
        <w:rPr>
          <w:vertAlign w:val="superscript"/>
        </w:rPr>
        <w:t xml:space="preserve">−</w:t>
      </w:r>
      <w:r>
        <w:t xml:space="preserve"> </w:t>
      </w:r>
      <w:r>
        <w:t xml:space="preserve">nos dois pH; dez nanossegundos só fazem triagem, e repetir oito candidatos no mesmo pH mudou a ocupância da segunda metade em mais de 0,5 em três de 16 pares, de modo que uma execução não decide se um peptídeo mantém S1. A equilibração NPT usou o barostato de Parrinello–Rahman, onde um barostato de relaxação é o padrão, e</w:t>
      </w:r>
      <w:r>
        <w:t xml:space="preserve"> </w:t>
      </w:r>
      <w:r>
        <w:rPr>
          <w:rStyle w:val="VerbatimChar"/>
        </w:rPr>
        <w:t xml:space="preserve">refcoord_scaling</w:t>
      </w:r>
      <w:r>
        <w:t xml:space="preserve"> </w:t>
      </w:r>
      <w:r>
        <w:t xml:space="preserve">não foi definido com restrições de posição sob acoplamento de pressão; os dois desvios foram mantidos para que todas as simulações sigam um só protocolo (pH 10,0 e 8,2 usaram o mesmo código), e em três sistemas a densidade ficou em 1022–1033 kg m</w:t>
      </w:r>
      <w:r>
        <w:rPr>
          <w:vertAlign w:val="superscript"/>
        </w:rPr>
        <w:t xml:space="preserve">−3</w:t>
      </w:r>
      <w:r>
        <w:t xml:space="preserve"> </w:t>
      </w:r>
      <w:r>
        <w:t xml:space="preserve">com flutuação quadrática média de 0,2% e deriva desprezível. (vii) O critério de ocupância de S1 não tem especificidade demonstrada: toda isca da calibração o satisfez, e os controles de sequência embaralhada e de troca de âncora não separaram sequência de pose inicial (Seção 3.5); a âncora é definida</w:t>
      </w:r>
      <w:r>
        <w:t xml:space="preserve"> </w:t>
      </w:r>
      <w:r>
        <w:rPr>
          <w:i/>
          <w:iCs/>
        </w:rPr>
        <w:t xml:space="preserve">post hoc</w:t>
      </w:r>
      <w:r>
        <w:t xml:space="preserve"> </w:t>
      </w:r>
      <w:r>
        <w:t xml:space="preserve">como o resíduo de menor distância média. (viii) Uma única predição do Boltz-2 é um ordenador ruidoso (ρ = 0,57 para entrada idêntica), e os controles embaralhados do E3 são fracos para sequências ricas em glicina. (ix) Os sistemas de calibração foram simulados por 2 ns a partir de uma estrutura predita cada, com ligantes muito maiores que os candidatos. (x) O MM-GBSA e o PRODIGY não separaram inibidores de iscas, de modo que a classificação de energia é uma triagem grosseira.</w:t>
      </w:r>
    </w:p>
    <w:bookmarkEnd w:id="62"/>
    <w:bookmarkStart w:id="63" w:name="perspectivas"/>
    <w:p>
      <w:pPr>
        <w:pStyle w:val="Heading3"/>
      </w:pPr>
      <w:r>
        <w:t xml:space="preserve">4.5 Perspectivas</w:t>
      </w:r>
    </w:p>
    <w:p>
      <w:pPr>
        <w:pStyle w:val="FirstParagraph"/>
      </w:pPr>
      <w:r>
        <w:t xml:space="preserve">Os aperfeiçoamentos mais diretos são fixar a sequência do receptor durante o desenho e permitir exatamente um P1 básico seguido de prolina já no desenho; desenhar esqueletos lineares diretamente e proteger as extremidades dos peptídeos lineares; fazer simulações replicadas dos peptídeos da lista curta, estendidas a centenas de nanossegundos; e acrescentar uma contrasseleção contra proteases não alvo para que a seletividade vire objetivo. O teste decisivo é enzimático: ensaios de inibição com extratos do intestino médio de</w:t>
      </w:r>
      <w:r>
        <w:t xml:space="preserve"> </w:t>
      </w:r>
      <w:r>
        <w:rPr>
          <w:i/>
          <w:iCs/>
        </w:rPr>
        <w:t xml:space="preserve">A. gemmatalis</w:t>
      </w:r>
      <w:r>
        <w:t xml:space="preserve"> </w:t>
      </w:r>
      <w:r>
        <w:t xml:space="preserve">e com tripsinas não alvo, e um ensaio de estabilidade dos candidatos nos mesmos extratos.</w:t>
      </w:r>
    </w:p>
    <w:p>
      <w:r>
        <w:pict>
          <v:rect style="width:0;height:1.5pt" o:hralign="center" o:hrstd="t" o:hr="t"/>
        </w:pict>
      </w:r>
    </w:p>
    <w:bookmarkEnd w:id="63"/>
    <w:bookmarkEnd w:id="64"/>
    <w:bookmarkStart w:id="65" w:name="conclusão"/>
    <w:p>
      <w:pPr>
        <w:pStyle w:val="Heading2"/>
      </w:pPr>
      <w:r>
        <w:t xml:space="preserve">5 Conclusão</w:t>
      </w:r>
    </w:p>
    <w:p>
      <w:pPr>
        <w:pStyle w:val="FirstParagraph"/>
      </w:pPr>
      <w:r>
        <w:t xml:space="preserve">Os inibidores naturais serviram como moldes e padrões de calibração para um pipeline que leva oito tripsinas digestivas de lepidópteros a um conjunto ordenado de peptídeos curtos e não clivaveis. O Boltz-2 sustenta comparações pareadas; o MM-GBSA e o PRODIGY apenas ordenam candidatos contra o mesmo receptor; e a ocupância de S1 em 10 ns acompanha a pose inicial, de modo que, por si só, não indica ligação; a ocupância de nove candidatos diferiu em mais de 0,5 entre pH 8,2 e pH 10,0, nos dois sentidos e sem desvio líquido, e repetições no mesmo pH diferiram em mais de 0,5 em três de 16 pares. Os quatro peptídeos da lista curta (NGGRPDAP, GQNDS, GGHSE, GGKPGEP) sobreviveram aos filtros disponíveis e não carregam alegação de seletividade ou atividade. Os testes decisivos são enzimáticos.</w:t>
      </w:r>
    </w:p>
    <w:bookmarkEnd w:id="65"/>
    <w:bookmarkStart w:id="66" w:name="declaração-de-disponibilidade-de-dados"/>
    <w:p>
      <w:pPr>
        <w:pStyle w:val="Heading2"/>
      </w:pPr>
      <w:r>
        <w:t xml:space="preserve">Declaração de disponibilidade de dados</w:t>
      </w:r>
    </w:p>
    <w:p>
      <w:pPr>
        <w:pStyle w:val="FirstParagraph"/>
      </w:pPr>
      <w:r>
        <w:t xml:space="preserve">O código, os arquivos de configuração, as listas de candidatos e os escores por candidato estão no repositório do projeto (https://github.com/eulaliobqi/design-inibidores).</w:t>
      </w:r>
      <w:r>
        <w:t xml:space="preserve"> </w:t>
      </w:r>
      <w:r>
        <w:rPr>
          <w:rStyle w:val="Pendente"/>
        </w:rPr>
        <w:t xml:space="preserve">PENDENTE: confirmar a visibilidade do repositório e o DOI de arquivamento (por exemplo, Zenodo) antes da submissão.</w:t>
      </w:r>
    </w:p>
    <w:bookmarkEnd w:id="66"/>
    <w:bookmarkStart w:id="67" w:name="declaração-de-ética"/>
    <w:p>
      <w:pPr>
        <w:pStyle w:val="Heading2"/>
      </w:pPr>
      <w:r>
        <w:t xml:space="preserve">Declaração de ética</w:t>
      </w:r>
    </w:p>
    <w:p>
      <w:pPr>
        <w:pStyle w:val="FirstParagraph"/>
      </w:pPr>
      <w:r>
        <w:t xml:space="preserve">Não se aplica. É um estudo computacional; não envolveu animais, participantes humanos nem dados pessoais.</w:t>
      </w:r>
    </w:p>
    <w:bookmarkEnd w:id="67"/>
    <w:bookmarkStart w:id="68" w:name="contribuições-dos-autores"/>
    <w:p>
      <w:pPr>
        <w:pStyle w:val="Heading2"/>
      </w:pPr>
      <w:r>
        <w:t xml:space="preserve">Contribuições dos autores</w:t>
      </w:r>
    </w:p>
    <w:p>
      <w:pPr>
        <w:pStyle w:val="FirstParagraph"/>
      </w:pPr>
      <w:r>
        <w:rPr>
          <w:rStyle w:val="Pendente"/>
        </w:rPr>
        <w:t xml:space="preserve">PENDENTE: a completar pelos autores (papéis CRediT).</w:t>
      </w:r>
    </w:p>
    <w:bookmarkEnd w:id="68"/>
    <w:bookmarkStart w:id="69" w:name="financiamento"/>
    <w:p>
      <w:pPr>
        <w:pStyle w:val="Heading2"/>
      </w:pPr>
      <w:r>
        <w:t xml:space="preserve">Financiamento</w:t>
      </w:r>
    </w:p>
    <w:p>
      <w:pPr>
        <w:pStyle w:val="FirstParagraph"/>
      </w:pPr>
      <w:r>
        <w:rPr>
          <w:rStyle w:val="Pendente"/>
        </w:rPr>
        <w:t xml:space="preserve">PENDENTE: a completar pelos autores.</w:t>
      </w:r>
    </w:p>
    <w:bookmarkEnd w:id="69"/>
    <w:bookmarkStart w:id="70" w:name="agradecimentos"/>
    <w:p>
      <w:pPr>
        <w:pStyle w:val="Heading2"/>
      </w:pPr>
      <w:r>
        <w:t xml:space="preserve">Agradecimentos</w:t>
      </w:r>
    </w:p>
    <w:p>
      <w:pPr>
        <w:pStyle w:val="FirstParagraph"/>
      </w:pPr>
      <w:r>
        <w:rPr>
          <w:rStyle w:val="Pendente"/>
        </w:rPr>
        <w:t xml:space="preserve">PENDENTE: a completar pelos autores.</w:t>
      </w:r>
    </w:p>
    <w:bookmarkEnd w:id="70"/>
    <w:bookmarkStart w:id="71" w:name="conflito-de-interesses"/>
    <w:p>
      <w:pPr>
        <w:pStyle w:val="Heading2"/>
      </w:pPr>
      <w:r>
        <w:t xml:space="preserve">Conflito de interesses</w:t>
      </w:r>
    </w:p>
    <w:p>
      <w:pPr>
        <w:pStyle w:val="FirstParagraph"/>
      </w:pPr>
      <w:r>
        <w:rPr>
          <w:rStyle w:val="Pendente"/>
        </w:rPr>
        <w:t xml:space="preserve">PENDENTE: a completar pelos autores. Texto padrão da Frontiers usado em dois dos três artigos de exemplo:</w:t>
      </w:r>
      <w:r>
        <w:rPr>
          <w:rStyle w:val="Pendente"/>
        </w:rPr>
        <w:t xml:space="preserve"> </w:t>
      </w:r>
      <w:r>
        <w:rPr>
          <w:rStyle w:val="Pendente"/>
        </w:rPr>
        <w:t xml:space="preserve">“The author(s) declared that this work was conducted in the absence of any commercial or financial relationships that could be construed as a potential conflict of interest.”</w:t>
      </w:r>
    </w:p>
    <w:bookmarkEnd w:id="71"/>
    <w:bookmarkStart w:id="72" w:name="declaração-de-ia-generativa"/>
    <w:p>
      <w:pPr>
        <w:pStyle w:val="Heading2"/>
      </w:pPr>
      <w:r>
        <w:t xml:space="preserve">Declaração de IA generativa</w:t>
      </w:r>
    </w:p>
    <w:p>
      <w:pPr>
        <w:pStyle w:val="FirstParagraph"/>
      </w:pPr>
      <w:r>
        <w:rPr>
          <w:rStyle w:val="Pendente"/>
        </w:rPr>
        <w:t xml:space="preserve">PENDENTE, autores a confirmar o texto, no formato usado pela Frontiers in Natural Products:</w:t>
      </w:r>
      <w:r>
        <w:rPr>
          <w:rStyle w:val="Pendente"/>
        </w:rPr>
        <w:t xml:space="preserve"> </w:t>
      </w:r>
      <w:r>
        <w:rPr>
          <w:rStyle w:val="Pendente"/>
        </w:rPr>
        <w:t xml:space="preserve">“The author(s) declared that generative AI was used in the creation of this manuscript. During the preparation of this manuscript, the authors used Claude (Anthropic) to write analysis scripts, generate figures, and draft and translate text. The authors verified all numerical results against the output files, verified every reference against Crossref or PubMed, and take full responsibility for the content.”</w:t>
      </w:r>
    </w:p>
    <w:bookmarkEnd w:id="72"/>
    <w:bookmarkStart w:id="73" w:name="material-suplementar"/>
    <w:p>
      <w:pPr>
        <w:pStyle w:val="Heading2"/>
      </w:pPr>
      <w:r>
        <w:t xml:space="preserve">Material suplementar</w:t>
      </w:r>
    </w:p>
    <w:p>
      <w:pPr>
        <w:pStyle w:val="FirstParagraph"/>
      </w:pPr>
      <w:r>
        <w:t xml:space="preserve">As Figuras S1–S11 e as Tabelas S1–S3 (legendas e tabelas abaixo) são fornecidas como material suplementar.</w:t>
      </w:r>
    </w:p>
    <w:bookmarkEnd w:id="73"/>
    <w:bookmarkStart w:id="104" w:name="figuras-suplementares"/>
    <w:p>
      <w:pPr>
        <w:pStyle w:val="Heading2"/>
      </w:pPr>
      <w:r>
        <w:t xml:space="preserve">Figuras suplementares</w:t>
      </w:r>
    </w:p>
    <w:p>
      <w:pPr>
        <w:pStyle w:val="CaptionedFigure"/>
      </w:pPr>
      <w:r>
        <w:drawing>
          <wp:inline>
            <wp:extent cx="4679999" cy="1486588"/>
            <wp:effectExtent b="0" l="0" r="0" t="0"/>
            <wp:docPr descr="Figura S1. Resíduos proibidos em P1 por classe de protease do intestino médio no critério duro. Um resíduo é tolerado quando o seguinte é prolina; a isoleucina é proibida só no C-terminal livre do peptídeo linear." title="" id="75" name="Picture"/>
            <a:graphic>
              <a:graphicData uri="http://schemas.openxmlformats.org/drawingml/2006/picture">
                <pic:pic>
                  <pic:nvPicPr>
                    <pic:cNvPr descr="figures/pt/fig2_regra_dura.png" id="76" name="Picture"/>
                    <pic:cNvPicPr>
                      <a:picLocks noChangeArrowheads="1" noChangeAspect="1"/>
                    </pic:cNvPicPr>
                  </pic:nvPicPr>
                  <pic:blipFill>
                    <a:blip r:embed="rId74"/>
                    <a:stretch>
                      <a:fillRect/>
                    </a:stretch>
                  </pic:blipFill>
                  <pic:spPr bwMode="auto">
                    <a:xfrm>
                      <a:off x="0" y="0"/>
                      <a:ext cx="4679999" cy="1486588"/>
                    </a:xfrm>
                    <a:prstGeom prst="rect">
                      <a:avLst/>
                    </a:prstGeom>
                    <a:noFill/>
                    <a:ln w="9525">
                      <a:noFill/>
                      <a:headEnd/>
                      <a:tailEnd/>
                    </a:ln>
                  </pic:spPr>
                </pic:pic>
              </a:graphicData>
            </a:graphic>
          </wp:inline>
        </w:drawing>
      </w:r>
    </w:p>
    <w:p>
      <w:pPr>
        <w:pStyle w:val="ImageCaption"/>
      </w:pPr>
      <w:r>
        <w:rPr>
          <w:b/>
          <w:bCs/>
        </w:rPr>
        <w:t xml:space="preserve">Figura S1.</w:t>
      </w:r>
      <w:r>
        <w:t xml:space="preserve"> </w:t>
      </w:r>
      <w:r>
        <w:t xml:space="preserve">Resíduos proibidos em P1 por classe de protease do intestino médio no critério duro. Um resíduo é tolerado quando o seguinte é prolina; a isoleucina é proibida só no C-terminal livre do peptídeo linear.</w:t>
      </w:r>
    </w:p>
    <w:p>
      <w:pPr>
        <w:pStyle w:val="CaptionedFigure"/>
      </w:pPr>
      <w:r>
        <w:drawing>
          <wp:inline>
            <wp:extent cx="4679999" cy="1819143"/>
            <wp:effectExtent b="0" l="0" r="0" t="0"/>
            <wp:docPr descr="Figura S2. Propriedades das 22.066 sequências desenhadas por classe da triagem por escore de motivos. (A) Distribuição de comprimento. (B) Porcentagem de sequências com lisina ou arginina, e com lisina ou arginina no proxy geométrico de P1. (C) Composição de aminoácidos das classes semelhantes a resistentes e susceptíveis." title="" id="78" name="Picture"/>
            <a:graphic>
              <a:graphicData uri="http://schemas.openxmlformats.org/drawingml/2006/picture">
                <pic:pic>
                  <pic:nvPicPr>
                    <pic:cNvPr descr="figures/final/FigureS2_motif_screen.png" id="79" name="Picture"/>
                    <pic:cNvPicPr>
                      <a:picLocks noChangeArrowheads="1" noChangeAspect="1"/>
                    </pic:cNvPicPr>
                  </pic:nvPicPr>
                  <pic:blipFill>
                    <a:blip r:embed="rId77"/>
                    <a:stretch>
                      <a:fillRect/>
                    </a:stretch>
                  </pic:blipFill>
                  <pic:spPr bwMode="auto">
                    <a:xfrm>
                      <a:off x="0" y="0"/>
                      <a:ext cx="4679999" cy="1819143"/>
                    </a:xfrm>
                    <a:prstGeom prst="rect">
                      <a:avLst/>
                    </a:prstGeom>
                    <a:noFill/>
                    <a:ln w="9525">
                      <a:noFill/>
                      <a:headEnd/>
                      <a:tailEnd/>
                    </a:ln>
                  </pic:spPr>
                </pic:pic>
              </a:graphicData>
            </a:graphic>
          </wp:inline>
        </w:drawing>
      </w:r>
    </w:p>
    <w:p>
      <w:pPr>
        <w:pStyle w:val="ImageCaption"/>
      </w:pPr>
      <w:r>
        <w:rPr>
          <w:b/>
          <w:bCs/>
        </w:rPr>
        <w:t xml:space="preserve">Figura S2.</w:t>
      </w:r>
      <w:r>
        <w:t xml:space="preserve"> </w:t>
      </w:r>
      <w:r>
        <w:t xml:space="preserve">Propriedades das 22.066 sequências desenhadas por classe da triagem por escore de motivos. (A) Distribuição de comprimento. (B) Porcentagem de sequências com lisina ou arginina, e com lisina ou arginina no proxy geométrico de P1. (C) Composição de aminoácidos das classes semelhantes a resistentes e susceptíveis.</w:t>
      </w:r>
    </w:p>
    <w:p>
      <w:pPr>
        <w:pStyle w:val="CaptionedFigure"/>
      </w:pPr>
      <w:r>
        <w:drawing>
          <wp:inline>
            <wp:extent cx="4679999" cy="1647359"/>
            <wp:effectExtent b="0" l="0" r="0" t="0"/>
            <wp:docPr descr="Figura S3. Composição do conjunto semelhante a resistente sob o critério duro: composição de aminoácidos (todas as sequências e as 527 lineares) e distribuição de comprimento." title="" id="81" name="Picture"/>
            <a:graphic>
              <a:graphicData uri="http://schemas.openxmlformats.org/drawingml/2006/picture">
                <pic:pic>
                  <pic:nvPicPr>
                    <pic:cNvPr descr="figures/pt/fig6_composicao.png" id="82" name="Picture"/>
                    <pic:cNvPicPr>
                      <a:picLocks noChangeArrowheads="1" noChangeAspect="1"/>
                    </pic:cNvPicPr>
                  </pic:nvPicPr>
                  <pic:blipFill>
                    <a:blip r:embed="rId80"/>
                    <a:stretch>
                      <a:fillRect/>
                    </a:stretch>
                  </pic:blipFill>
                  <pic:spPr bwMode="auto">
                    <a:xfrm>
                      <a:off x="0" y="0"/>
                      <a:ext cx="4679999" cy="1647359"/>
                    </a:xfrm>
                    <a:prstGeom prst="rect">
                      <a:avLst/>
                    </a:prstGeom>
                    <a:noFill/>
                    <a:ln w="9525">
                      <a:noFill/>
                      <a:headEnd/>
                      <a:tailEnd/>
                    </a:ln>
                  </pic:spPr>
                </pic:pic>
              </a:graphicData>
            </a:graphic>
          </wp:inline>
        </w:drawing>
      </w:r>
    </w:p>
    <w:p>
      <w:pPr>
        <w:pStyle w:val="ImageCaption"/>
      </w:pPr>
      <w:r>
        <w:rPr>
          <w:b/>
          <w:bCs/>
        </w:rPr>
        <w:t xml:space="preserve">Figura S3.</w:t>
      </w:r>
      <w:r>
        <w:t xml:space="preserve"> </w:t>
      </w:r>
      <w:r>
        <w:t xml:space="preserve">Composição do conjunto semelhante a resistente sob o critério duro: composição de aminoácidos (todas as sequências e as 527 lineares) e distribuição de comprimento.</w:t>
      </w:r>
    </w:p>
    <w:p>
      <w:pPr>
        <w:pStyle w:val="CaptionedFigure"/>
      </w:pPr>
      <w:r>
        <w:drawing>
          <wp:inline>
            <wp:extent cx="4679999" cy="2028367"/>
            <wp:effectExtent b="0" l="0" r="0" t="0"/>
            <wp:docPr descr="Figura S4. Reescore dos dez melhores candidatos por espécie e frente (E2). (A) Confiança média do E2 contra a confiança do E1. (B) Confiança do E2 por candidato e espécie. (C) Fração das 15 amostras que passam no controle de qualidade de pose." title="" id="84" name="Picture"/>
            <a:graphic>
              <a:graphicData uri="http://schemas.openxmlformats.org/drawingml/2006/picture">
                <pic:pic>
                  <pic:nvPicPr>
                    <pic:cNvPr descr="figures/pt/fig9_reescore_e2.png" id="85" name="Picture"/>
                    <pic:cNvPicPr>
                      <a:picLocks noChangeArrowheads="1" noChangeAspect="1"/>
                    </pic:cNvPicPr>
                  </pic:nvPicPr>
                  <pic:blipFill>
                    <a:blip r:embed="rId83"/>
                    <a:stretch>
                      <a:fillRect/>
                    </a:stretch>
                  </pic:blipFill>
                  <pic:spPr bwMode="auto">
                    <a:xfrm>
                      <a:off x="0" y="0"/>
                      <a:ext cx="4679999" cy="2028367"/>
                    </a:xfrm>
                    <a:prstGeom prst="rect">
                      <a:avLst/>
                    </a:prstGeom>
                    <a:noFill/>
                    <a:ln w="9525">
                      <a:noFill/>
                      <a:headEnd/>
                      <a:tailEnd/>
                    </a:ln>
                  </pic:spPr>
                </pic:pic>
              </a:graphicData>
            </a:graphic>
          </wp:inline>
        </w:drawing>
      </w:r>
    </w:p>
    <w:p>
      <w:pPr>
        <w:pStyle w:val="ImageCaption"/>
      </w:pPr>
      <w:r>
        <w:rPr>
          <w:b/>
          <w:bCs/>
        </w:rPr>
        <w:t xml:space="preserve">Figura S4.</w:t>
      </w:r>
      <w:r>
        <w:t xml:space="preserve"> </w:t>
      </w:r>
      <w:r>
        <w:t xml:space="preserve">Reescore dos dez melhores candidatos por espécie e frente (E2). (A) Confiança média do E2 contra a confiança do E1. (B) Confiança do E2 por candidato e espécie. (C) Fração das 15 amostras que passam no controle de qualidade de pose.</w:t>
      </w:r>
    </w:p>
    <w:p>
      <w:pPr>
        <w:pStyle w:val="CaptionedFigure"/>
      </w:pPr>
      <w:r>
        <w:drawing>
          <wp:inline>
            <wp:extent cx="4679999" cy="1975510"/>
            <wp:effectExtent b="0" l="0" r="0" t="0"/>
            <wp:docPr descr="Figura S5. Os 48 candidatos finais. (A) Confiança do E2. (B) Distância mínima entre o peptídeo e o carboxilato do Asp189 na estrutura inicial (tracejado: 5 Å)." title="" id="87" name="Picture"/>
            <a:graphic>
              <a:graphicData uri="http://schemas.openxmlformats.org/drawingml/2006/picture">
                <pic:pic>
                  <pic:nvPicPr>
                    <pic:cNvPr descr="figures/pt/fig10_top3_pose.png" id="88" name="Picture"/>
                    <pic:cNvPicPr>
                      <a:picLocks noChangeArrowheads="1" noChangeAspect="1"/>
                    </pic:cNvPicPr>
                  </pic:nvPicPr>
                  <pic:blipFill>
                    <a:blip r:embed="rId86"/>
                    <a:stretch>
                      <a:fillRect/>
                    </a:stretch>
                  </pic:blipFill>
                  <pic:spPr bwMode="auto">
                    <a:xfrm>
                      <a:off x="0" y="0"/>
                      <a:ext cx="4679999" cy="1975510"/>
                    </a:xfrm>
                    <a:prstGeom prst="rect">
                      <a:avLst/>
                    </a:prstGeom>
                    <a:noFill/>
                    <a:ln w="9525">
                      <a:noFill/>
                      <a:headEnd/>
                      <a:tailEnd/>
                    </a:ln>
                  </pic:spPr>
                </pic:pic>
              </a:graphicData>
            </a:graphic>
          </wp:inline>
        </w:drawing>
      </w:r>
    </w:p>
    <w:p>
      <w:pPr>
        <w:pStyle w:val="ImageCaption"/>
      </w:pPr>
      <w:r>
        <w:rPr>
          <w:b/>
          <w:bCs/>
        </w:rPr>
        <w:t xml:space="preserve">Figura S5.</w:t>
      </w:r>
      <w:r>
        <w:t xml:space="preserve"> </w:t>
      </w:r>
      <w:r>
        <w:t xml:space="preserve">Os 48 candidatos finais. (A) Confiança do E2. (B) Distância mínima entre o peptídeo e o carboxilato do Asp189 na estrutura inicial (tracejado: 5 Å).</w:t>
      </w:r>
    </w:p>
    <w:p>
      <w:pPr>
        <w:pStyle w:val="CaptionedFigure"/>
      </w:pPr>
      <w:r>
        <w:drawing>
          <wp:inline>
            <wp:extent cx="4679999" cy="1768489"/>
            <wp:effectExtent b="0" l="0" r="0" t="0"/>
            <wp:docPr descr="Figura S6. Integridade do anel nas simulações cíclicas de A. gemmatalis (10 ns, pH 10,0): distância C–N de fechamento, ângulo ω de fechamento em valor absoluto ao longo do tempo e distribuição de ω. Linhas tracejadas: os limites declarados de antemão (C–N ≤ 1,5 Å, ω ≥ 150°)." title="" id="90" name="Picture"/>
            <a:graphic>
              <a:graphicData uri="http://schemas.openxmlformats.org/drawingml/2006/picture">
                <pic:pic>
                  <pic:nvPicPr>
                    <pic:cNvPr descr="figures/pt/figS2_anel_ciclico_charmm36.png" id="91" name="Picture"/>
                    <pic:cNvPicPr>
                      <a:picLocks noChangeArrowheads="1" noChangeAspect="1"/>
                    </pic:cNvPicPr>
                  </pic:nvPicPr>
                  <pic:blipFill>
                    <a:blip r:embed="rId89"/>
                    <a:stretch>
                      <a:fillRect/>
                    </a:stretch>
                  </pic:blipFill>
                  <pic:spPr bwMode="auto">
                    <a:xfrm>
                      <a:off x="0" y="0"/>
                      <a:ext cx="4679999" cy="1768489"/>
                    </a:xfrm>
                    <a:prstGeom prst="rect">
                      <a:avLst/>
                    </a:prstGeom>
                    <a:noFill/>
                    <a:ln w="9525">
                      <a:noFill/>
                      <a:headEnd/>
                      <a:tailEnd/>
                    </a:ln>
                  </pic:spPr>
                </pic:pic>
              </a:graphicData>
            </a:graphic>
          </wp:inline>
        </w:drawing>
      </w:r>
    </w:p>
    <w:p>
      <w:pPr>
        <w:pStyle w:val="ImageCaption"/>
      </w:pPr>
      <w:r>
        <w:rPr>
          <w:b/>
          <w:bCs/>
        </w:rPr>
        <w:t xml:space="preserve">Figura S6.</w:t>
      </w:r>
      <w:r>
        <w:t xml:space="preserve"> </w:t>
      </w:r>
      <w:r>
        <w:t xml:space="preserve">Integridade do anel nas simulações cíclicas de</w:t>
      </w:r>
      <w:r>
        <w:t xml:space="preserve"> </w:t>
      </w:r>
      <w:r>
        <w:rPr>
          <w:i/>
          <w:iCs/>
        </w:rPr>
        <w:t xml:space="preserve">A. gemmatalis</w:t>
      </w:r>
      <w:r>
        <w:t xml:space="preserve"> </w:t>
      </w:r>
      <w:r>
        <w:t xml:space="preserve">(10 ns, pH 10,0): distância C–N de fechamento, ângulo ω de fechamento em valor absoluto ao longo do tempo e distribuição de ω. Linhas tracejadas: os limites declarados de antemão (C–N ≤ 1,5 Å, ω ≥ 150°).</w:t>
      </w:r>
    </w:p>
    <w:p>
      <w:pPr>
        <w:pStyle w:val="CaptionedFigure"/>
      </w:pPr>
      <w:r>
        <w:drawing>
          <wp:inline>
            <wp:extent cx="4679999" cy="3419999"/>
            <wp:effectExtent b="0" l="0" r="0" t="0"/>
            <wp:docPr descr="Figura S7. Matriz de evidências e camadas (A, B, C) dos 48 candidatos finais, ordenados dentro de uma camada pela diferença pareada, pela confiança do Boltz-2 e pela ocupância de S1 (a ocupância não define a camada)." title="" id="93" name="Picture"/>
            <a:graphic>
              <a:graphicData uri="http://schemas.openxmlformats.org/drawingml/2006/picture">
                <pic:pic>
                  <pic:nvPicPr>
                    <pic:cNvPr descr="figures/pt/fig12_candidatos_finais.png" id="94" name="Picture"/>
                    <pic:cNvPicPr>
                      <a:picLocks noChangeArrowheads="1" noChangeAspect="1"/>
                    </pic:cNvPicPr>
                  </pic:nvPicPr>
                  <pic:blipFill>
                    <a:blip r:embed="rId92"/>
                    <a:stretch>
                      <a:fillRect/>
                    </a:stretch>
                  </pic:blipFill>
                  <pic:spPr bwMode="auto">
                    <a:xfrm>
                      <a:off x="0" y="0"/>
                      <a:ext cx="4679999" cy="3419999"/>
                    </a:xfrm>
                    <a:prstGeom prst="rect">
                      <a:avLst/>
                    </a:prstGeom>
                    <a:noFill/>
                    <a:ln w="9525">
                      <a:noFill/>
                      <a:headEnd/>
                      <a:tailEnd/>
                    </a:ln>
                  </pic:spPr>
                </pic:pic>
              </a:graphicData>
            </a:graphic>
          </wp:inline>
        </w:drawing>
      </w:r>
    </w:p>
    <w:p>
      <w:pPr>
        <w:pStyle w:val="ImageCaption"/>
      </w:pPr>
      <w:r>
        <w:rPr>
          <w:b/>
          <w:bCs/>
        </w:rPr>
        <w:t xml:space="preserve">Figura S7.</w:t>
      </w:r>
      <w:r>
        <w:t xml:space="preserve"> </w:t>
      </w:r>
      <w:r>
        <w:t xml:space="preserve">Matriz de evidências e camadas (A, B, C) dos 48 candidatos finais, ordenados dentro de uma camada pela diferença pareada, pela confiança do Boltz-2 e pela ocupância de S1 (a ocupância não define a camada).</w:t>
      </w:r>
    </w:p>
    <w:p>
      <w:pPr>
        <w:pStyle w:val="CaptionedFigure"/>
      </w:pPr>
      <w:r>
        <w:drawing>
          <wp:inline>
            <wp:extent cx="4679999" cy="1546051"/>
            <wp:effectExtent b="0" l="0" r="0" t="0"/>
            <wp:docPr descr="Figura S8. Co-dobramento com o Boltz-2 dos 1.829 macrociclos da primeira rodada: ipTM e pLDDT do complexo por espécie e ipTM médio por comprimento." title="" id="96" name="Picture"/>
            <a:graphic>
              <a:graphicData uri="http://schemas.openxmlformats.org/drawingml/2006/picture">
                <pic:pic>
                  <pic:nvPicPr>
                    <pic:cNvPr descr="figures/pt/fig7_boltz2_1a_rodada.png" id="97" name="Picture"/>
                    <pic:cNvPicPr>
                      <a:picLocks noChangeArrowheads="1" noChangeAspect="1"/>
                    </pic:cNvPicPr>
                  </pic:nvPicPr>
                  <pic:blipFill>
                    <a:blip r:embed="rId95"/>
                    <a:stretch>
                      <a:fillRect/>
                    </a:stretch>
                  </pic:blipFill>
                  <pic:spPr bwMode="auto">
                    <a:xfrm>
                      <a:off x="0" y="0"/>
                      <a:ext cx="4679999" cy="1546051"/>
                    </a:xfrm>
                    <a:prstGeom prst="rect">
                      <a:avLst/>
                    </a:prstGeom>
                    <a:noFill/>
                    <a:ln w="9525">
                      <a:noFill/>
                      <a:headEnd/>
                      <a:tailEnd/>
                    </a:ln>
                  </pic:spPr>
                </pic:pic>
              </a:graphicData>
            </a:graphic>
          </wp:inline>
        </w:drawing>
      </w:r>
    </w:p>
    <w:p>
      <w:pPr>
        <w:pStyle w:val="ImageCaption"/>
      </w:pPr>
      <w:r>
        <w:rPr>
          <w:b/>
          <w:bCs/>
        </w:rPr>
        <w:t xml:space="preserve">Figura S8.</w:t>
      </w:r>
      <w:r>
        <w:t xml:space="preserve"> </w:t>
      </w:r>
      <w:r>
        <w:t xml:space="preserve">Co-dobramento com o Boltz-2 dos 1.829 macrociclos da primeira rodada: ipTM e pLDDT do complexo por espécie e ipTM médio por comprimento.</w:t>
      </w:r>
    </w:p>
    <w:p>
      <w:pPr>
        <w:pStyle w:val="CaptionedFigure"/>
      </w:pPr>
      <w:r>
        <w:drawing>
          <wp:inline>
            <wp:extent cx="4679999" cy="2092235"/>
            <wp:effectExtent b="0" l="0" r="0" t="0"/>
            <wp:docPr descr="Figura S9. Triagem por escore de motivos por espécie sob a regra linear-estrita e a circular." title="" id="99" name="Picture"/>
            <a:graphic>
              <a:graphicData uri="http://schemas.openxmlformats.org/drawingml/2006/picture">
                <pic:pic>
                  <pic:nvPicPr>
                    <pic:cNvPr descr="figures/pt/figS1_regras_motivo.png" id="100" name="Picture"/>
                    <pic:cNvPicPr>
                      <a:picLocks noChangeArrowheads="1" noChangeAspect="1"/>
                    </pic:cNvPicPr>
                  </pic:nvPicPr>
                  <pic:blipFill>
                    <a:blip r:embed="rId98"/>
                    <a:stretch>
                      <a:fillRect/>
                    </a:stretch>
                  </pic:blipFill>
                  <pic:spPr bwMode="auto">
                    <a:xfrm>
                      <a:off x="0" y="0"/>
                      <a:ext cx="4679999" cy="2092235"/>
                    </a:xfrm>
                    <a:prstGeom prst="rect">
                      <a:avLst/>
                    </a:prstGeom>
                    <a:noFill/>
                    <a:ln w="9525">
                      <a:noFill/>
                      <a:headEnd/>
                      <a:tailEnd/>
                    </a:ln>
                  </pic:spPr>
                </pic:pic>
              </a:graphicData>
            </a:graphic>
          </wp:inline>
        </w:drawing>
      </w:r>
    </w:p>
    <w:p>
      <w:pPr>
        <w:pStyle w:val="ImageCaption"/>
      </w:pPr>
      <w:r>
        <w:rPr>
          <w:b/>
          <w:bCs/>
        </w:rPr>
        <w:t xml:space="preserve">Figura S9.</w:t>
      </w:r>
      <w:r>
        <w:t xml:space="preserve"> </w:t>
      </w:r>
      <w:r>
        <w:t xml:space="preserve">Triagem por escore de motivos por espécie sob a regra linear-estrita e a circular.</w:t>
      </w:r>
    </w:p>
    <w:p>
      <w:pPr>
        <w:pStyle w:val="CaptionedFigure"/>
      </w:pPr>
      <w:r>
        <w:drawing>
          <wp:inline>
            <wp:extent cx="4679999" cy="1689204"/>
            <wp:effectExtent b="0" l="0" r="0" t="0"/>
            <wp:docPr descr="Figura S10. MM-GBSA e PRODIGY nas trajetórias das 48 simulações de pH 10,0 (segunda metade; ΔG sem entropia). (A) ΔG do MM-GBSA contra o comprimento do peptídeo. (B) ΔG do MM-GBSA contra a distância final âncora–Asp189. (C) ΔG do PRODIGY em 30 quadros contra o ΔG do MM-GBSA. ρ: correlação de Spearman." title="" id="102" name="Picture"/>
            <a:graphic>
              <a:graphicData uri="http://schemas.openxmlformats.org/drawingml/2006/picture">
                <pic:pic>
                  <pic:nvPicPr>
                    <pic:cNvPr descr="figures/final/FigureS10_energy_trajectories.png" id="103" name="Picture"/>
                    <pic:cNvPicPr>
                      <a:picLocks noChangeArrowheads="1" noChangeAspect="1"/>
                    </pic:cNvPicPr>
                  </pic:nvPicPr>
                  <pic:blipFill>
                    <a:blip r:embed="rId101"/>
                    <a:stretch>
                      <a:fillRect/>
                    </a:stretch>
                  </pic:blipFill>
                  <pic:spPr bwMode="auto">
                    <a:xfrm>
                      <a:off x="0" y="0"/>
                      <a:ext cx="4679999" cy="1689204"/>
                    </a:xfrm>
                    <a:prstGeom prst="rect">
                      <a:avLst/>
                    </a:prstGeom>
                    <a:noFill/>
                    <a:ln w="9525">
                      <a:noFill/>
                      <a:headEnd/>
                      <a:tailEnd/>
                    </a:ln>
                  </pic:spPr>
                </pic:pic>
              </a:graphicData>
            </a:graphic>
          </wp:inline>
        </w:drawing>
      </w:r>
    </w:p>
    <w:p>
      <w:pPr>
        <w:pStyle w:val="ImageCaption"/>
      </w:pPr>
      <w:r>
        <w:rPr>
          <w:b/>
          <w:bCs/>
        </w:rPr>
        <w:t xml:space="preserve">Figura S10.</w:t>
      </w:r>
      <w:r>
        <w:t xml:space="preserve"> </w:t>
      </w:r>
      <w:r>
        <w:t xml:space="preserve">MM-GBSA e PRODIGY nas trajetórias das 48 simulações de pH 10,0 (segunda metade; ΔG sem entropia). (A) ΔG do MM-GBSA contra o comprimento do peptídeo. (B) ΔG do MM-GBSA contra a distância final âncora–Asp189. (C) ΔG do PRODIGY em 30 quadros contra o ΔG do MM-GBSA. ρ: correlação de Spearman.</w:t>
      </w:r>
    </w:p>
    <w:bookmarkEnd w:id="104"/>
    <w:bookmarkStart w:id="105" w:name="tabelas-suplementares"/>
    <w:p>
      <w:pPr>
        <w:pStyle w:val="Heading2"/>
      </w:pPr>
      <w:r>
        <w:t xml:space="preserve">Tabelas suplementares</w:t>
      </w:r>
    </w:p>
    <w:p>
      <w:pPr>
        <w:pStyle w:val="FirstParagraph"/>
      </w:pPr>
      <w:r>
        <w:rPr>
          <w:b/>
          <w:bCs/>
        </w:rPr>
        <w:t xml:space="preserve">Tabela S1.</w:t>
      </w:r>
      <w:r>
        <w:t xml:space="preserve"> </w:t>
      </w:r>
      <w:r>
        <w:t xml:space="preserve">Subsítios de referência (resíduos da tripsina bovina a até 4,5 Å do resíduo do inibidor em cada posição).</w:t>
      </w:r>
    </w:p>
    <w:tbl>
      <w:tblPr>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on"/>
        </w:trPr>
        <w:tc>
          <w:tcPr/>
          <w:p>
            <w:pPr>
              <w:pStyle w:val="Compact"/>
              <w:spacing w:line="240" w:lineRule="auto"/>
            </w:pPr>
            <w:r>
              <w:rPr>
                <w:b/>
                <w:sz w:val="18"/>
              </w:rPr>
              <w:t xml:space="preserve">Subsítio</w:t>
            </w:r>
          </w:p>
        </w:tc>
        <w:tc>
          <w:tcPr/>
          <w:p>
            <w:pPr>
              <w:pStyle w:val="Compact"/>
              <w:spacing w:line="240" w:lineRule="auto"/>
            </w:pPr>
            <w:r>
              <w:rPr>
                <w:b/>
                <w:sz w:val="18"/>
              </w:rPr>
              <w:t xml:space="preserve">Resíduo do BPTI</w:t>
            </w:r>
          </w:p>
        </w:tc>
        <w:tc>
          <w:tcPr/>
          <w:p>
            <w:pPr>
              <w:pStyle w:val="Compact"/>
              <w:spacing w:line="240" w:lineRule="auto"/>
            </w:pPr>
            <w:r>
              <w:rPr>
                <w:b/>
                <w:sz w:val="18"/>
              </w:rPr>
              <w:t xml:space="preserve">Contatos da tripsina (2PTC)</w:t>
            </w:r>
          </w:p>
        </w:tc>
        <w:tc>
          <w:tcPr/>
          <w:p>
            <w:pPr>
              <w:pStyle w:val="Compact"/>
              <w:spacing w:line="240" w:lineRule="auto"/>
            </w:pPr>
            <w:r>
              <w:rPr>
                <w:b/>
                <w:sz w:val="18"/>
              </w:rPr>
              <w:t xml:space="preserve">Resíduo do SFTI-1</w:t>
            </w:r>
          </w:p>
        </w:tc>
        <w:tc>
          <w:tcPr/>
          <w:p>
            <w:pPr>
              <w:pStyle w:val="Compact"/>
              <w:spacing w:line="240" w:lineRule="auto"/>
            </w:pPr>
            <w:r>
              <w:rPr>
                <w:b/>
                <w:sz w:val="18"/>
              </w:rPr>
              <w:t xml:space="preserve">Contatos da tripsina (1SFI)</w:t>
            </w:r>
          </w:p>
        </w:tc>
      </w:tr>
      <w:tr>
        <w:tc>
          <w:tcPr/>
          <w:p>
            <w:pPr>
              <w:pStyle w:val="Compact"/>
              <w:spacing w:line="240" w:lineRule="auto"/>
            </w:pPr>
            <w:r>
              <w:rPr>
                <w:sz w:val="18"/>
              </w:rPr>
              <w:t xml:space="preserve">S4</w:t>
            </w:r>
          </w:p>
        </w:tc>
        <w:tc>
          <w:tcPr/>
          <w:p>
            <w:pPr>
              <w:pStyle w:val="Compact"/>
              <w:spacing w:line="240" w:lineRule="auto"/>
            </w:pPr>
            <w:r>
              <w:rPr>
                <w:sz w:val="18"/>
              </w:rPr>
              <w:t xml:space="preserve">Gly12</w:t>
            </w:r>
          </w:p>
        </w:tc>
        <w:tc>
          <w:tcPr/>
          <w:p>
            <w:pPr>
              <w:pStyle w:val="Compact"/>
              <w:spacing w:line="240" w:lineRule="auto"/>
            </w:pPr>
            <w:r>
              <w:rPr>
                <w:sz w:val="18"/>
              </w:rPr>
              <w:t xml:space="preserve">Gln192</w:t>
            </w:r>
          </w:p>
        </w:tc>
        <w:tc>
          <w:tcPr/>
          <w:p>
            <w:pPr>
              <w:pStyle w:val="Compact"/>
              <w:spacing w:line="240" w:lineRule="auto"/>
            </w:pPr>
            <w:r>
              <w:rPr>
                <w:sz w:val="18"/>
              </w:rPr>
              <w:t xml:space="preserve">Arg2</w:t>
            </w:r>
          </w:p>
        </w:tc>
        <w:tc>
          <w:tcPr/>
          <w:p>
            <w:pPr>
              <w:pStyle w:val="Compact"/>
              <w:spacing w:line="240" w:lineRule="auto"/>
            </w:pPr>
            <w:r>
              <w:rPr>
                <w:sz w:val="18"/>
              </w:rPr>
              <w:t xml:space="preserve">Asn97, Gln175, Gly216, Ser217, Trp215</w:t>
            </w:r>
          </w:p>
        </w:tc>
      </w:tr>
      <w:tr>
        <w:tc>
          <w:tcPr/>
          <w:p>
            <w:pPr>
              <w:pStyle w:val="Compact"/>
              <w:spacing w:line="240" w:lineRule="auto"/>
            </w:pPr>
            <w:r>
              <w:rPr>
                <w:sz w:val="18"/>
              </w:rPr>
              <w:t xml:space="preserve">S3</w:t>
            </w:r>
          </w:p>
        </w:tc>
        <w:tc>
          <w:tcPr/>
          <w:p>
            <w:pPr>
              <w:pStyle w:val="Compact"/>
              <w:spacing w:line="240" w:lineRule="auto"/>
            </w:pPr>
            <w:r>
              <w:rPr>
                <w:sz w:val="18"/>
              </w:rPr>
              <w:t xml:space="preserve">Pro13</w:t>
            </w:r>
          </w:p>
        </w:tc>
        <w:tc>
          <w:tcPr/>
          <w:p>
            <w:pPr>
              <w:pStyle w:val="Compact"/>
              <w:spacing w:line="240" w:lineRule="auto"/>
            </w:pPr>
            <w:r>
              <w:rPr>
                <w:sz w:val="18"/>
              </w:rPr>
              <w:t xml:space="preserve">Gln192, Gly216, Trp215</w:t>
            </w:r>
          </w:p>
        </w:tc>
        <w:tc>
          <w:tcPr/>
          <w:p>
            <w:pPr>
              <w:pStyle w:val="Compact"/>
              <w:spacing w:line="240" w:lineRule="auto"/>
            </w:pPr>
            <w:r>
              <w:rPr>
                <w:sz w:val="18"/>
              </w:rPr>
              <w:t xml:space="preserve">Cys3</w:t>
            </w:r>
          </w:p>
        </w:tc>
        <w:tc>
          <w:tcPr/>
          <w:p>
            <w:pPr>
              <w:pStyle w:val="Compact"/>
              <w:spacing w:line="240" w:lineRule="auto"/>
            </w:pPr>
            <w:r>
              <w:rPr>
                <w:sz w:val="18"/>
              </w:rPr>
              <w:t xml:space="preserve">Gln192, Gly216, Trp215</w:t>
            </w:r>
          </w:p>
        </w:tc>
      </w:tr>
      <w:tr>
        <w:tc>
          <w:tcPr/>
          <w:p>
            <w:pPr>
              <w:pStyle w:val="Compact"/>
              <w:spacing w:line="240" w:lineRule="auto"/>
            </w:pPr>
            <w:r>
              <w:rPr>
                <w:sz w:val="18"/>
              </w:rPr>
              <w:t xml:space="preserve">S2</w:t>
            </w:r>
          </w:p>
        </w:tc>
        <w:tc>
          <w:tcPr/>
          <w:p>
            <w:pPr>
              <w:pStyle w:val="Compact"/>
              <w:spacing w:line="240" w:lineRule="auto"/>
            </w:pPr>
            <w:r>
              <w:rPr>
                <w:sz w:val="18"/>
              </w:rPr>
              <w:t xml:space="preserve">Cys14</w:t>
            </w:r>
          </w:p>
        </w:tc>
        <w:tc>
          <w:tcPr/>
          <w:p>
            <w:pPr>
              <w:pStyle w:val="Compact"/>
              <w:spacing w:line="240" w:lineRule="auto"/>
            </w:pPr>
            <w:r>
              <w:rPr>
                <w:sz w:val="18"/>
              </w:rPr>
              <w:t xml:space="preserve">Gln192, His57, Leu99, Ser195, Ser214, Trp215</w:t>
            </w:r>
          </w:p>
        </w:tc>
        <w:tc>
          <w:tcPr/>
          <w:p>
            <w:pPr>
              <w:pStyle w:val="Compact"/>
              <w:spacing w:line="240" w:lineRule="auto"/>
            </w:pPr>
            <w:r>
              <w:rPr>
                <w:sz w:val="18"/>
              </w:rPr>
              <w:t xml:space="preserve">Thr4</w:t>
            </w:r>
          </w:p>
        </w:tc>
        <w:tc>
          <w:tcPr/>
          <w:p>
            <w:pPr>
              <w:pStyle w:val="Compact"/>
              <w:spacing w:line="240" w:lineRule="auto"/>
            </w:pPr>
            <w:r>
              <w:rPr>
                <w:sz w:val="18"/>
              </w:rPr>
              <w:t xml:space="preserve">Gln192, His57, Leu99, Ser195, Ser214, Trp215</w:t>
            </w:r>
          </w:p>
        </w:tc>
      </w:tr>
      <w:tr>
        <w:tc>
          <w:tcPr/>
          <w:p>
            <w:pPr>
              <w:pStyle w:val="Compact"/>
              <w:spacing w:line="240" w:lineRule="auto"/>
            </w:pPr>
            <w:r>
              <w:rPr>
                <w:sz w:val="18"/>
              </w:rPr>
              <w:t xml:space="preserve">S1</w:t>
            </w:r>
          </w:p>
        </w:tc>
        <w:tc>
          <w:tcPr/>
          <w:p>
            <w:pPr>
              <w:pStyle w:val="Compact"/>
              <w:spacing w:line="240" w:lineRule="auto"/>
            </w:pPr>
            <w:r>
              <w:rPr>
                <w:sz w:val="18"/>
              </w:rPr>
              <w:t xml:space="preserve">Lys15</w:t>
            </w:r>
          </w:p>
        </w:tc>
        <w:tc>
          <w:tcPr/>
          <w:p>
            <w:pPr>
              <w:pStyle w:val="Compact"/>
              <w:spacing w:line="240" w:lineRule="auto"/>
            </w:pPr>
            <w:r>
              <w:rPr>
                <w:sz w:val="18"/>
              </w:rPr>
              <w:t xml:space="preserve">Asp189, Asp194, Cys191, Gln192, Gly193, Gly216, Gly219, Gly226, His57, Ser190, Ser195, Ser214, Trp215, Val213</w:t>
            </w:r>
          </w:p>
        </w:tc>
        <w:tc>
          <w:tcPr/>
          <w:p>
            <w:pPr>
              <w:pStyle w:val="Compact"/>
              <w:spacing w:line="240" w:lineRule="auto"/>
            </w:pPr>
            <w:r>
              <w:rPr>
                <w:sz w:val="18"/>
              </w:rPr>
              <w:t xml:space="preserve">Lys5</w:t>
            </w:r>
          </w:p>
        </w:tc>
        <w:tc>
          <w:tcPr/>
          <w:p>
            <w:pPr>
              <w:pStyle w:val="Compact"/>
              <w:spacing w:line="240" w:lineRule="auto"/>
            </w:pPr>
            <w:r>
              <w:rPr>
                <w:sz w:val="18"/>
              </w:rPr>
              <w:t xml:space="preserve">os mesmos 14 resíduos</w:t>
            </w:r>
          </w:p>
        </w:tc>
      </w:tr>
      <w:tr>
        <w:tc>
          <w:tcPr/>
          <w:p>
            <w:pPr>
              <w:pStyle w:val="Compact"/>
              <w:spacing w:line="240" w:lineRule="auto"/>
            </w:pPr>
            <w:r>
              <w:rPr>
                <w:sz w:val="18"/>
              </w:rPr>
              <w:t xml:space="preserve">S1′</w:t>
            </w:r>
          </w:p>
        </w:tc>
        <w:tc>
          <w:tcPr/>
          <w:p>
            <w:pPr>
              <w:pStyle w:val="Compact"/>
              <w:spacing w:line="240" w:lineRule="auto"/>
            </w:pPr>
            <w:r>
              <w:rPr>
                <w:sz w:val="18"/>
              </w:rPr>
              <w:t xml:space="preserve">Ala16</w:t>
            </w:r>
          </w:p>
        </w:tc>
        <w:tc>
          <w:tcPr/>
          <w:p>
            <w:pPr>
              <w:pStyle w:val="Compact"/>
              <w:spacing w:line="240" w:lineRule="auto"/>
            </w:pPr>
            <w:r>
              <w:rPr>
                <w:sz w:val="18"/>
              </w:rPr>
              <w:t xml:space="preserve">Cys42, Gln192, Gly193, His57, Phe41, Ser195</w:t>
            </w:r>
          </w:p>
        </w:tc>
        <w:tc>
          <w:tcPr/>
          <w:p>
            <w:pPr>
              <w:pStyle w:val="Compact"/>
              <w:spacing w:line="240" w:lineRule="auto"/>
            </w:pPr>
            <w:r>
              <w:rPr>
                <w:sz w:val="18"/>
              </w:rPr>
              <w:t xml:space="preserve">Ser6</w:t>
            </w:r>
          </w:p>
        </w:tc>
        <w:tc>
          <w:tcPr/>
          <w:p>
            <w:pPr>
              <w:pStyle w:val="Compact"/>
              <w:spacing w:line="240" w:lineRule="auto"/>
            </w:pPr>
            <w:r>
              <w:rPr>
                <w:sz w:val="18"/>
              </w:rPr>
              <w:t xml:space="preserve">os mesmos 6 resíduos</w:t>
            </w:r>
          </w:p>
        </w:tc>
      </w:tr>
      <w:tr>
        <w:tc>
          <w:tcPr/>
          <w:p>
            <w:pPr>
              <w:pStyle w:val="Compact"/>
              <w:spacing w:line="240" w:lineRule="auto"/>
            </w:pPr>
            <w:r>
              <w:rPr>
                <w:sz w:val="18"/>
              </w:rPr>
              <w:t xml:space="preserve">S2′</w:t>
            </w:r>
          </w:p>
        </w:tc>
        <w:tc>
          <w:tcPr/>
          <w:p>
            <w:pPr>
              <w:pStyle w:val="Compact"/>
              <w:spacing w:line="240" w:lineRule="auto"/>
            </w:pPr>
            <w:r>
              <w:rPr>
                <w:sz w:val="18"/>
              </w:rPr>
              <w:t xml:space="preserve">Arg17</w:t>
            </w:r>
          </w:p>
        </w:tc>
        <w:tc>
          <w:tcPr/>
          <w:p>
            <w:pPr>
              <w:pStyle w:val="Compact"/>
              <w:spacing w:line="240" w:lineRule="auto"/>
            </w:pPr>
            <w:r>
              <w:rPr>
                <w:sz w:val="18"/>
              </w:rPr>
              <w:t xml:space="preserve">Gln192, Gly193, His40, Phe41, Tyr151, Tyr39</w:t>
            </w:r>
          </w:p>
        </w:tc>
        <w:tc>
          <w:tcPr/>
          <w:p>
            <w:pPr>
              <w:pStyle w:val="Compact"/>
              <w:spacing w:line="240" w:lineRule="auto"/>
            </w:pPr>
            <w:r>
              <w:rPr>
                <w:sz w:val="18"/>
              </w:rPr>
              <w:t xml:space="preserve">Ile7</w:t>
            </w:r>
          </w:p>
        </w:tc>
        <w:tc>
          <w:tcPr/>
          <w:p>
            <w:pPr>
              <w:pStyle w:val="Compact"/>
              <w:spacing w:line="240" w:lineRule="auto"/>
            </w:pPr>
            <w:r>
              <w:rPr>
                <w:sz w:val="18"/>
              </w:rPr>
              <w:t xml:space="preserve">os mesmos 6 resíduos</w:t>
            </w:r>
          </w:p>
        </w:tc>
      </w:tr>
      <w:tr>
        <w:tc>
          <w:tcPr/>
          <w:p>
            <w:pPr>
              <w:pStyle w:val="Compact"/>
              <w:spacing w:line="240" w:lineRule="auto"/>
            </w:pPr>
            <w:r>
              <w:rPr>
                <w:sz w:val="18"/>
              </w:rPr>
              <w:t xml:space="preserve">S3′</w:t>
            </w:r>
          </w:p>
        </w:tc>
        <w:tc>
          <w:tcPr/>
          <w:p>
            <w:pPr>
              <w:pStyle w:val="Compact"/>
              <w:spacing w:line="240" w:lineRule="auto"/>
            </w:pPr>
            <w:r>
              <w:rPr>
                <w:sz w:val="18"/>
              </w:rPr>
              <w:t xml:space="preserve">Ile18</w:t>
            </w:r>
          </w:p>
        </w:tc>
        <w:tc>
          <w:tcPr/>
          <w:p>
            <w:pPr>
              <w:pStyle w:val="Compact"/>
              <w:spacing w:line="240" w:lineRule="auto"/>
            </w:pPr>
            <w:r>
              <w:rPr>
                <w:sz w:val="18"/>
              </w:rPr>
              <w:t xml:space="preserve">His57, Phe41, Tyr39</w:t>
            </w:r>
          </w:p>
        </w:tc>
        <w:tc>
          <w:tcPr/>
          <w:p>
            <w:pPr>
              <w:pStyle w:val="Compact"/>
              <w:spacing w:line="240" w:lineRule="auto"/>
            </w:pPr>
            <w:r>
              <w:rPr>
                <w:sz w:val="18"/>
              </w:rPr>
              <w:t xml:space="preserve">Pro8</w:t>
            </w:r>
          </w:p>
        </w:tc>
        <w:tc>
          <w:tcPr/>
          <w:p>
            <w:pPr>
              <w:pStyle w:val="Compact"/>
              <w:spacing w:line="240" w:lineRule="auto"/>
            </w:pPr>
            <w:r>
              <w:rPr>
                <w:sz w:val="18"/>
              </w:rPr>
              <w:t xml:space="preserve">nenhum</w:t>
            </w:r>
          </w:p>
        </w:tc>
      </w:tr>
    </w:tbl>
    <w:p>
      <w:pPr>
        <w:pStyle w:val="BodyText"/>
      </w:pPr>
      <w:r>
        <w:rPr>
          <w:b/>
          <w:bCs/>
        </w:rPr>
        <w:t xml:space="preserve">Tabela S2.</w:t>
      </w:r>
      <w:r>
        <w:t xml:space="preserve"> </w:t>
      </w:r>
      <w:r>
        <w:t xml:space="preserve">Tríade catalítica e bolsão S1 dos dez receptores (modelos do AlphaFold). As posições estão na numeração do modelo; a coluna da tripsina bovina (P00760) dá a numeração de referência. Negrito: resíduo diferente do da tripsina bovina. O bolsão S1 é o conjunto dos 14 resíduos da tripsina em contato com o P1 em 2PTC e 1SFI (Tabela S1); a His57 e a Ser195 pertencem a ele e aparecem uma só vez, na tríade. O Asp189 é o resíduo de especificidade. Distâncias: NE2 da His à OG da Ser e ND1 da His ao oxigênio do carboxilato do Asp102 mais próximo, no modelo. Dados:</w:t>
      </w:r>
      <w:r>
        <w:t xml:space="preserve"> </w:t>
      </w:r>
      <w:r>
        <w:rPr>
          <w:rStyle w:val="VerbatimChar"/>
        </w:rPr>
        <w:t xml:space="preserve">data-lepidoptera-panel/triad_s1_by_receptor.csv</w:t>
      </w:r>
      <w:r>
        <w:t xml:space="preserve">; script:</w:t>
      </w:r>
      <w:r>
        <w:t xml:space="preserve"> </w:t>
      </w:r>
      <w:r>
        <w:rPr>
          <w:rStyle w:val="VerbatimChar"/>
        </w:rPr>
        <w:t xml:space="preserve">manuscript/make_table_s2.py</w:t>
      </w:r>
      <w:r>
        <w:t xml:space="preserve">.</w:t>
      </w:r>
    </w:p>
    <w:tbl>
      <w:tblPr>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spacing w:line="240" w:lineRule="auto"/>
            </w:pPr>
            <w:r>
              <w:rPr>
                <w:b/>
                <w:sz w:val="18"/>
              </w:rPr>
              <w:t xml:space="preserve">Grupo</w:t>
            </w:r>
          </w:p>
        </w:tc>
        <w:tc>
          <w:tcPr/>
          <w:p>
            <w:pPr>
              <w:pStyle w:val="Compact"/>
              <w:spacing w:line="240" w:lineRule="auto"/>
            </w:pPr>
            <w:r>
              <w:rPr>
                <w:b/>
                <w:sz w:val="18"/>
              </w:rPr>
              <w:t xml:space="preserve">Posição</w:t>
            </w:r>
          </w:p>
        </w:tc>
        <w:tc>
          <w:tcPr/>
          <w:p>
            <w:pPr>
              <w:pStyle w:val="Compact"/>
              <w:spacing w:line="240" w:lineRule="auto"/>
            </w:pPr>
            <w:r>
              <w:rPr>
                <w:b/>
                <w:sz w:val="18"/>
              </w:rPr>
              <w:t xml:space="preserve">Tripsina bovina</w:t>
            </w:r>
          </w:p>
        </w:tc>
        <w:tc>
          <w:tcPr/>
          <w:p>
            <w:pPr>
              <w:pStyle w:val="Compact"/>
              <w:spacing w:line="240" w:lineRule="auto"/>
            </w:pPr>
            <w:r>
              <w:rPr>
                <w:b/>
                <w:i/>
                <w:iCs/>
                <w:sz w:val="18"/>
              </w:rPr>
              <w:t xml:space="preserve">S. frugiperda</w:t>
            </w:r>
          </w:p>
        </w:tc>
        <w:tc>
          <w:tcPr/>
          <w:p>
            <w:pPr>
              <w:pStyle w:val="Compact"/>
              <w:spacing w:line="240" w:lineRule="auto"/>
            </w:pPr>
            <w:r>
              <w:rPr>
                <w:b/>
                <w:i/>
                <w:iCs/>
                <w:sz w:val="18"/>
              </w:rPr>
              <w:t xml:space="preserve">S. litura</w:t>
            </w:r>
          </w:p>
        </w:tc>
        <w:tc>
          <w:tcPr/>
          <w:p>
            <w:pPr>
              <w:pStyle w:val="Compact"/>
              <w:spacing w:line="240" w:lineRule="auto"/>
            </w:pPr>
            <w:r>
              <w:rPr>
                <w:b/>
                <w:i/>
                <w:iCs/>
                <w:sz w:val="18"/>
              </w:rPr>
              <w:t xml:space="preserve">O. nubilalis</w:t>
            </w:r>
          </w:p>
        </w:tc>
        <w:tc>
          <w:tcPr/>
          <w:p>
            <w:pPr>
              <w:pStyle w:val="Compact"/>
              <w:spacing w:line="240" w:lineRule="auto"/>
            </w:pPr>
            <w:r>
              <w:rPr>
                <w:b/>
                <w:i/>
                <w:iCs/>
                <w:sz w:val="18"/>
              </w:rPr>
              <w:t xml:space="preserve">D. saccharalis</w:t>
            </w:r>
          </w:p>
        </w:tc>
        <w:tc>
          <w:tcPr/>
          <w:p>
            <w:pPr>
              <w:pStyle w:val="Compact"/>
              <w:spacing w:line="240" w:lineRule="auto"/>
            </w:pPr>
            <w:r>
              <w:rPr>
                <w:b/>
                <w:i/>
                <w:iCs/>
                <w:sz w:val="18"/>
              </w:rPr>
              <w:t xml:space="preserve">C. includens</w:t>
            </w:r>
          </w:p>
        </w:tc>
        <w:tc>
          <w:tcPr/>
          <w:p>
            <w:pPr>
              <w:pStyle w:val="Compact"/>
              <w:spacing w:line="240" w:lineRule="auto"/>
            </w:pPr>
            <w:r>
              <w:rPr>
                <w:b/>
                <w:i/>
                <w:iCs/>
                <w:sz w:val="18"/>
              </w:rPr>
              <w:t xml:space="preserve">H. virescens</w:t>
            </w:r>
          </w:p>
        </w:tc>
        <w:tc>
          <w:tcPr/>
          <w:p>
            <w:pPr>
              <w:pStyle w:val="Compact"/>
              <w:spacing w:line="240" w:lineRule="auto"/>
            </w:pPr>
            <w:r>
              <w:rPr>
                <w:b/>
                <w:i/>
                <w:iCs/>
                <w:sz w:val="18"/>
              </w:rPr>
              <w:t xml:space="preserve">P. xylostella</w:t>
            </w:r>
          </w:p>
        </w:tc>
        <w:tc>
          <w:tcPr/>
          <w:p>
            <w:pPr>
              <w:pStyle w:val="Compact"/>
              <w:spacing w:line="240" w:lineRule="auto"/>
            </w:pPr>
            <w:r>
              <w:rPr>
                <w:b/>
                <w:i/>
                <w:iCs/>
                <w:sz w:val="18"/>
              </w:rPr>
              <w:t xml:space="preserve">A. gemmatalis</w:t>
            </w:r>
          </w:p>
        </w:tc>
        <w:tc>
          <w:tcPr/>
          <w:p>
            <w:pPr>
              <w:pStyle w:val="Compact"/>
              <w:spacing w:line="240" w:lineRule="auto"/>
            </w:pPr>
            <w:r>
              <w:rPr>
                <w:b/>
                <w:i/>
                <w:iCs/>
                <w:sz w:val="18"/>
              </w:rPr>
              <w:t xml:space="preserve">M. sexta</w:t>
            </w:r>
          </w:p>
        </w:tc>
        <w:tc>
          <w:tcPr/>
          <w:p>
            <w:pPr>
              <w:pStyle w:val="Compact"/>
              <w:spacing w:line="240" w:lineRule="auto"/>
            </w:pPr>
            <w:r>
              <w:rPr>
                <w:b/>
                <w:i/>
                <w:iCs/>
                <w:sz w:val="18"/>
              </w:rPr>
              <w:t xml:space="preserve">B. mori</w:t>
            </w:r>
          </w:p>
        </w:tc>
      </w:tr>
      <w:tr>
        <w:tc>
          <w:tcPr/>
          <w:p>
            <w:pPr>
              <w:pStyle w:val="Compact"/>
              <w:spacing w:line="240" w:lineRule="auto"/>
            </w:pPr>
            <w:r>
              <w:rPr>
                <w:sz w:val="18"/>
              </w:rPr>
              <w:t xml:space="preserve">Tríade catalítica</w:t>
            </w:r>
          </w:p>
        </w:tc>
        <w:tc>
          <w:tcPr/>
          <w:p>
            <w:pPr>
              <w:pStyle w:val="Compact"/>
              <w:spacing w:line="240" w:lineRule="auto"/>
            </w:pPr>
            <w:r>
              <w:rPr>
                <w:sz w:val="18"/>
              </w:rPr>
              <w:t xml:space="preserve">His57</w:t>
            </w:r>
          </w:p>
        </w:tc>
        <w:tc>
          <w:tcPr/>
          <w:p>
            <w:pPr>
              <w:pStyle w:val="Compact"/>
              <w:spacing w:line="240" w:lineRule="auto"/>
            </w:pPr>
            <w:r>
              <w:rPr>
                <w:sz w:val="18"/>
              </w:rPr>
              <w:t xml:space="preserve">H57</w:t>
            </w:r>
          </w:p>
        </w:tc>
        <w:tc>
          <w:tcPr/>
          <w:p>
            <w:pPr>
              <w:pStyle w:val="Compact"/>
              <w:spacing w:line="240" w:lineRule="auto"/>
            </w:pPr>
            <w:r>
              <w:rPr>
                <w:sz w:val="18"/>
              </w:rPr>
              <w:t xml:space="preserve">H69</w:t>
            </w:r>
          </w:p>
        </w:tc>
        <w:tc>
          <w:tcPr/>
          <w:p>
            <w:pPr>
              <w:pStyle w:val="Compact"/>
              <w:spacing w:line="240" w:lineRule="auto"/>
            </w:pPr>
            <w:r>
              <w:rPr>
                <w:sz w:val="18"/>
              </w:rPr>
              <w:t xml:space="preserve">H69</w:t>
            </w:r>
          </w:p>
        </w:tc>
        <w:tc>
          <w:tcPr/>
          <w:p>
            <w:pPr>
              <w:pStyle w:val="Compact"/>
              <w:spacing w:line="240" w:lineRule="auto"/>
            </w:pPr>
            <w:r>
              <w:rPr>
                <w:sz w:val="18"/>
              </w:rPr>
              <w:t xml:space="preserve">H69</w:t>
            </w:r>
          </w:p>
        </w:tc>
        <w:tc>
          <w:tcPr/>
          <w:p>
            <w:pPr>
              <w:pStyle w:val="Compact"/>
              <w:spacing w:line="240" w:lineRule="auto"/>
            </w:pPr>
            <w:r>
              <w:rPr>
                <w:sz w:val="18"/>
              </w:rPr>
              <w:t xml:space="preserve">H69</w:t>
            </w:r>
          </w:p>
        </w:tc>
        <w:tc>
          <w:tcPr/>
          <w:p>
            <w:pPr>
              <w:pStyle w:val="Compact"/>
              <w:spacing w:line="240" w:lineRule="auto"/>
            </w:pPr>
            <w:r>
              <w:rPr>
                <w:sz w:val="18"/>
              </w:rPr>
              <w:t xml:space="preserve">H69</w:t>
            </w:r>
          </w:p>
        </w:tc>
        <w:tc>
          <w:tcPr/>
          <w:p>
            <w:pPr>
              <w:pStyle w:val="Compact"/>
              <w:spacing w:line="240" w:lineRule="auto"/>
            </w:pPr>
            <w:r>
              <w:rPr>
                <w:sz w:val="18"/>
              </w:rPr>
              <w:t xml:space="preserve">H68</w:t>
            </w:r>
          </w:p>
        </w:tc>
        <w:tc>
          <w:tcPr/>
          <w:p>
            <w:pPr>
              <w:pStyle w:val="Compact"/>
              <w:spacing w:line="240" w:lineRule="auto"/>
            </w:pPr>
            <w:r>
              <w:rPr>
                <w:sz w:val="18"/>
              </w:rPr>
              <w:t xml:space="preserve">H70</w:t>
            </w:r>
          </w:p>
        </w:tc>
        <w:tc>
          <w:tcPr/>
          <w:p>
            <w:pPr>
              <w:pStyle w:val="Compact"/>
              <w:spacing w:line="240" w:lineRule="auto"/>
            </w:pPr>
            <w:r>
              <w:rPr>
                <w:sz w:val="18"/>
              </w:rPr>
              <w:t xml:space="preserve">H71</w:t>
            </w:r>
          </w:p>
        </w:tc>
        <w:tc>
          <w:tcPr/>
          <w:p>
            <w:pPr>
              <w:pStyle w:val="Compact"/>
              <w:spacing w:line="240" w:lineRule="auto"/>
            </w:pPr>
            <w:r>
              <w:rPr>
                <w:sz w:val="18"/>
              </w:rPr>
              <w:t xml:space="preserve">H70</w:t>
            </w:r>
          </w:p>
        </w:tc>
        <w:tc>
          <w:tcPr/>
          <w:p>
            <w:pPr>
              <w:pStyle w:val="Compact"/>
              <w:spacing w:line="240" w:lineRule="auto"/>
            </w:pPr>
            <w:r>
              <w:rPr>
                <w:sz w:val="18"/>
              </w:rPr>
              <w:t xml:space="preserve">H70</w:t>
            </w:r>
          </w:p>
        </w:tc>
      </w:tr>
      <w:tr>
        <w:tc>
          <w:tcPr/>
          <w:p>
            <w:pPr>
              <w:pStyle w:val="Compact"/>
              <w:spacing w:line="240" w:lineRule="auto"/>
            </w:pPr>
          </w:p>
        </w:tc>
        <w:tc>
          <w:tcPr/>
          <w:p>
            <w:pPr>
              <w:pStyle w:val="Compact"/>
              <w:spacing w:line="240" w:lineRule="auto"/>
            </w:pPr>
            <w:r>
              <w:rPr>
                <w:sz w:val="18"/>
              </w:rPr>
              <w:t xml:space="preserve">Asp102</w:t>
            </w:r>
          </w:p>
        </w:tc>
        <w:tc>
          <w:tcPr/>
          <w:p>
            <w:pPr>
              <w:pStyle w:val="Compact"/>
              <w:spacing w:line="240" w:lineRule="auto"/>
            </w:pPr>
            <w:r>
              <w:rPr>
                <w:sz w:val="18"/>
              </w:rPr>
              <w:t xml:space="preserve">D102</w:t>
            </w:r>
          </w:p>
        </w:tc>
        <w:tc>
          <w:tcPr/>
          <w:p>
            <w:pPr>
              <w:pStyle w:val="Compact"/>
              <w:spacing w:line="240" w:lineRule="auto"/>
            </w:pPr>
            <w:r>
              <w:rPr>
                <w:sz w:val="18"/>
              </w:rPr>
              <w:t xml:space="preserve">D114</w:t>
            </w:r>
          </w:p>
        </w:tc>
        <w:tc>
          <w:tcPr/>
          <w:p>
            <w:pPr>
              <w:pStyle w:val="Compact"/>
              <w:spacing w:line="240" w:lineRule="auto"/>
            </w:pPr>
            <w:r>
              <w:rPr>
                <w:sz w:val="18"/>
              </w:rPr>
              <w:t xml:space="preserve">D114</w:t>
            </w:r>
          </w:p>
        </w:tc>
        <w:tc>
          <w:tcPr/>
          <w:p>
            <w:pPr>
              <w:pStyle w:val="Compact"/>
              <w:spacing w:line="240" w:lineRule="auto"/>
            </w:pPr>
            <w:r>
              <w:rPr>
                <w:sz w:val="18"/>
              </w:rPr>
              <w:t xml:space="preserve">D114</w:t>
            </w:r>
          </w:p>
        </w:tc>
        <w:tc>
          <w:tcPr/>
          <w:p>
            <w:pPr>
              <w:pStyle w:val="Compact"/>
              <w:spacing w:line="240" w:lineRule="auto"/>
            </w:pPr>
            <w:r>
              <w:rPr>
                <w:sz w:val="18"/>
              </w:rPr>
              <w:t xml:space="preserve">D114</w:t>
            </w:r>
          </w:p>
        </w:tc>
        <w:tc>
          <w:tcPr/>
          <w:p>
            <w:pPr>
              <w:pStyle w:val="Compact"/>
              <w:spacing w:line="240" w:lineRule="auto"/>
            </w:pPr>
            <w:r>
              <w:rPr>
                <w:sz w:val="18"/>
              </w:rPr>
              <w:t xml:space="preserve">D114</w:t>
            </w:r>
          </w:p>
        </w:tc>
        <w:tc>
          <w:tcPr/>
          <w:p>
            <w:pPr>
              <w:pStyle w:val="Compact"/>
              <w:spacing w:line="240" w:lineRule="auto"/>
            </w:pPr>
            <w:r>
              <w:rPr>
                <w:sz w:val="18"/>
              </w:rPr>
              <w:t xml:space="preserve">D113</w:t>
            </w:r>
          </w:p>
        </w:tc>
        <w:tc>
          <w:tcPr/>
          <w:p>
            <w:pPr>
              <w:pStyle w:val="Compact"/>
              <w:spacing w:line="240" w:lineRule="auto"/>
            </w:pPr>
            <w:r>
              <w:rPr>
                <w:sz w:val="18"/>
              </w:rPr>
              <w:t xml:space="preserve">D116</w:t>
            </w:r>
          </w:p>
        </w:tc>
        <w:tc>
          <w:tcPr/>
          <w:p>
            <w:pPr>
              <w:pStyle w:val="Compact"/>
              <w:spacing w:line="240" w:lineRule="auto"/>
            </w:pPr>
            <w:r>
              <w:rPr>
                <w:sz w:val="18"/>
              </w:rPr>
              <w:t xml:space="preserve">D116</w:t>
            </w:r>
          </w:p>
        </w:tc>
        <w:tc>
          <w:tcPr/>
          <w:p>
            <w:pPr>
              <w:pStyle w:val="Compact"/>
              <w:spacing w:line="240" w:lineRule="auto"/>
            </w:pPr>
            <w:r>
              <w:rPr>
                <w:sz w:val="18"/>
              </w:rPr>
              <w:t xml:space="preserve">D115</w:t>
            </w:r>
          </w:p>
        </w:tc>
        <w:tc>
          <w:tcPr/>
          <w:p>
            <w:pPr>
              <w:pStyle w:val="Compact"/>
              <w:spacing w:line="240" w:lineRule="auto"/>
            </w:pPr>
            <w:r>
              <w:rPr>
                <w:sz w:val="18"/>
              </w:rPr>
              <w:t xml:space="preserve">D115</w:t>
            </w:r>
          </w:p>
        </w:tc>
      </w:tr>
      <w:tr>
        <w:tc>
          <w:tcPr/>
          <w:p>
            <w:pPr>
              <w:pStyle w:val="Compact"/>
              <w:spacing w:line="240" w:lineRule="auto"/>
            </w:pPr>
          </w:p>
        </w:tc>
        <w:tc>
          <w:tcPr/>
          <w:p>
            <w:pPr>
              <w:pStyle w:val="Compact"/>
              <w:spacing w:line="240" w:lineRule="auto"/>
            </w:pPr>
            <w:r>
              <w:rPr>
                <w:sz w:val="18"/>
              </w:rPr>
              <w:t xml:space="preserve">Ser195</w:t>
            </w:r>
          </w:p>
        </w:tc>
        <w:tc>
          <w:tcPr/>
          <w:p>
            <w:pPr>
              <w:pStyle w:val="Compact"/>
              <w:spacing w:line="240" w:lineRule="auto"/>
            </w:pPr>
            <w:r>
              <w:rPr>
                <w:sz w:val="18"/>
              </w:rPr>
              <w:t xml:space="preserve">S195</w:t>
            </w:r>
          </w:p>
        </w:tc>
        <w:tc>
          <w:tcPr/>
          <w:p>
            <w:pPr>
              <w:pStyle w:val="Compact"/>
              <w:spacing w:line="240" w:lineRule="auto"/>
            </w:pPr>
            <w:r>
              <w:rPr>
                <w:sz w:val="18"/>
              </w:rPr>
              <w:t xml:space="preserve">S220</w:t>
            </w:r>
          </w:p>
        </w:tc>
        <w:tc>
          <w:tcPr/>
          <w:p>
            <w:pPr>
              <w:pStyle w:val="Compact"/>
              <w:spacing w:line="240" w:lineRule="auto"/>
            </w:pPr>
            <w:r>
              <w:rPr>
                <w:sz w:val="18"/>
              </w:rPr>
              <w:t xml:space="preserve">S211</w:t>
            </w:r>
          </w:p>
        </w:tc>
        <w:tc>
          <w:tcPr/>
          <w:p>
            <w:pPr>
              <w:pStyle w:val="Compact"/>
              <w:spacing w:line="240" w:lineRule="auto"/>
            </w:pPr>
            <w:r>
              <w:rPr>
                <w:sz w:val="18"/>
              </w:rPr>
              <w:t xml:space="preserve">S213</w:t>
            </w:r>
          </w:p>
        </w:tc>
        <w:tc>
          <w:tcPr/>
          <w:p>
            <w:pPr>
              <w:pStyle w:val="Compact"/>
              <w:spacing w:line="240" w:lineRule="auto"/>
            </w:pPr>
            <w:r>
              <w:rPr>
                <w:sz w:val="18"/>
              </w:rPr>
              <w:t xml:space="preserve">S213</w:t>
            </w:r>
          </w:p>
        </w:tc>
        <w:tc>
          <w:tcPr/>
          <w:p>
            <w:pPr>
              <w:pStyle w:val="Compact"/>
              <w:spacing w:line="240" w:lineRule="auto"/>
            </w:pPr>
            <w:r>
              <w:rPr>
                <w:sz w:val="18"/>
              </w:rPr>
              <w:t xml:space="preserve">S212</w:t>
            </w:r>
          </w:p>
        </w:tc>
        <w:tc>
          <w:tcPr/>
          <w:p>
            <w:pPr>
              <w:pStyle w:val="Compact"/>
              <w:spacing w:line="240" w:lineRule="auto"/>
            </w:pPr>
            <w:r>
              <w:rPr>
                <w:sz w:val="18"/>
              </w:rPr>
              <w:t xml:space="preserve">S219</w:t>
            </w:r>
          </w:p>
        </w:tc>
        <w:tc>
          <w:tcPr/>
          <w:p>
            <w:pPr>
              <w:pStyle w:val="Compact"/>
              <w:spacing w:line="240" w:lineRule="auto"/>
            </w:pPr>
            <w:r>
              <w:rPr>
                <w:sz w:val="18"/>
              </w:rPr>
              <w:t xml:space="preserve">S211</w:t>
            </w:r>
          </w:p>
        </w:tc>
        <w:tc>
          <w:tcPr/>
          <w:p>
            <w:pPr>
              <w:pStyle w:val="Compact"/>
              <w:spacing w:line="240" w:lineRule="auto"/>
            </w:pPr>
            <w:r>
              <w:rPr>
                <w:sz w:val="18"/>
              </w:rPr>
              <w:t xml:space="preserve">S217</w:t>
            </w:r>
          </w:p>
        </w:tc>
        <w:tc>
          <w:tcPr/>
          <w:p>
            <w:pPr>
              <w:pStyle w:val="Compact"/>
              <w:spacing w:line="240" w:lineRule="auto"/>
            </w:pPr>
            <w:r>
              <w:rPr>
                <w:sz w:val="18"/>
              </w:rPr>
              <w:t xml:space="preserve">S213</w:t>
            </w:r>
          </w:p>
        </w:tc>
        <w:tc>
          <w:tcPr/>
          <w:p>
            <w:pPr>
              <w:pStyle w:val="Compact"/>
              <w:spacing w:line="240" w:lineRule="auto"/>
            </w:pPr>
            <w:r>
              <w:rPr>
                <w:sz w:val="18"/>
              </w:rPr>
              <w:t xml:space="preserve">S212</w:t>
            </w:r>
          </w:p>
        </w:tc>
      </w:tr>
      <w:tr>
        <w:tc>
          <w:tcPr/>
          <w:p>
            <w:pPr>
              <w:pStyle w:val="Compact"/>
              <w:spacing w:line="240" w:lineRule="auto"/>
            </w:pPr>
            <w:r>
              <w:rPr>
                <w:sz w:val="18"/>
              </w:rPr>
              <w:t xml:space="preserve">Bolsão S1</w:t>
            </w:r>
          </w:p>
        </w:tc>
        <w:tc>
          <w:tcPr/>
          <w:p>
            <w:pPr>
              <w:pStyle w:val="Compact"/>
              <w:spacing w:line="240" w:lineRule="auto"/>
            </w:pPr>
            <w:r>
              <w:rPr>
                <w:sz w:val="18"/>
              </w:rPr>
              <w:t xml:space="preserve">Asp189</w:t>
            </w:r>
          </w:p>
        </w:tc>
        <w:tc>
          <w:tcPr/>
          <w:p>
            <w:pPr>
              <w:pStyle w:val="Compact"/>
              <w:spacing w:line="240" w:lineRule="auto"/>
            </w:pPr>
            <w:r>
              <w:rPr>
                <w:sz w:val="18"/>
              </w:rPr>
              <w:t xml:space="preserve">D189</w:t>
            </w:r>
          </w:p>
        </w:tc>
        <w:tc>
          <w:tcPr/>
          <w:p>
            <w:pPr>
              <w:pStyle w:val="Compact"/>
              <w:spacing w:line="240" w:lineRule="auto"/>
            </w:pPr>
            <w:r>
              <w:rPr>
                <w:sz w:val="18"/>
              </w:rPr>
              <w:t xml:space="preserve">D214</w:t>
            </w:r>
          </w:p>
        </w:tc>
        <w:tc>
          <w:tcPr/>
          <w:p>
            <w:pPr>
              <w:pStyle w:val="Compact"/>
              <w:spacing w:line="240" w:lineRule="auto"/>
            </w:pPr>
            <w:r>
              <w:rPr>
                <w:sz w:val="18"/>
              </w:rPr>
              <w:t xml:space="preserve">D205</w:t>
            </w:r>
          </w:p>
        </w:tc>
        <w:tc>
          <w:tcPr/>
          <w:p>
            <w:pPr>
              <w:pStyle w:val="Compact"/>
              <w:spacing w:line="240" w:lineRule="auto"/>
            </w:pPr>
            <w:r>
              <w:rPr>
                <w:sz w:val="18"/>
              </w:rPr>
              <w:t xml:space="preserve">D207</w:t>
            </w:r>
          </w:p>
        </w:tc>
        <w:tc>
          <w:tcPr/>
          <w:p>
            <w:pPr>
              <w:pStyle w:val="Compact"/>
              <w:spacing w:line="240" w:lineRule="auto"/>
            </w:pPr>
            <w:r>
              <w:rPr>
                <w:sz w:val="18"/>
              </w:rPr>
              <w:t xml:space="preserve">D207</w:t>
            </w:r>
          </w:p>
        </w:tc>
        <w:tc>
          <w:tcPr/>
          <w:p>
            <w:pPr>
              <w:pStyle w:val="Compact"/>
              <w:spacing w:line="240" w:lineRule="auto"/>
            </w:pPr>
            <w:r>
              <w:rPr>
                <w:sz w:val="18"/>
              </w:rPr>
              <w:t xml:space="preserve">D206</w:t>
            </w:r>
          </w:p>
        </w:tc>
        <w:tc>
          <w:tcPr/>
          <w:p>
            <w:pPr>
              <w:pStyle w:val="Compact"/>
              <w:spacing w:line="240" w:lineRule="auto"/>
            </w:pPr>
            <w:r>
              <w:rPr>
                <w:sz w:val="18"/>
              </w:rPr>
              <w:t xml:space="preserve">D213</w:t>
            </w:r>
          </w:p>
        </w:tc>
        <w:tc>
          <w:tcPr/>
          <w:p>
            <w:pPr>
              <w:pStyle w:val="Compact"/>
              <w:spacing w:line="240" w:lineRule="auto"/>
            </w:pPr>
            <w:r>
              <w:rPr>
                <w:sz w:val="18"/>
              </w:rPr>
              <w:t xml:space="preserve">D205</w:t>
            </w:r>
          </w:p>
        </w:tc>
        <w:tc>
          <w:tcPr/>
          <w:p>
            <w:pPr>
              <w:pStyle w:val="Compact"/>
              <w:spacing w:line="240" w:lineRule="auto"/>
            </w:pPr>
            <w:r>
              <w:rPr>
                <w:sz w:val="18"/>
              </w:rPr>
              <w:t xml:space="preserve">D211</w:t>
            </w:r>
          </w:p>
        </w:tc>
        <w:tc>
          <w:tcPr/>
          <w:p>
            <w:pPr>
              <w:pStyle w:val="Compact"/>
              <w:spacing w:line="240" w:lineRule="auto"/>
            </w:pPr>
            <w:r>
              <w:rPr>
                <w:sz w:val="18"/>
              </w:rPr>
              <w:t xml:space="preserve">D207</w:t>
            </w:r>
          </w:p>
        </w:tc>
        <w:tc>
          <w:tcPr/>
          <w:p>
            <w:pPr>
              <w:pStyle w:val="Compact"/>
              <w:spacing w:line="240" w:lineRule="auto"/>
            </w:pPr>
            <w:r>
              <w:rPr>
                <w:sz w:val="18"/>
              </w:rPr>
              <w:t xml:space="preserve">D206</w:t>
            </w:r>
          </w:p>
        </w:tc>
      </w:tr>
      <w:tr>
        <w:tc>
          <w:tcPr/>
          <w:p>
            <w:pPr>
              <w:pStyle w:val="Compact"/>
              <w:spacing w:line="240" w:lineRule="auto"/>
            </w:pPr>
          </w:p>
        </w:tc>
        <w:tc>
          <w:tcPr/>
          <w:p>
            <w:pPr>
              <w:pStyle w:val="Compact"/>
              <w:spacing w:line="240" w:lineRule="auto"/>
            </w:pPr>
            <w:r>
              <w:rPr>
                <w:sz w:val="18"/>
              </w:rPr>
              <w:t xml:space="preserve">Ser190</w:t>
            </w:r>
          </w:p>
        </w:tc>
        <w:tc>
          <w:tcPr/>
          <w:p>
            <w:pPr>
              <w:pStyle w:val="Compact"/>
              <w:spacing w:line="240" w:lineRule="auto"/>
            </w:pPr>
            <w:r>
              <w:rPr>
                <w:sz w:val="18"/>
              </w:rPr>
              <w:t xml:space="preserve">S190</w:t>
            </w:r>
          </w:p>
        </w:tc>
        <w:tc>
          <w:tcPr/>
          <w:p>
            <w:pPr>
              <w:pStyle w:val="Compact"/>
              <w:spacing w:line="240" w:lineRule="auto"/>
            </w:pPr>
            <w:r>
              <w:rPr>
                <w:b/>
                <w:bCs/>
                <w:sz w:val="18"/>
              </w:rPr>
              <w:t xml:space="preserve">A215</w:t>
            </w:r>
          </w:p>
        </w:tc>
        <w:tc>
          <w:tcPr/>
          <w:p>
            <w:pPr>
              <w:pStyle w:val="Compact"/>
              <w:spacing w:line="240" w:lineRule="auto"/>
            </w:pPr>
            <w:r>
              <w:rPr>
                <w:b/>
                <w:bCs/>
                <w:sz w:val="18"/>
              </w:rPr>
              <w:t xml:space="preserve">Q206</w:t>
            </w:r>
          </w:p>
        </w:tc>
        <w:tc>
          <w:tcPr/>
          <w:p>
            <w:pPr>
              <w:pStyle w:val="Compact"/>
              <w:spacing w:line="240" w:lineRule="auto"/>
            </w:pPr>
            <w:r>
              <w:rPr>
                <w:b/>
                <w:bCs/>
                <w:sz w:val="18"/>
              </w:rPr>
              <w:t xml:space="preserve">Q208</w:t>
            </w:r>
          </w:p>
        </w:tc>
        <w:tc>
          <w:tcPr/>
          <w:p>
            <w:pPr>
              <w:pStyle w:val="Compact"/>
              <w:spacing w:line="240" w:lineRule="auto"/>
            </w:pPr>
            <w:r>
              <w:rPr>
                <w:b/>
                <w:bCs/>
                <w:sz w:val="18"/>
              </w:rPr>
              <w:t xml:space="preserve">Q208</w:t>
            </w:r>
          </w:p>
        </w:tc>
        <w:tc>
          <w:tcPr/>
          <w:p>
            <w:pPr>
              <w:pStyle w:val="Compact"/>
              <w:spacing w:line="240" w:lineRule="auto"/>
            </w:pPr>
            <w:r>
              <w:rPr>
                <w:b/>
                <w:bCs/>
                <w:sz w:val="18"/>
              </w:rPr>
              <w:t xml:space="preserve">Q207</w:t>
            </w:r>
          </w:p>
        </w:tc>
        <w:tc>
          <w:tcPr/>
          <w:p>
            <w:pPr>
              <w:pStyle w:val="Compact"/>
              <w:spacing w:line="240" w:lineRule="auto"/>
            </w:pPr>
            <w:r>
              <w:rPr>
                <w:b/>
                <w:bCs/>
                <w:sz w:val="18"/>
              </w:rPr>
              <w:t xml:space="preserve">A214</w:t>
            </w:r>
          </w:p>
        </w:tc>
        <w:tc>
          <w:tcPr/>
          <w:p>
            <w:pPr>
              <w:pStyle w:val="Compact"/>
              <w:spacing w:line="240" w:lineRule="auto"/>
            </w:pPr>
            <w:r>
              <w:rPr>
                <w:b/>
                <w:bCs/>
                <w:sz w:val="18"/>
              </w:rPr>
              <w:t xml:space="preserve">A206</w:t>
            </w:r>
          </w:p>
        </w:tc>
        <w:tc>
          <w:tcPr/>
          <w:p>
            <w:pPr>
              <w:pStyle w:val="Compact"/>
              <w:spacing w:line="240" w:lineRule="auto"/>
            </w:pPr>
            <w:r>
              <w:rPr>
                <w:b/>
                <w:bCs/>
                <w:sz w:val="18"/>
              </w:rPr>
              <w:t xml:space="preserve">Q212</w:t>
            </w:r>
          </w:p>
        </w:tc>
        <w:tc>
          <w:tcPr/>
          <w:p>
            <w:pPr>
              <w:pStyle w:val="Compact"/>
              <w:spacing w:line="240" w:lineRule="auto"/>
            </w:pPr>
            <w:r>
              <w:rPr>
                <w:b/>
                <w:bCs/>
                <w:sz w:val="18"/>
              </w:rPr>
              <w:t xml:space="preserve">Q208</w:t>
            </w:r>
          </w:p>
        </w:tc>
        <w:tc>
          <w:tcPr/>
          <w:p>
            <w:pPr>
              <w:pStyle w:val="Compact"/>
              <w:spacing w:line="240" w:lineRule="auto"/>
            </w:pPr>
            <w:r>
              <w:rPr>
                <w:sz w:val="18"/>
              </w:rPr>
              <w:t xml:space="preserve">S207</w:t>
            </w:r>
          </w:p>
        </w:tc>
      </w:tr>
      <w:tr>
        <w:tc>
          <w:tcPr/>
          <w:p>
            <w:pPr>
              <w:pStyle w:val="Compact"/>
              <w:spacing w:line="240" w:lineRule="auto"/>
            </w:pPr>
          </w:p>
        </w:tc>
        <w:tc>
          <w:tcPr/>
          <w:p>
            <w:pPr>
              <w:pStyle w:val="Compact"/>
              <w:spacing w:line="240" w:lineRule="auto"/>
            </w:pPr>
            <w:r>
              <w:rPr>
                <w:sz w:val="18"/>
              </w:rPr>
              <w:t xml:space="preserve">Cys191</w:t>
            </w:r>
          </w:p>
        </w:tc>
        <w:tc>
          <w:tcPr/>
          <w:p>
            <w:pPr>
              <w:pStyle w:val="Compact"/>
              <w:spacing w:line="240" w:lineRule="auto"/>
            </w:pPr>
            <w:r>
              <w:rPr>
                <w:sz w:val="18"/>
              </w:rPr>
              <w:t xml:space="preserve">C191</w:t>
            </w:r>
          </w:p>
        </w:tc>
        <w:tc>
          <w:tcPr/>
          <w:p>
            <w:pPr>
              <w:pStyle w:val="Compact"/>
              <w:spacing w:line="240" w:lineRule="auto"/>
            </w:pPr>
            <w:r>
              <w:rPr>
                <w:sz w:val="18"/>
              </w:rPr>
              <w:t xml:space="preserve">C216</w:t>
            </w:r>
          </w:p>
        </w:tc>
        <w:tc>
          <w:tcPr/>
          <w:p>
            <w:pPr>
              <w:pStyle w:val="Compact"/>
              <w:spacing w:line="240" w:lineRule="auto"/>
            </w:pPr>
            <w:r>
              <w:rPr>
                <w:sz w:val="18"/>
              </w:rPr>
              <w:t xml:space="preserve">C207</w:t>
            </w:r>
          </w:p>
        </w:tc>
        <w:tc>
          <w:tcPr/>
          <w:p>
            <w:pPr>
              <w:pStyle w:val="Compact"/>
              <w:spacing w:line="240" w:lineRule="auto"/>
            </w:pPr>
            <w:r>
              <w:rPr>
                <w:sz w:val="18"/>
              </w:rPr>
              <w:t xml:space="preserve">C209</w:t>
            </w:r>
          </w:p>
        </w:tc>
        <w:tc>
          <w:tcPr/>
          <w:p>
            <w:pPr>
              <w:pStyle w:val="Compact"/>
              <w:spacing w:line="240" w:lineRule="auto"/>
            </w:pPr>
            <w:r>
              <w:rPr>
                <w:sz w:val="18"/>
              </w:rPr>
              <w:t xml:space="preserve">C209</w:t>
            </w:r>
          </w:p>
        </w:tc>
        <w:tc>
          <w:tcPr/>
          <w:p>
            <w:pPr>
              <w:pStyle w:val="Compact"/>
              <w:spacing w:line="240" w:lineRule="auto"/>
            </w:pPr>
            <w:r>
              <w:rPr>
                <w:sz w:val="18"/>
              </w:rPr>
              <w:t xml:space="preserve">C208</w:t>
            </w:r>
          </w:p>
        </w:tc>
        <w:tc>
          <w:tcPr/>
          <w:p>
            <w:pPr>
              <w:pStyle w:val="Compact"/>
              <w:spacing w:line="240" w:lineRule="auto"/>
            </w:pPr>
            <w:r>
              <w:rPr>
                <w:sz w:val="18"/>
              </w:rPr>
              <w:t xml:space="preserve">C215</w:t>
            </w:r>
          </w:p>
        </w:tc>
        <w:tc>
          <w:tcPr/>
          <w:p>
            <w:pPr>
              <w:pStyle w:val="Compact"/>
              <w:spacing w:line="240" w:lineRule="auto"/>
            </w:pPr>
            <w:r>
              <w:rPr>
                <w:sz w:val="18"/>
              </w:rPr>
              <w:t xml:space="preserve">C207</w:t>
            </w:r>
          </w:p>
        </w:tc>
        <w:tc>
          <w:tcPr/>
          <w:p>
            <w:pPr>
              <w:pStyle w:val="Compact"/>
              <w:spacing w:line="240" w:lineRule="auto"/>
            </w:pPr>
            <w:r>
              <w:rPr>
                <w:sz w:val="18"/>
              </w:rPr>
              <w:t xml:space="preserve">C213</w:t>
            </w:r>
          </w:p>
        </w:tc>
        <w:tc>
          <w:tcPr/>
          <w:p>
            <w:pPr>
              <w:pStyle w:val="Compact"/>
              <w:spacing w:line="240" w:lineRule="auto"/>
            </w:pPr>
            <w:r>
              <w:rPr>
                <w:sz w:val="18"/>
              </w:rPr>
              <w:t xml:space="preserve">C209</w:t>
            </w:r>
          </w:p>
        </w:tc>
        <w:tc>
          <w:tcPr/>
          <w:p>
            <w:pPr>
              <w:pStyle w:val="Compact"/>
              <w:spacing w:line="240" w:lineRule="auto"/>
            </w:pPr>
            <w:r>
              <w:rPr>
                <w:sz w:val="18"/>
              </w:rPr>
              <w:t xml:space="preserve">C208</w:t>
            </w:r>
          </w:p>
        </w:tc>
      </w:tr>
      <w:tr>
        <w:tc>
          <w:tcPr/>
          <w:p>
            <w:pPr>
              <w:pStyle w:val="Compact"/>
              <w:spacing w:line="240" w:lineRule="auto"/>
            </w:pPr>
          </w:p>
        </w:tc>
        <w:tc>
          <w:tcPr/>
          <w:p>
            <w:pPr>
              <w:pStyle w:val="Compact"/>
              <w:spacing w:line="240" w:lineRule="auto"/>
            </w:pPr>
            <w:r>
              <w:rPr>
                <w:sz w:val="18"/>
              </w:rPr>
              <w:t xml:space="preserve">Gln192</w:t>
            </w:r>
          </w:p>
        </w:tc>
        <w:tc>
          <w:tcPr/>
          <w:p>
            <w:pPr>
              <w:pStyle w:val="Compact"/>
              <w:spacing w:line="240" w:lineRule="auto"/>
            </w:pPr>
            <w:r>
              <w:rPr>
                <w:sz w:val="18"/>
              </w:rPr>
              <w:t xml:space="preserve">Q192</w:t>
            </w:r>
          </w:p>
        </w:tc>
        <w:tc>
          <w:tcPr/>
          <w:p>
            <w:pPr>
              <w:pStyle w:val="Compact"/>
              <w:spacing w:line="240" w:lineRule="auto"/>
            </w:pPr>
            <w:r>
              <w:rPr>
                <w:sz w:val="18"/>
              </w:rPr>
              <w:t xml:space="preserve">Q217</w:t>
            </w:r>
          </w:p>
        </w:tc>
        <w:tc>
          <w:tcPr/>
          <w:p>
            <w:pPr>
              <w:pStyle w:val="Compact"/>
              <w:spacing w:line="240" w:lineRule="auto"/>
            </w:pPr>
            <w:r>
              <w:rPr>
                <w:sz w:val="18"/>
              </w:rPr>
              <w:t xml:space="preserve">Q208</w:t>
            </w:r>
          </w:p>
        </w:tc>
        <w:tc>
          <w:tcPr/>
          <w:p>
            <w:pPr>
              <w:pStyle w:val="Compact"/>
              <w:spacing w:line="240" w:lineRule="auto"/>
            </w:pPr>
            <w:r>
              <w:rPr>
                <w:sz w:val="18"/>
              </w:rPr>
              <w:t xml:space="preserve">Q210</w:t>
            </w:r>
          </w:p>
        </w:tc>
        <w:tc>
          <w:tcPr/>
          <w:p>
            <w:pPr>
              <w:pStyle w:val="Compact"/>
              <w:spacing w:line="240" w:lineRule="auto"/>
            </w:pPr>
            <w:r>
              <w:rPr>
                <w:sz w:val="18"/>
              </w:rPr>
              <w:t xml:space="preserve">Q210</w:t>
            </w:r>
          </w:p>
        </w:tc>
        <w:tc>
          <w:tcPr/>
          <w:p>
            <w:pPr>
              <w:pStyle w:val="Compact"/>
              <w:spacing w:line="240" w:lineRule="auto"/>
            </w:pPr>
            <w:r>
              <w:rPr>
                <w:sz w:val="18"/>
              </w:rPr>
              <w:t xml:space="preserve">Q209</w:t>
            </w:r>
          </w:p>
        </w:tc>
        <w:tc>
          <w:tcPr/>
          <w:p>
            <w:pPr>
              <w:pStyle w:val="Compact"/>
              <w:spacing w:line="240" w:lineRule="auto"/>
            </w:pPr>
            <w:r>
              <w:rPr>
                <w:sz w:val="18"/>
              </w:rPr>
              <w:t xml:space="preserve">Q216</w:t>
            </w:r>
          </w:p>
        </w:tc>
        <w:tc>
          <w:tcPr/>
          <w:p>
            <w:pPr>
              <w:pStyle w:val="Compact"/>
              <w:spacing w:line="240" w:lineRule="auto"/>
            </w:pPr>
            <w:r>
              <w:rPr>
                <w:sz w:val="18"/>
              </w:rPr>
              <w:t xml:space="preserve">Q208</w:t>
            </w:r>
          </w:p>
        </w:tc>
        <w:tc>
          <w:tcPr/>
          <w:p>
            <w:pPr>
              <w:pStyle w:val="Compact"/>
              <w:spacing w:line="240" w:lineRule="auto"/>
            </w:pPr>
            <w:r>
              <w:rPr>
                <w:sz w:val="18"/>
              </w:rPr>
              <w:t xml:space="preserve">Q214</w:t>
            </w:r>
          </w:p>
        </w:tc>
        <w:tc>
          <w:tcPr/>
          <w:p>
            <w:pPr>
              <w:pStyle w:val="Compact"/>
              <w:spacing w:line="240" w:lineRule="auto"/>
            </w:pPr>
            <w:r>
              <w:rPr>
                <w:sz w:val="18"/>
              </w:rPr>
              <w:t xml:space="preserve">Q210</w:t>
            </w:r>
          </w:p>
        </w:tc>
        <w:tc>
          <w:tcPr/>
          <w:p>
            <w:pPr>
              <w:pStyle w:val="Compact"/>
              <w:spacing w:line="240" w:lineRule="auto"/>
            </w:pPr>
            <w:r>
              <w:rPr>
                <w:b/>
                <w:bCs/>
                <w:sz w:val="18"/>
              </w:rPr>
              <w:t xml:space="preserve">T209</w:t>
            </w:r>
          </w:p>
        </w:tc>
      </w:tr>
      <w:tr>
        <w:tc>
          <w:tcPr/>
          <w:p>
            <w:pPr>
              <w:pStyle w:val="Compact"/>
              <w:spacing w:line="240" w:lineRule="auto"/>
            </w:pPr>
          </w:p>
        </w:tc>
        <w:tc>
          <w:tcPr/>
          <w:p>
            <w:pPr>
              <w:pStyle w:val="Compact"/>
              <w:spacing w:line="240" w:lineRule="auto"/>
            </w:pPr>
            <w:r>
              <w:rPr>
                <w:sz w:val="18"/>
              </w:rPr>
              <w:t xml:space="preserve">Gly193</w:t>
            </w:r>
          </w:p>
        </w:tc>
        <w:tc>
          <w:tcPr/>
          <w:p>
            <w:pPr>
              <w:pStyle w:val="Compact"/>
              <w:spacing w:line="240" w:lineRule="auto"/>
            </w:pPr>
            <w:r>
              <w:rPr>
                <w:sz w:val="18"/>
              </w:rPr>
              <w:t xml:space="preserve">G193</w:t>
            </w:r>
          </w:p>
        </w:tc>
        <w:tc>
          <w:tcPr/>
          <w:p>
            <w:pPr>
              <w:pStyle w:val="Compact"/>
              <w:spacing w:line="240" w:lineRule="auto"/>
            </w:pPr>
            <w:r>
              <w:rPr>
                <w:sz w:val="18"/>
              </w:rPr>
              <w:t xml:space="preserve">G218</w:t>
            </w:r>
          </w:p>
        </w:tc>
        <w:tc>
          <w:tcPr/>
          <w:p>
            <w:pPr>
              <w:pStyle w:val="Compact"/>
              <w:spacing w:line="240" w:lineRule="auto"/>
            </w:pPr>
            <w:r>
              <w:rPr>
                <w:sz w:val="18"/>
              </w:rPr>
              <w:t xml:space="preserve">G209</w:t>
            </w:r>
          </w:p>
        </w:tc>
        <w:tc>
          <w:tcPr/>
          <w:p>
            <w:pPr>
              <w:pStyle w:val="Compact"/>
              <w:spacing w:line="240" w:lineRule="auto"/>
            </w:pPr>
            <w:r>
              <w:rPr>
                <w:sz w:val="18"/>
              </w:rPr>
              <w:t xml:space="preserve">G211</w:t>
            </w:r>
          </w:p>
        </w:tc>
        <w:tc>
          <w:tcPr/>
          <w:p>
            <w:pPr>
              <w:pStyle w:val="Compact"/>
              <w:spacing w:line="240" w:lineRule="auto"/>
            </w:pPr>
            <w:r>
              <w:rPr>
                <w:sz w:val="18"/>
              </w:rPr>
              <w:t xml:space="preserve">G211</w:t>
            </w:r>
          </w:p>
        </w:tc>
        <w:tc>
          <w:tcPr/>
          <w:p>
            <w:pPr>
              <w:pStyle w:val="Compact"/>
              <w:spacing w:line="240" w:lineRule="auto"/>
            </w:pPr>
            <w:r>
              <w:rPr>
                <w:sz w:val="18"/>
              </w:rPr>
              <w:t xml:space="preserve">G210</w:t>
            </w:r>
          </w:p>
        </w:tc>
        <w:tc>
          <w:tcPr/>
          <w:p>
            <w:pPr>
              <w:pStyle w:val="Compact"/>
              <w:spacing w:line="240" w:lineRule="auto"/>
            </w:pPr>
            <w:r>
              <w:rPr>
                <w:sz w:val="18"/>
              </w:rPr>
              <w:t xml:space="preserve">G217</w:t>
            </w:r>
          </w:p>
        </w:tc>
        <w:tc>
          <w:tcPr/>
          <w:p>
            <w:pPr>
              <w:pStyle w:val="Compact"/>
              <w:spacing w:line="240" w:lineRule="auto"/>
            </w:pPr>
            <w:r>
              <w:rPr>
                <w:sz w:val="18"/>
              </w:rPr>
              <w:t xml:space="preserve">G209</w:t>
            </w:r>
          </w:p>
        </w:tc>
        <w:tc>
          <w:tcPr/>
          <w:p>
            <w:pPr>
              <w:pStyle w:val="Compact"/>
              <w:spacing w:line="240" w:lineRule="auto"/>
            </w:pPr>
            <w:r>
              <w:rPr>
                <w:sz w:val="18"/>
              </w:rPr>
              <w:t xml:space="preserve">G215</w:t>
            </w:r>
          </w:p>
        </w:tc>
        <w:tc>
          <w:tcPr/>
          <w:p>
            <w:pPr>
              <w:pStyle w:val="Compact"/>
              <w:spacing w:line="240" w:lineRule="auto"/>
            </w:pPr>
            <w:r>
              <w:rPr>
                <w:sz w:val="18"/>
              </w:rPr>
              <w:t xml:space="preserve">G211</w:t>
            </w:r>
          </w:p>
        </w:tc>
        <w:tc>
          <w:tcPr/>
          <w:p>
            <w:pPr>
              <w:pStyle w:val="Compact"/>
              <w:spacing w:line="240" w:lineRule="auto"/>
            </w:pPr>
            <w:r>
              <w:rPr>
                <w:sz w:val="18"/>
              </w:rPr>
              <w:t xml:space="preserve">G210</w:t>
            </w:r>
          </w:p>
        </w:tc>
      </w:tr>
      <w:tr>
        <w:tc>
          <w:tcPr/>
          <w:p>
            <w:pPr>
              <w:pStyle w:val="Compact"/>
              <w:spacing w:line="240" w:lineRule="auto"/>
            </w:pPr>
          </w:p>
        </w:tc>
        <w:tc>
          <w:tcPr/>
          <w:p>
            <w:pPr>
              <w:pStyle w:val="Compact"/>
              <w:spacing w:line="240" w:lineRule="auto"/>
            </w:pPr>
            <w:r>
              <w:rPr>
                <w:sz w:val="18"/>
              </w:rPr>
              <w:t xml:space="preserve">Asp194</w:t>
            </w:r>
          </w:p>
        </w:tc>
        <w:tc>
          <w:tcPr/>
          <w:p>
            <w:pPr>
              <w:pStyle w:val="Compact"/>
              <w:spacing w:line="240" w:lineRule="auto"/>
            </w:pPr>
            <w:r>
              <w:rPr>
                <w:sz w:val="18"/>
              </w:rPr>
              <w:t xml:space="preserve">D194</w:t>
            </w:r>
          </w:p>
        </w:tc>
        <w:tc>
          <w:tcPr/>
          <w:p>
            <w:pPr>
              <w:pStyle w:val="Compact"/>
              <w:spacing w:line="240" w:lineRule="auto"/>
            </w:pPr>
            <w:r>
              <w:rPr>
                <w:sz w:val="18"/>
              </w:rPr>
              <w:t xml:space="preserve">D219</w:t>
            </w:r>
          </w:p>
        </w:tc>
        <w:tc>
          <w:tcPr/>
          <w:p>
            <w:pPr>
              <w:pStyle w:val="Compact"/>
              <w:spacing w:line="240" w:lineRule="auto"/>
            </w:pPr>
            <w:r>
              <w:rPr>
                <w:sz w:val="18"/>
              </w:rPr>
              <w:t xml:space="preserve">D210</w:t>
            </w:r>
          </w:p>
        </w:tc>
        <w:tc>
          <w:tcPr/>
          <w:p>
            <w:pPr>
              <w:pStyle w:val="Compact"/>
              <w:spacing w:line="240" w:lineRule="auto"/>
            </w:pPr>
            <w:r>
              <w:rPr>
                <w:sz w:val="18"/>
              </w:rPr>
              <w:t xml:space="preserve">D212</w:t>
            </w:r>
          </w:p>
        </w:tc>
        <w:tc>
          <w:tcPr/>
          <w:p>
            <w:pPr>
              <w:pStyle w:val="Compact"/>
              <w:spacing w:line="240" w:lineRule="auto"/>
            </w:pPr>
            <w:r>
              <w:rPr>
                <w:sz w:val="18"/>
              </w:rPr>
              <w:t xml:space="preserve">D212</w:t>
            </w:r>
          </w:p>
        </w:tc>
        <w:tc>
          <w:tcPr/>
          <w:p>
            <w:pPr>
              <w:pStyle w:val="Compact"/>
              <w:spacing w:line="240" w:lineRule="auto"/>
            </w:pPr>
            <w:r>
              <w:rPr>
                <w:sz w:val="18"/>
              </w:rPr>
              <w:t xml:space="preserve">D211</w:t>
            </w:r>
          </w:p>
        </w:tc>
        <w:tc>
          <w:tcPr/>
          <w:p>
            <w:pPr>
              <w:pStyle w:val="Compact"/>
              <w:spacing w:line="240" w:lineRule="auto"/>
            </w:pPr>
            <w:r>
              <w:rPr>
                <w:sz w:val="18"/>
              </w:rPr>
              <w:t xml:space="preserve">D218</w:t>
            </w:r>
          </w:p>
        </w:tc>
        <w:tc>
          <w:tcPr/>
          <w:p>
            <w:pPr>
              <w:pStyle w:val="Compact"/>
              <w:spacing w:line="240" w:lineRule="auto"/>
            </w:pPr>
            <w:r>
              <w:rPr>
                <w:sz w:val="18"/>
              </w:rPr>
              <w:t xml:space="preserve">D210</w:t>
            </w:r>
          </w:p>
        </w:tc>
        <w:tc>
          <w:tcPr/>
          <w:p>
            <w:pPr>
              <w:pStyle w:val="Compact"/>
              <w:spacing w:line="240" w:lineRule="auto"/>
            </w:pPr>
            <w:r>
              <w:rPr>
                <w:sz w:val="18"/>
              </w:rPr>
              <w:t xml:space="preserve">D216</w:t>
            </w:r>
          </w:p>
        </w:tc>
        <w:tc>
          <w:tcPr/>
          <w:p>
            <w:pPr>
              <w:pStyle w:val="Compact"/>
              <w:spacing w:line="240" w:lineRule="auto"/>
            </w:pPr>
            <w:r>
              <w:rPr>
                <w:sz w:val="18"/>
              </w:rPr>
              <w:t xml:space="preserve">D212</w:t>
            </w:r>
          </w:p>
        </w:tc>
        <w:tc>
          <w:tcPr/>
          <w:p>
            <w:pPr>
              <w:pStyle w:val="Compact"/>
              <w:spacing w:line="240" w:lineRule="auto"/>
            </w:pPr>
            <w:r>
              <w:rPr>
                <w:sz w:val="18"/>
              </w:rPr>
              <w:t xml:space="preserve">D211</w:t>
            </w:r>
          </w:p>
        </w:tc>
      </w:tr>
      <w:tr>
        <w:tc>
          <w:tcPr/>
          <w:p>
            <w:pPr>
              <w:pStyle w:val="Compact"/>
              <w:spacing w:line="240" w:lineRule="auto"/>
            </w:pPr>
          </w:p>
        </w:tc>
        <w:tc>
          <w:tcPr/>
          <w:p>
            <w:pPr>
              <w:pStyle w:val="Compact"/>
              <w:spacing w:line="240" w:lineRule="auto"/>
            </w:pPr>
            <w:r>
              <w:rPr>
                <w:sz w:val="18"/>
              </w:rPr>
              <w:t xml:space="preserve">Val213</w:t>
            </w:r>
          </w:p>
        </w:tc>
        <w:tc>
          <w:tcPr/>
          <w:p>
            <w:pPr>
              <w:pStyle w:val="Compact"/>
              <w:spacing w:line="240" w:lineRule="auto"/>
            </w:pPr>
            <w:r>
              <w:rPr>
                <w:sz w:val="18"/>
              </w:rPr>
              <w:t xml:space="preserve">V213</w:t>
            </w:r>
          </w:p>
        </w:tc>
        <w:tc>
          <w:tcPr/>
          <w:p>
            <w:pPr>
              <w:pStyle w:val="Compact"/>
              <w:spacing w:line="240" w:lineRule="auto"/>
            </w:pPr>
            <w:r>
              <w:rPr>
                <w:b/>
                <w:bCs/>
                <w:sz w:val="18"/>
              </w:rPr>
              <w:t xml:space="preserve">T235</w:t>
            </w:r>
          </w:p>
        </w:tc>
        <w:tc>
          <w:tcPr/>
          <w:p>
            <w:pPr>
              <w:pStyle w:val="Compact"/>
              <w:spacing w:line="240" w:lineRule="auto"/>
            </w:pPr>
            <w:r>
              <w:rPr>
                <w:b/>
                <w:bCs/>
                <w:sz w:val="18"/>
              </w:rPr>
              <w:t xml:space="preserve">C225</w:t>
            </w:r>
          </w:p>
        </w:tc>
        <w:tc>
          <w:tcPr/>
          <w:p>
            <w:pPr>
              <w:pStyle w:val="Compact"/>
              <w:spacing w:line="240" w:lineRule="auto"/>
            </w:pPr>
            <w:r>
              <w:rPr>
                <w:b/>
                <w:bCs/>
                <w:sz w:val="18"/>
              </w:rPr>
              <w:t xml:space="preserve">C227</w:t>
            </w:r>
          </w:p>
        </w:tc>
        <w:tc>
          <w:tcPr/>
          <w:p>
            <w:pPr>
              <w:pStyle w:val="Compact"/>
              <w:spacing w:line="240" w:lineRule="auto"/>
            </w:pPr>
            <w:r>
              <w:rPr>
                <w:b/>
                <w:bCs/>
                <w:sz w:val="18"/>
              </w:rPr>
              <w:t xml:space="preserve">C227</w:t>
            </w:r>
          </w:p>
        </w:tc>
        <w:tc>
          <w:tcPr/>
          <w:p>
            <w:pPr>
              <w:pStyle w:val="Compact"/>
              <w:spacing w:line="240" w:lineRule="auto"/>
            </w:pPr>
            <w:r>
              <w:rPr>
                <w:b/>
                <w:bCs/>
                <w:sz w:val="18"/>
              </w:rPr>
              <w:t xml:space="preserve">C226</w:t>
            </w:r>
          </w:p>
        </w:tc>
        <w:tc>
          <w:tcPr/>
          <w:p>
            <w:pPr>
              <w:pStyle w:val="Compact"/>
              <w:spacing w:line="240" w:lineRule="auto"/>
            </w:pPr>
            <w:r>
              <w:rPr>
                <w:sz w:val="18"/>
              </w:rPr>
              <w:t xml:space="preserve">V234</w:t>
            </w:r>
          </w:p>
        </w:tc>
        <w:tc>
          <w:tcPr/>
          <w:p>
            <w:pPr>
              <w:pStyle w:val="Compact"/>
              <w:spacing w:line="240" w:lineRule="auto"/>
            </w:pPr>
            <w:r>
              <w:rPr>
                <w:sz w:val="18"/>
              </w:rPr>
              <w:t xml:space="preserve">V225</w:t>
            </w:r>
          </w:p>
        </w:tc>
        <w:tc>
          <w:tcPr/>
          <w:p>
            <w:pPr>
              <w:pStyle w:val="Compact"/>
              <w:spacing w:line="240" w:lineRule="auto"/>
            </w:pPr>
            <w:r>
              <w:rPr>
                <w:b/>
                <w:bCs/>
                <w:sz w:val="18"/>
              </w:rPr>
              <w:t xml:space="preserve">C231</w:t>
            </w:r>
          </w:p>
        </w:tc>
        <w:tc>
          <w:tcPr/>
          <w:p>
            <w:pPr>
              <w:pStyle w:val="Compact"/>
              <w:spacing w:line="240" w:lineRule="auto"/>
            </w:pPr>
            <w:r>
              <w:rPr>
                <w:b/>
                <w:bCs/>
                <w:sz w:val="18"/>
              </w:rPr>
              <w:t xml:space="preserve">C227</w:t>
            </w:r>
          </w:p>
        </w:tc>
        <w:tc>
          <w:tcPr/>
          <w:p>
            <w:pPr>
              <w:pStyle w:val="Compact"/>
              <w:spacing w:line="240" w:lineRule="auto"/>
            </w:pPr>
            <w:r>
              <w:rPr>
                <w:b/>
                <w:bCs/>
                <w:sz w:val="18"/>
              </w:rPr>
              <w:t xml:space="preserve">S226</w:t>
            </w:r>
          </w:p>
        </w:tc>
      </w:tr>
      <w:tr>
        <w:tc>
          <w:tcPr/>
          <w:p>
            <w:pPr>
              <w:pStyle w:val="Compact"/>
              <w:spacing w:line="240" w:lineRule="auto"/>
            </w:pPr>
          </w:p>
        </w:tc>
        <w:tc>
          <w:tcPr/>
          <w:p>
            <w:pPr>
              <w:pStyle w:val="Compact"/>
              <w:spacing w:line="240" w:lineRule="auto"/>
            </w:pPr>
            <w:r>
              <w:rPr>
                <w:sz w:val="18"/>
              </w:rPr>
              <w:t xml:space="preserve">Ser214</w:t>
            </w:r>
          </w:p>
        </w:tc>
        <w:tc>
          <w:tcPr/>
          <w:p>
            <w:pPr>
              <w:pStyle w:val="Compact"/>
              <w:spacing w:line="240" w:lineRule="auto"/>
            </w:pPr>
            <w:r>
              <w:rPr>
                <w:sz w:val="18"/>
              </w:rPr>
              <w:t xml:space="preserve">S214</w:t>
            </w:r>
          </w:p>
        </w:tc>
        <w:tc>
          <w:tcPr/>
          <w:p>
            <w:pPr>
              <w:pStyle w:val="Compact"/>
              <w:spacing w:line="240" w:lineRule="auto"/>
            </w:pPr>
            <w:r>
              <w:rPr>
                <w:sz w:val="18"/>
              </w:rPr>
              <w:t xml:space="preserve">S236</w:t>
            </w:r>
          </w:p>
        </w:tc>
        <w:tc>
          <w:tcPr/>
          <w:p>
            <w:pPr>
              <w:pStyle w:val="Compact"/>
              <w:spacing w:line="240" w:lineRule="auto"/>
            </w:pPr>
            <w:r>
              <w:rPr>
                <w:sz w:val="18"/>
              </w:rPr>
              <w:t xml:space="preserve">S226</w:t>
            </w:r>
          </w:p>
        </w:tc>
        <w:tc>
          <w:tcPr/>
          <w:p>
            <w:pPr>
              <w:pStyle w:val="Compact"/>
              <w:spacing w:line="240" w:lineRule="auto"/>
            </w:pPr>
            <w:r>
              <w:rPr>
                <w:sz w:val="18"/>
              </w:rPr>
              <w:t xml:space="preserve">S228</w:t>
            </w:r>
          </w:p>
        </w:tc>
        <w:tc>
          <w:tcPr/>
          <w:p>
            <w:pPr>
              <w:pStyle w:val="Compact"/>
              <w:spacing w:line="240" w:lineRule="auto"/>
            </w:pPr>
            <w:r>
              <w:rPr>
                <w:sz w:val="18"/>
              </w:rPr>
              <w:t xml:space="preserve">S228</w:t>
            </w:r>
          </w:p>
        </w:tc>
        <w:tc>
          <w:tcPr/>
          <w:p>
            <w:pPr>
              <w:pStyle w:val="Compact"/>
              <w:spacing w:line="240" w:lineRule="auto"/>
            </w:pPr>
            <w:r>
              <w:rPr>
                <w:sz w:val="18"/>
              </w:rPr>
              <w:t xml:space="preserve">S227</w:t>
            </w:r>
          </w:p>
        </w:tc>
        <w:tc>
          <w:tcPr/>
          <w:p>
            <w:pPr>
              <w:pStyle w:val="Compact"/>
              <w:spacing w:line="240" w:lineRule="auto"/>
            </w:pPr>
            <w:r>
              <w:rPr>
                <w:sz w:val="18"/>
              </w:rPr>
              <w:t xml:space="preserve">S235</w:t>
            </w:r>
          </w:p>
        </w:tc>
        <w:tc>
          <w:tcPr/>
          <w:p>
            <w:pPr>
              <w:pStyle w:val="Compact"/>
              <w:spacing w:line="240" w:lineRule="auto"/>
            </w:pPr>
            <w:r>
              <w:rPr>
                <w:sz w:val="18"/>
              </w:rPr>
              <w:t xml:space="preserve">S226</w:t>
            </w:r>
          </w:p>
        </w:tc>
        <w:tc>
          <w:tcPr/>
          <w:p>
            <w:pPr>
              <w:pStyle w:val="Compact"/>
              <w:spacing w:line="240" w:lineRule="auto"/>
            </w:pPr>
            <w:r>
              <w:rPr>
                <w:sz w:val="18"/>
              </w:rPr>
              <w:t xml:space="preserve">S232</w:t>
            </w:r>
          </w:p>
        </w:tc>
        <w:tc>
          <w:tcPr/>
          <w:p>
            <w:pPr>
              <w:pStyle w:val="Compact"/>
              <w:spacing w:line="240" w:lineRule="auto"/>
            </w:pPr>
            <w:r>
              <w:rPr>
                <w:sz w:val="18"/>
              </w:rPr>
              <w:t xml:space="preserve">S228</w:t>
            </w:r>
          </w:p>
        </w:tc>
        <w:tc>
          <w:tcPr/>
          <w:p>
            <w:pPr>
              <w:pStyle w:val="Compact"/>
              <w:spacing w:line="240" w:lineRule="auto"/>
            </w:pPr>
            <w:r>
              <w:rPr>
                <w:sz w:val="18"/>
              </w:rPr>
              <w:t xml:space="preserve">S227</w:t>
            </w:r>
          </w:p>
        </w:tc>
      </w:tr>
      <w:tr>
        <w:tc>
          <w:tcPr/>
          <w:p>
            <w:pPr>
              <w:pStyle w:val="Compact"/>
              <w:spacing w:line="240" w:lineRule="auto"/>
            </w:pPr>
          </w:p>
        </w:tc>
        <w:tc>
          <w:tcPr/>
          <w:p>
            <w:pPr>
              <w:pStyle w:val="Compact"/>
              <w:spacing w:line="240" w:lineRule="auto"/>
            </w:pPr>
            <w:r>
              <w:rPr>
                <w:sz w:val="18"/>
              </w:rPr>
              <w:t xml:space="preserve">Trp215</w:t>
            </w:r>
          </w:p>
        </w:tc>
        <w:tc>
          <w:tcPr/>
          <w:p>
            <w:pPr>
              <w:pStyle w:val="Compact"/>
              <w:spacing w:line="240" w:lineRule="auto"/>
            </w:pPr>
            <w:r>
              <w:rPr>
                <w:sz w:val="18"/>
              </w:rPr>
              <w:t xml:space="preserve">W215</w:t>
            </w:r>
          </w:p>
        </w:tc>
        <w:tc>
          <w:tcPr/>
          <w:p>
            <w:pPr>
              <w:pStyle w:val="Compact"/>
              <w:spacing w:line="240" w:lineRule="auto"/>
            </w:pPr>
            <w:r>
              <w:rPr>
                <w:sz w:val="18"/>
              </w:rPr>
              <w:t xml:space="preserve">W237</w:t>
            </w:r>
          </w:p>
        </w:tc>
        <w:tc>
          <w:tcPr/>
          <w:p>
            <w:pPr>
              <w:pStyle w:val="Compact"/>
              <w:spacing w:line="240" w:lineRule="auto"/>
            </w:pPr>
            <w:r>
              <w:rPr>
                <w:b/>
                <w:bCs/>
                <w:sz w:val="18"/>
              </w:rPr>
              <w:t xml:space="preserve">F227</w:t>
            </w:r>
          </w:p>
        </w:tc>
        <w:tc>
          <w:tcPr/>
          <w:p>
            <w:pPr>
              <w:pStyle w:val="Compact"/>
              <w:spacing w:line="240" w:lineRule="auto"/>
            </w:pPr>
            <w:r>
              <w:rPr>
                <w:sz w:val="18"/>
              </w:rPr>
              <w:t xml:space="preserve">W229</w:t>
            </w:r>
          </w:p>
        </w:tc>
        <w:tc>
          <w:tcPr/>
          <w:p>
            <w:pPr>
              <w:pStyle w:val="Compact"/>
              <w:spacing w:line="240" w:lineRule="auto"/>
            </w:pPr>
            <w:r>
              <w:rPr>
                <w:sz w:val="18"/>
              </w:rPr>
              <w:t xml:space="preserve">W229</w:t>
            </w:r>
          </w:p>
        </w:tc>
        <w:tc>
          <w:tcPr/>
          <w:p>
            <w:pPr>
              <w:pStyle w:val="Compact"/>
              <w:spacing w:line="240" w:lineRule="auto"/>
            </w:pPr>
            <w:r>
              <w:rPr>
                <w:sz w:val="18"/>
              </w:rPr>
              <w:t xml:space="preserve">W228</w:t>
            </w:r>
          </w:p>
        </w:tc>
        <w:tc>
          <w:tcPr/>
          <w:p>
            <w:pPr>
              <w:pStyle w:val="Compact"/>
              <w:spacing w:line="240" w:lineRule="auto"/>
            </w:pPr>
            <w:r>
              <w:rPr>
                <w:sz w:val="18"/>
              </w:rPr>
              <w:t xml:space="preserve">W236</w:t>
            </w:r>
          </w:p>
        </w:tc>
        <w:tc>
          <w:tcPr/>
          <w:p>
            <w:pPr>
              <w:pStyle w:val="Compact"/>
              <w:spacing w:line="240" w:lineRule="auto"/>
            </w:pPr>
            <w:r>
              <w:rPr>
                <w:sz w:val="18"/>
              </w:rPr>
              <w:t xml:space="preserve">W227</w:t>
            </w:r>
          </w:p>
        </w:tc>
        <w:tc>
          <w:tcPr/>
          <w:p>
            <w:pPr>
              <w:pStyle w:val="Compact"/>
              <w:spacing w:line="240" w:lineRule="auto"/>
            </w:pPr>
            <w:r>
              <w:rPr>
                <w:b/>
                <w:bCs/>
                <w:sz w:val="18"/>
              </w:rPr>
              <w:t xml:space="preserve">F233</w:t>
            </w:r>
          </w:p>
        </w:tc>
        <w:tc>
          <w:tcPr/>
          <w:p>
            <w:pPr>
              <w:pStyle w:val="Compact"/>
              <w:spacing w:line="240" w:lineRule="auto"/>
            </w:pPr>
            <w:r>
              <w:rPr>
                <w:sz w:val="18"/>
              </w:rPr>
              <w:t xml:space="preserve">W229</w:t>
            </w:r>
          </w:p>
        </w:tc>
        <w:tc>
          <w:tcPr/>
          <w:p>
            <w:pPr>
              <w:pStyle w:val="Compact"/>
              <w:spacing w:line="240" w:lineRule="auto"/>
            </w:pPr>
            <w:r>
              <w:rPr>
                <w:b/>
                <w:bCs/>
                <w:sz w:val="18"/>
              </w:rPr>
              <w:t xml:space="preserve">F228</w:t>
            </w:r>
          </w:p>
        </w:tc>
      </w:tr>
      <w:tr>
        <w:tc>
          <w:tcPr/>
          <w:p>
            <w:pPr>
              <w:pStyle w:val="Compact"/>
              <w:spacing w:line="240" w:lineRule="auto"/>
            </w:pPr>
          </w:p>
        </w:tc>
        <w:tc>
          <w:tcPr/>
          <w:p>
            <w:pPr>
              <w:pStyle w:val="Compact"/>
              <w:spacing w:line="240" w:lineRule="auto"/>
            </w:pPr>
            <w:r>
              <w:rPr>
                <w:sz w:val="18"/>
              </w:rPr>
              <w:t xml:space="preserve">Gly216</w:t>
            </w:r>
          </w:p>
        </w:tc>
        <w:tc>
          <w:tcPr/>
          <w:p>
            <w:pPr>
              <w:pStyle w:val="Compact"/>
              <w:spacing w:line="240" w:lineRule="auto"/>
            </w:pPr>
            <w:r>
              <w:rPr>
                <w:sz w:val="18"/>
              </w:rPr>
              <w:t xml:space="preserve">G216</w:t>
            </w:r>
          </w:p>
        </w:tc>
        <w:tc>
          <w:tcPr/>
          <w:p>
            <w:pPr>
              <w:pStyle w:val="Compact"/>
              <w:spacing w:line="240" w:lineRule="auto"/>
            </w:pPr>
            <w:r>
              <w:rPr>
                <w:sz w:val="18"/>
              </w:rPr>
              <w:t xml:space="preserve">G238</w:t>
            </w:r>
          </w:p>
        </w:tc>
        <w:tc>
          <w:tcPr/>
          <w:p>
            <w:pPr>
              <w:pStyle w:val="Compact"/>
              <w:spacing w:line="240" w:lineRule="auto"/>
            </w:pPr>
            <w:r>
              <w:rPr>
                <w:sz w:val="18"/>
              </w:rPr>
              <w:t xml:space="preserve">G228</w:t>
            </w:r>
          </w:p>
        </w:tc>
        <w:tc>
          <w:tcPr/>
          <w:p>
            <w:pPr>
              <w:pStyle w:val="Compact"/>
              <w:spacing w:line="240" w:lineRule="auto"/>
            </w:pPr>
            <w:r>
              <w:rPr>
                <w:sz w:val="18"/>
              </w:rPr>
              <w:t xml:space="preserve">G230</w:t>
            </w:r>
          </w:p>
        </w:tc>
        <w:tc>
          <w:tcPr/>
          <w:p>
            <w:pPr>
              <w:pStyle w:val="Compact"/>
              <w:spacing w:line="240" w:lineRule="auto"/>
            </w:pPr>
            <w:r>
              <w:rPr>
                <w:sz w:val="18"/>
              </w:rPr>
              <w:t xml:space="preserve">G230</w:t>
            </w:r>
          </w:p>
        </w:tc>
        <w:tc>
          <w:tcPr/>
          <w:p>
            <w:pPr>
              <w:pStyle w:val="Compact"/>
              <w:spacing w:line="240" w:lineRule="auto"/>
            </w:pPr>
            <w:r>
              <w:rPr>
                <w:sz w:val="18"/>
              </w:rPr>
              <w:t xml:space="preserve">G229</w:t>
            </w:r>
          </w:p>
        </w:tc>
        <w:tc>
          <w:tcPr/>
          <w:p>
            <w:pPr>
              <w:pStyle w:val="Compact"/>
              <w:spacing w:line="240" w:lineRule="auto"/>
            </w:pPr>
            <w:r>
              <w:rPr>
                <w:sz w:val="18"/>
              </w:rPr>
              <w:t xml:space="preserve">G237</w:t>
            </w:r>
          </w:p>
        </w:tc>
        <w:tc>
          <w:tcPr/>
          <w:p>
            <w:pPr>
              <w:pStyle w:val="Compact"/>
              <w:spacing w:line="240" w:lineRule="auto"/>
            </w:pPr>
            <w:r>
              <w:rPr>
                <w:sz w:val="18"/>
              </w:rPr>
              <w:t xml:space="preserve">G228</w:t>
            </w:r>
          </w:p>
        </w:tc>
        <w:tc>
          <w:tcPr/>
          <w:p>
            <w:pPr>
              <w:pStyle w:val="Compact"/>
              <w:spacing w:line="240" w:lineRule="auto"/>
            </w:pPr>
            <w:r>
              <w:rPr>
                <w:sz w:val="18"/>
              </w:rPr>
              <w:t xml:space="preserve">G234</w:t>
            </w:r>
          </w:p>
        </w:tc>
        <w:tc>
          <w:tcPr/>
          <w:p>
            <w:pPr>
              <w:pStyle w:val="Compact"/>
              <w:spacing w:line="240" w:lineRule="auto"/>
            </w:pPr>
            <w:r>
              <w:rPr>
                <w:sz w:val="18"/>
              </w:rPr>
              <w:t xml:space="preserve">G230</w:t>
            </w:r>
          </w:p>
        </w:tc>
        <w:tc>
          <w:tcPr/>
          <w:p>
            <w:pPr>
              <w:pStyle w:val="Compact"/>
              <w:spacing w:line="240" w:lineRule="auto"/>
            </w:pPr>
            <w:r>
              <w:rPr>
                <w:sz w:val="18"/>
              </w:rPr>
              <w:t xml:space="preserve">G229</w:t>
            </w:r>
          </w:p>
        </w:tc>
      </w:tr>
      <w:tr>
        <w:tc>
          <w:tcPr/>
          <w:p>
            <w:pPr>
              <w:pStyle w:val="Compact"/>
              <w:spacing w:line="240" w:lineRule="auto"/>
            </w:pPr>
          </w:p>
        </w:tc>
        <w:tc>
          <w:tcPr/>
          <w:p>
            <w:pPr>
              <w:pStyle w:val="Compact"/>
              <w:spacing w:line="240" w:lineRule="auto"/>
            </w:pPr>
            <w:r>
              <w:rPr>
                <w:sz w:val="18"/>
              </w:rPr>
              <w:t xml:space="preserve">Gly219</w:t>
            </w:r>
          </w:p>
        </w:tc>
        <w:tc>
          <w:tcPr/>
          <w:p>
            <w:pPr>
              <w:pStyle w:val="Compact"/>
              <w:spacing w:line="240" w:lineRule="auto"/>
            </w:pPr>
            <w:r>
              <w:rPr>
                <w:sz w:val="18"/>
              </w:rPr>
              <w:t xml:space="preserve">G219</w:t>
            </w:r>
          </w:p>
        </w:tc>
        <w:tc>
          <w:tcPr/>
          <w:p>
            <w:pPr>
              <w:pStyle w:val="Compact"/>
              <w:spacing w:line="240" w:lineRule="auto"/>
            </w:pPr>
            <w:r>
              <w:rPr>
                <w:b/>
                <w:bCs/>
                <w:sz w:val="18"/>
              </w:rPr>
              <w:t xml:space="preserve">E240</w:t>
            </w:r>
          </w:p>
        </w:tc>
        <w:tc>
          <w:tcPr/>
          <w:p>
            <w:pPr>
              <w:pStyle w:val="Compact"/>
              <w:spacing w:line="240" w:lineRule="auto"/>
            </w:pPr>
            <w:r>
              <w:rPr>
                <w:sz w:val="18"/>
              </w:rPr>
              <w:t xml:space="preserve">G230</w:t>
            </w:r>
          </w:p>
        </w:tc>
        <w:tc>
          <w:tcPr/>
          <w:p>
            <w:pPr>
              <w:pStyle w:val="Compact"/>
              <w:spacing w:line="240" w:lineRule="auto"/>
            </w:pPr>
            <w:r>
              <w:rPr>
                <w:sz w:val="18"/>
              </w:rPr>
              <w:t xml:space="preserve">G232</w:t>
            </w:r>
          </w:p>
        </w:tc>
        <w:tc>
          <w:tcPr/>
          <w:p>
            <w:pPr>
              <w:pStyle w:val="Compact"/>
              <w:spacing w:line="240" w:lineRule="auto"/>
            </w:pPr>
            <w:r>
              <w:rPr>
                <w:sz w:val="18"/>
              </w:rPr>
              <w:t xml:space="preserve">G232</w:t>
            </w:r>
          </w:p>
        </w:tc>
        <w:tc>
          <w:tcPr/>
          <w:p>
            <w:pPr>
              <w:pStyle w:val="Compact"/>
              <w:spacing w:line="240" w:lineRule="auto"/>
            </w:pPr>
            <w:r>
              <w:rPr>
                <w:b/>
                <w:bCs/>
                <w:sz w:val="18"/>
              </w:rPr>
              <w:t xml:space="preserve">Q231</w:t>
            </w:r>
          </w:p>
        </w:tc>
        <w:tc>
          <w:tcPr/>
          <w:p>
            <w:pPr>
              <w:pStyle w:val="Compact"/>
              <w:spacing w:line="240" w:lineRule="auto"/>
            </w:pPr>
            <w:r>
              <w:rPr>
                <w:b/>
                <w:bCs/>
                <w:sz w:val="18"/>
              </w:rPr>
              <w:t xml:space="preserve">Q239</w:t>
            </w:r>
          </w:p>
        </w:tc>
        <w:tc>
          <w:tcPr/>
          <w:p>
            <w:pPr>
              <w:pStyle w:val="Compact"/>
              <w:spacing w:line="240" w:lineRule="auto"/>
            </w:pPr>
            <w:r>
              <w:rPr>
                <w:sz w:val="18"/>
              </w:rPr>
              <w:t xml:space="preserve">G230</w:t>
            </w:r>
          </w:p>
        </w:tc>
        <w:tc>
          <w:tcPr/>
          <w:p>
            <w:pPr>
              <w:pStyle w:val="Compact"/>
              <w:spacing w:line="240" w:lineRule="auto"/>
            </w:pPr>
            <w:r>
              <w:rPr>
                <w:sz w:val="18"/>
              </w:rPr>
              <w:t xml:space="preserve">G236</w:t>
            </w:r>
          </w:p>
        </w:tc>
        <w:tc>
          <w:tcPr/>
          <w:p>
            <w:pPr>
              <w:pStyle w:val="Compact"/>
              <w:spacing w:line="240" w:lineRule="auto"/>
            </w:pPr>
            <w:r>
              <w:rPr>
                <w:b/>
                <w:bCs/>
                <w:sz w:val="18"/>
              </w:rPr>
              <w:t xml:space="preserve">E232</w:t>
            </w:r>
          </w:p>
        </w:tc>
        <w:tc>
          <w:tcPr/>
          <w:p>
            <w:pPr>
              <w:pStyle w:val="Compact"/>
              <w:spacing w:line="240" w:lineRule="auto"/>
            </w:pPr>
            <w:r>
              <w:rPr>
                <w:b/>
                <w:bCs/>
                <w:sz w:val="18"/>
              </w:rPr>
              <w:t xml:space="preserve">N231</w:t>
            </w:r>
          </w:p>
        </w:tc>
      </w:tr>
      <w:tr>
        <w:tc>
          <w:tcPr/>
          <w:p>
            <w:pPr>
              <w:pStyle w:val="Compact"/>
              <w:spacing w:line="240" w:lineRule="auto"/>
            </w:pPr>
          </w:p>
        </w:tc>
        <w:tc>
          <w:tcPr/>
          <w:p>
            <w:pPr>
              <w:pStyle w:val="Compact"/>
              <w:spacing w:line="240" w:lineRule="auto"/>
            </w:pPr>
            <w:r>
              <w:rPr>
                <w:sz w:val="18"/>
              </w:rPr>
              <w:t xml:space="preserve">Gly226</w:t>
            </w:r>
          </w:p>
        </w:tc>
        <w:tc>
          <w:tcPr/>
          <w:p>
            <w:pPr>
              <w:pStyle w:val="Compact"/>
              <w:spacing w:line="240" w:lineRule="auto"/>
            </w:pPr>
            <w:r>
              <w:rPr>
                <w:sz w:val="18"/>
              </w:rPr>
              <w:t xml:space="preserve">G226</w:t>
            </w:r>
          </w:p>
        </w:tc>
        <w:tc>
          <w:tcPr/>
          <w:p>
            <w:pPr>
              <w:pStyle w:val="Compact"/>
              <w:spacing w:line="240" w:lineRule="auto"/>
            </w:pPr>
            <w:r>
              <w:rPr>
                <w:sz w:val="18"/>
              </w:rPr>
              <w:t xml:space="preserve">G248</w:t>
            </w:r>
          </w:p>
        </w:tc>
        <w:tc>
          <w:tcPr/>
          <w:p>
            <w:pPr>
              <w:pStyle w:val="Compact"/>
              <w:spacing w:line="240" w:lineRule="auto"/>
            </w:pPr>
            <w:r>
              <w:rPr>
                <w:sz w:val="18"/>
              </w:rPr>
              <w:t xml:space="preserve">G238</w:t>
            </w:r>
          </w:p>
        </w:tc>
        <w:tc>
          <w:tcPr/>
          <w:p>
            <w:pPr>
              <w:pStyle w:val="Compact"/>
              <w:spacing w:line="240" w:lineRule="auto"/>
            </w:pPr>
            <w:r>
              <w:rPr>
                <w:sz w:val="18"/>
              </w:rPr>
              <w:t xml:space="preserve">G240</w:t>
            </w:r>
          </w:p>
        </w:tc>
        <w:tc>
          <w:tcPr/>
          <w:p>
            <w:pPr>
              <w:pStyle w:val="Compact"/>
              <w:spacing w:line="240" w:lineRule="auto"/>
            </w:pPr>
            <w:r>
              <w:rPr>
                <w:sz w:val="18"/>
              </w:rPr>
              <w:t xml:space="preserve">G240</w:t>
            </w:r>
          </w:p>
        </w:tc>
        <w:tc>
          <w:tcPr/>
          <w:p>
            <w:pPr>
              <w:pStyle w:val="Compact"/>
              <w:spacing w:line="240" w:lineRule="auto"/>
            </w:pPr>
            <w:r>
              <w:rPr>
                <w:sz w:val="18"/>
              </w:rPr>
              <w:t xml:space="preserve">G239</w:t>
            </w:r>
          </w:p>
        </w:tc>
        <w:tc>
          <w:tcPr/>
          <w:p>
            <w:pPr>
              <w:pStyle w:val="Compact"/>
              <w:spacing w:line="240" w:lineRule="auto"/>
            </w:pPr>
            <w:r>
              <w:rPr>
                <w:sz w:val="18"/>
              </w:rPr>
              <w:t xml:space="preserve">G247</w:t>
            </w:r>
          </w:p>
        </w:tc>
        <w:tc>
          <w:tcPr/>
          <w:p>
            <w:pPr>
              <w:pStyle w:val="Compact"/>
              <w:spacing w:line="240" w:lineRule="auto"/>
            </w:pPr>
            <w:r>
              <w:rPr>
                <w:sz w:val="18"/>
              </w:rPr>
              <w:t xml:space="preserve">G238</w:t>
            </w:r>
          </w:p>
        </w:tc>
        <w:tc>
          <w:tcPr/>
          <w:p>
            <w:pPr>
              <w:pStyle w:val="Compact"/>
              <w:spacing w:line="240" w:lineRule="auto"/>
            </w:pPr>
            <w:r>
              <w:rPr>
                <w:sz w:val="18"/>
              </w:rPr>
              <w:t xml:space="preserve">G244</w:t>
            </w:r>
          </w:p>
        </w:tc>
        <w:tc>
          <w:tcPr/>
          <w:p>
            <w:pPr>
              <w:pStyle w:val="Compact"/>
              <w:spacing w:line="240" w:lineRule="auto"/>
            </w:pPr>
            <w:r>
              <w:rPr>
                <w:sz w:val="18"/>
              </w:rPr>
              <w:t xml:space="preserve">G240</w:t>
            </w:r>
          </w:p>
        </w:tc>
        <w:tc>
          <w:tcPr/>
          <w:p>
            <w:pPr>
              <w:pStyle w:val="Compact"/>
              <w:spacing w:line="240" w:lineRule="auto"/>
            </w:pPr>
            <w:r>
              <w:rPr>
                <w:sz w:val="18"/>
              </w:rPr>
              <w:t xml:space="preserve">G239</w:t>
            </w:r>
          </w:p>
        </w:tc>
      </w:tr>
      <w:tr>
        <w:tc>
          <w:tcPr/>
          <w:p>
            <w:pPr>
              <w:pStyle w:val="Compact"/>
              <w:spacing w:line="240" w:lineRule="auto"/>
            </w:pPr>
            <w:r>
              <w:rPr>
                <w:sz w:val="18"/>
              </w:rPr>
              <w:t xml:space="preserve">Geometry</w:t>
            </w:r>
          </w:p>
        </w:tc>
        <w:tc>
          <w:tcPr/>
          <w:p>
            <w:pPr>
              <w:pStyle w:val="Compact"/>
              <w:spacing w:line="240" w:lineRule="auto"/>
            </w:pPr>
            <w:r>
              <w:rPr>
                <w:sz w:val="18"/>
              </w:rPr>
              <w:t xml:space="preserve">His NE2…Ser OG (Å)</w:t>
            </w:r>
          </w:p>
        </w:tc>
        <w:tc>
          <w:tcPr/>
          <w:p>
            <w:pPr>
              <w:pStyle w:val="Compact"/>
              <w:spacing w:line="240" w:lineRule="auto"/>
            </w:pPr>
            <w:r>
              <w:rPr>
                <w:sz w:val="18"/>
              </w:rPr>
              <w:t xml:space="preserve">–</w:t>
            </w:r>
          </w:p>
        </w:tc>
        <w:tc>
          <w:tcPr/>
          <w:p>
            <w:pPr>
              <w:pStyle w:val="Compact"/>
              <w:spacing w:line="240" w:lineRule="auto"/>
            </w:pPr>
            <w:r>
              <w:rPr>
                <w:sz w:val="18"/>
              </w:rPr>
              <w:t xml:space="preserve">3,12</w:t>
            </w:r>
          </w:p>
        </w:tc>
        <w:tc>
          <w:tcPr/>
          <w:p>
            <w:pPr>
              <w:pStyle w:val="Compact"/>
              <w:spacing w:line="240" w:lineRule="auto"/>
            </w:pPr>
            <w:r>
              <w:rPr>
                <w:sz w:val="18"/>
              </w:rPr>
              <w:t xml:space="preserve">3,00</w:t>
            </w:r>
          </w:p>
        </w:tc>
        <w:tc>
          <w:tcPr/>
          <w:p>
            <w:pPr>
              <w:pStyle w:val="Compact"/>
              <w:spacing w:line="240" w:lineRule="auto"/>
            </w:pPr>
            <w:r>
              <w:rPr>
                <w:sz w:val="18"/>
              </w:rPr>
              <w:t xml:space="preserve">2,95</w:t>
            </w:r>
          </w:p>
        </w:tc>
        <w:tc>
          <w:tcPr/>
          <w:p>
            <w:pPr>
              <w:pStyle w:val="Compact"/>
              <w:spacing w:line="240" w:lineRule="auto"/>
            </w:pPr>
            <w:r>
              <w:rPr>
                <w:sz w:val="18"/>
              </w:rPr>
              <w:t xml:space="preserve">2,92</w:t>
            </w:r>
          </w:p>
        </w:tc>
        <w:tc>
          <w:tcPr/>
          <w:p>
            <w:pPr>
              <w:pStyle w:val="Compact"/>
              <w:spacing w:line="240" w:lineRule="auto"/>
            </w:pPr>
            <w:r>
              <w:rPr>
                <w:sz w:val="18"/>
              </w:rPr>
              <w:t xml:space="preserve">3,00</w:t>
            </w:r>
          </w:p>
        </w:tc>
        <w:tc>
          <w:tcPr/>
          <w:p>
            <w:pPr>
              <w:pStyle w:val="Compact"/>
              <w:spacing w:line="240" w:lineRule="auto"/>
            </w:pPr>
            <w:r>
              <w:rPr>
                <w:sz w:val="18"/>
              </w:rPr>
              <w:t xml:space="preserve">3,13</w:t>
            </w:r>
          </w:p>
        </w:tc>
        <w:tc>
          <w:tcPr/>
          <w:p>
            <w:pPr>
              <w:pStyle w:val="Compact"/>
              <w:spacing w:line="240" w:lineRule="auto"/>
            </w:pPr>
            <w:r>
              <w:rPr>
                <w:sz w:val="18"/>
              </w:rPr>
              <w:t xml:space="preserve">2,98</w:t>
            </w:r>
          </w:p>
        </w:tc>
        <w:tc>
          <w:tcPr/>
          <w:p>
            <w:pPr>
              <w:pStyle w:val="Compact"/>
              <w:spacing w:line="240" w:lineRule="auto"/>
            </w:pPr>
            <w:r>
              <w:rPr>
                <w:sz w:val="18"/>
              </w:rPr>
              <w:t xml:space="preserve">2,95</w:t>
            </w:r>
          </w:p>
        </w:tc>
        <w:tc>
          <w:tcPr/>
          <w:p>
            <w:pPr>
              <w:pStyle w:val="Compact"/>
              <w:spacing w:line="240" w:lineRule="auto"/>
            </w:pPr>
            <w:r>
              <w:rPr>
                <w:sz w:val="18"/>
              </w:rPr>
              <w:t xml:space="preserve">2,95</w:t>
            </w:r>
          </w:p>
        </w:tc>
        <w:tc>
          <w:tcPr/>
          <w:p>
            <w:pPr>
              <w:pStyle w:val="Compact"/>
              <w:spacing w:line="240" w:lineRule="auto"/>
            </w:pPr>
            <w:r>
              <w:rPr>
                <w:sz w:val="18"/>
              </w:rPr>
              <w:t xml:space="preserve">3,00</w:t>
            </w:r>
          </w:p>
        </w:tc>
      </w:tr>
      <w:tr>
        <w:tc>
          <w:tcPr/>
          <w:p>
            <w:pPr>
              <w:pStyle w:val="Compact"/>
              <w:spacing w:line="240" w:lineRule="auto"/>
            </w:pPr>
          </w:p>
        </w:tc>
        <w:tc>
          <w:tcPr/>
          <w:p>
            <w:pPr>
              <w:pStyle w:val="Compact"/>
              <w:spacing w:line="240" w:lineRule="auto"/>
            </w:pPr>
            <w:r>
              <w:rPr>
                <w:sz w:val="18"/>
              </w:rPr>
              <w:t xml:space="preserve">His ND1…Asp102 OD (Å)</w:t>
            </w:r>
          </w:p>
        </w:tc>
        <w:tc>
          <w:tcPr/>
          <w:p>
            <w:pPr>
              <w:pStyle w:val="Compact"/>
              <w:spacing w:line="240" w:lineRule="auto"/>
            </w:pPr>
            <w:r>
              <w:rPr>
                <w:sz w:val="18"/>
              </w:rPr>
              <w:t xml:space="preserve">–</w:t>
            </w:r>
          </w:p>
        </w:tc>
        <w:tc>
          <w:tcPr/>
          <w:p>
            <w:pPr>
              <w:pStyle w:val="Compact"/>
              <w:spacing w:line="240" w:lineRule="auto"/>
            </w:pPr>
            <w:r>
              <w:rPr>
                <w:sz w:val="18"/>
              </w:rPr>
              <w:t xml:space="preserve">2,71</w:t>
            </w:r>
          </w:p>
        </w:tc>
        <w:tc>
          <w:tcPr/>
          <w:p>
            <w:pPr>
              <w:pStyle w:val="Compact"/>
              <w:spacing w:line="240" w:lineRule="auto"/>
            </w:pPr>
            <w:r>
              <w:rPr>
                <w:sz w:val="18"/>
              </w:rPr>
              <w:t xml:space="preserve">2,72</w:t>
            </w:r>
          </w:p>
        </w:tc>
        <w:tc>
          <w:tcPr/>
          <w:p>
            <w:pPr>
              <w:pStyle w:val="Compact"/>
              <w:spacing w:line="240" w:lineRule="auto"/>
            </w:pPr>
            <w:r>
              <w:rPr>
                <w:sz w:val="18"/>
              </w:rPr>
              <w:t xml:space="preserve">2,73</w:t>
            </w:r>
          </w:p>
        </w:tc>
        <w:tc>
          <w:tcPr/>
          <w:p>
            <w:pPr>
              <w:pStyle w:val="Compact"/>
              <w:spacing w:line="240" w:lineRule="auto"/>
            </w:pPr>
            <w:r>
              <w:rPr>
                <w:sz w:val="18"/>
              </w:rPr>
              <w:t xml:space="preserve">2,75</w:t>
            </w:r>
          </w:p>
        </w:tc>
        <w:tc>
          <w:tcPr/>
          <w:p>
            <w:pPr>
              <w:pStyle w:val="Compact"/>
              <w:spacing w:line="240" w:lineRule="auto"/>
            </w:pPr>
            <w:r>
              <w:rPr>
                <w:sz w:val="18"/>
              </w:rPr>
              <w:t xml:space="preserve">2,73</w:t>
            </w:r>
          </w:p>
        </w:tc>
        <w:tc>
          <w:tcPr/>
          <w:p>
            <w:pPr>
              <w:pStyle w:val="Compact"/>
              <w:spacing w:line="240" w:lineRule="auto"/>
            </w:pPr>
            <w:r>
              <w:rPr>
                <w:sz w:val="18"/>
              </w:rPr>
              <w:t xml:space="preserve">2,72</w:t>
            </w:r>
          </w:p>
        </w:tc>
        <w:tc>
          <w:tcPr/>
          <w:p>
            <w:pPr>
              <w:pStyle w:val="Compact"/>
              <w:spacing w:line="240" w:lineRule="auto"/>
            </w:pPr>
            <w:r>
              <w:rPr>
                <w:sz w:val="18"/>
              </w:rPr>
              <w:t xml:space="preserve">2,75</w:t>
            </w:r>
          </w:p>
        </w:tc>
        <w:tc>
          <w:tcPr/>
          <w:p>
            <w:pPr>
              <w:pStyle w:val="Compact"/>
              <w:spacing w:line="240" w:lineRule="auto"/>
            </w:pPr>
            <w:r>
              <w:rPr>
                <w:sz w:val="18"/>
              </w:rPr>
              <w:t xml:space="preserve">2,71</w:t>
            </w:r>
          </w:p>
        </w:tc>
        <w:tc>
          <w:tcPr/>
          <w:p>
            <w:pPr>
              <w:pStyle w:val="Compact"/>
              <w:spacing w:line="240" w:lineRule="auto"/>
            </w:pPr>
            <w:r>
              <w:rPr>
                <w:sz w:val="18"/>
              </w:rPr>
              <w:t xml:space="preserve">2,70</w:t>
            </w:r>
          </w:p>
        </w:tc>
        <w:tc>
          <w:tcPr/>
          <w:p>
            <w:pPr>
              <w:pStyle w:val="Compact"/>
              <w:spacing w:line="240" w:lineRule="auto"/>
            </w:pPr>
            <w:r>
              <w:rPr>
                <w:sz w:val="18"/>
              </w:rPr>
              <w:t xml:space="preserve">2,74</w:t>
            </w:r>
          </w:p>
        </w:tc>
      </w:tr>
    </w:tbl>
    <w:p>
      <w:pPr>
        <w:pStyle w:val="BodyText"/>
      </w:pPr>
      <w:r>
        <w:rPr>
          <w:b/>
          <w:bCs/>
        </w:rPr>
        <w:t xml:space="preserve">Tabela S3.</w:t>
      </w:r>
      <w:r>
        <w:t xml:space="preserve"> </w:t>
      </w:r>
      <w:r>
        <w:t xml:space="preserve">Cada filtro e limiar do fluxo, com sua base.</w:t>
      </w:r>
      <w:r>
        <w:t xml:space="preserve"> </w:t>
      </w:r>
      <w:r>
        <w:t xml:space="preserve">“Operacional”</w:t>
      </w:r>
      <w:r>
        <w:t xml:space="preserve"> </w:t>
      </w:r>
      <w:r>
        <w:t xml:space="preserve">quer dizer que o valor foi fixado antes de a etapa ser executada e não tem base na literatura; ele é informado para que o efeito da escolha possa ser julgado.</w:t>
      </w:r>
    </w:p>
    <w:tbl>
      <w:tblPr>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p>
            <w:pPr>
              <w:pStyle w:val="Compact"/>
              <w:spacing w:line="240" w:lineRule="auto"/>
            </w:pPr>
            <w:r>
              <w:rPr>
                <w:b/>
                <w:sz w:val="18"/>
              </w:rPr>
              <w:t xml:space="preserve">Etapa</w:t>
            </w:r>
          </w:p>
        </w:tc>
        <w:tc>
          <w:tcPr/>
          <w:p>
            <w:pPr>
              <w:pStyle w:val="Compact"/>
              <w:spacing w:line="240" w:lineRule="auto"/>
            </w:pPr>
            <w:r>
              <w:rPr>
                <w:b/>
                <w:sz w:val="18"/>
              </w:rPr>
              <w:t xml:space="preserve">Decisão</w:t>
            </w:r>
          </w:p>
        </w:tc>
        <w:tc>
          <w:tcPr/>
          <w:p>
            <w:pPr>
              <w:pStyle w:val="Compact"/>
              <w:spacing w:line="240" w:lineRule="auto"/>
            </w:pPr>
            <w:r>
              <w:rPr>
                <w:b/>
                <w:sz w:val="18"/>
              </w:rPr>
              <w:t xml:space="preserve">Base</w:t>
            </w:r>
          </w:p>
        </w:tc>
      </w:tr>
      <w:tr>
        <w:tc>
          <w:tcPr/>
          <w:p>
            <w:pPr>
              <w:pStyle w:val="Compact"/>
              <w:spacing w:line="240" w:lineRule="auto"/>
            </w:pPr>
            <w:r>
              <w:rPr>
                <w:sz w:val="18"/>
              </w:rPr>
              <w:t xml:space="preserve">Receptores (2.1)</w:t>
            </w:r>
          </w:p>
        </w:tc>
        <w:tc>
          <w:tcPr/>
          <w:p>
            <w:pPr>
              <w:pStyle w:val="Compact"/>
              <w:spacing w:line="240" w:lineRule="auto"/>
            </w:pPr>
            <w:r>
              <w:rPr>
                <w:sz w:val="18"/>
              </w:rPr>
              <w:t xml:space="preserve">Resíduo de especificidade seis posições antes da serina catalítica, motivo G[DN]SGG[PT]</w:t>
            </w:r>
          </w:p>
        </w:tc>
        <w:tc>
          <w:tcPr/>
          <w:p>
            <w:pPr>
              <w:pStyle w:val="Compact"/>
              <w:spacing w:line="240" w:lineRule="auto"/>
            </w:pPr>
            <w:r>
              <w:rPr>
                <w:sz w:val="18"/>
              </w:rPr>
              <w:t xml:space="preserve">Deslocamento calibrado na tripsina bovina (UniProt Consortium, 2025); S1 definido pelo Asp189 (Perona e Craik, 1995; Hedstrom, 2002)</w:t>
            </w:r>
          </w:p>
        </w:tc>
      </w:tr>
      <w:tr>
        <w:tc>
          <w:tcPr/>
          <w:p>
            <w:pPr>
              <w:pStyle w:val="Compact"/>
              <w:spacing w:line="240" w:lineRule="auto"/>
            </w:pPr>
            <w:r>
              <w:rPr>
                <w:sz w:val="18"/>
              </w:rPr>
              <w:t xml:space="preserve">Transferência de subsítios (2.1)</w:t>
            </w:r>
          </w:p>
        </w:tc>
        <w:tc>
          <w:tcPr/>
          <w:p>
            <w:pPr>
              <w:pStyle w:val="Compact"/>
              <w:spacing w:line="240" w:lineRule="auto"/>
            </w:pPr>
            <w:r>
              <w:rPr>
                <w:sz w:val="18"/>
              </w:rPr>
              <w:t xml:space="preserve">Contato a 4,5 Å; TM-score ≥ 0,5; RMSD ≤ 3,0 Å</w:t>
            </w:r>
          </w:p>
        </w:tc>
        <w:tc>
          <w:tcPr/>
          <w:p>
            <w:pPr>
              <w:pStyle w:val="Compact"/>
              <w:spacing w:line="240" w:lineRule="auto"/>
            </w:pPr>
            <w:r>
              <w:rPr>
                <w:sz w:val="18"/>
              </w:rPr>
              <w:t xml:space="preserve">Nomenclatura dos subsítios (Schechter e Berger, 1967); TM-score 0,5 como fronteira de enovelamento (Xu e Zhang, 2010); distância de contato e limite de RMSD operacionais</w:t>
            </w:r>
          </w:p>
        </w:tc>
      </w:tr>
      <w:tr>
        <w:tc>
          <w:tcPr/>
          <w:p>
            <w:pPr>
              <w:pStyle w:val="Compact"/>
              <w:spacing w:line="240" w:lineRule="auto"/>
            </w:pPr>
            <w:r>
              <w:rPr>
                <w:sz w:val="18"/>
              </w:rPr>
              <w:t xml:space="preserve">Calibração (2.2)</w:t>
            </w:r>
          </w:p>
        </w:tc>
        <w:tc>
          <w:tcPr/>
          <w:p>
            <w:pPr>
              <w:pStyle w:val="Compact"/>
              <w:spacing w:line="240" w:lineRule="auto"/>
            </w:pPr>
            <w:r>
              <w:rPr>
                <w:sz w:val="18"/>
              </w:rPr>
              <w:t xml:space="preserve">O inibidor real tem de pontuar acima de sua isca embaralhada, com direção fixada de antemão; seis inibidores, dois receptores</w:t>
            </w:r>
          </w:p>
        </w:tc>
        <w:tc>
          <w:tcPr/>
          <w:p>
            <w:pPr>
              <w:pStyle w:val="Compact"/>
              <w:spacing w:line="240" w:lineRule="auto"/>
            </w:pPr>
            <w:r>
              <w:rPr>
                <w:sz w:val="18"/>
              </w:rPr>
              <w:t xml:space="preserve">Só comparação pareada, porque a confiança de modelos de aprendizado profundo é medida absoluta fraca de afinidade (Wan et al., 2026; Li et al., 2026)</w:t>
            </w:r>
          </w:p>
        </w:tc>
      </w:tr>
      <w:tr>
        <w:tc>
          <w:tcPr/>
          <w:p>
            <w:pPr>
              <w:pStyle w:val="Compact"/>
              <w:spacing w:line="240" w:lineRule="auto"/>
            </w:pPr>
            <w:r>
              <w:rPr>
                <w:sz w:val="18"/>
              </w:rPr>
              <w:t xml:space="preserve">Esqueleto (2.3)</w:t>
            </w:r>
          </w:p>
        </w:tc>
        <w:tc>
          <w:tcPr/>
          <w:p>
            <w:pPr>
              <w:pStyle w:val="Compact"/>
              <w:spacing w:line="240" w:lineRule="auto"/>
            </w:pPr>
            <w:r>
              <w:rPr>
                <w:sz w:val="18"/>
              </w:rPr>
              <w:t xml:space="preserve">Macrociclo cabeça-cauda em todos os 880 esqueletos; nenhum esqueleto linear gerado</w:t>
            </w:r>
          </w:p>
        </w:tc>
        <w:tc>
          <w:tcPr/>
          <w:p>
            <w:pPr>
              <w:pStyle w:val="Compact"/>
              <w:spacing w:line="240" w:lineRule="auto"/>
            </w:pPr>
            <w:r>
              <w:rPr>
                <w:sz w:val="18"/>
              </w:rPr>
              <w:t xml:space="preserve">A SFTI-1 é um macrociclo cabeça-cauda natural (Luckett et al., 1999); a rigidez da alça aumenta afinidade e resistência à proteólise (Kelly et al., 2005); peptídeos bicíclicos de alças de inibidores foram dez vezes mais potentes que os lineares (Saikhedkar et al., 2019)</w:t>
            </w:r>
          </w:p>
        </w:tc>
      </w:tr>
      <w:tr>
        <w:tc>
          <w:tcPr/>
          <w:p>
            <w:pPr>
              <w:pStyle w:val="Compact"/>
              <w:spacing w:line="240" w:lineRule="auto"/>
            </w:pPr>
            <w:r>
              <w:rPr>
                <w:sz w:val="18"/>
              </w:rPr>
              <w:t xml:space="preserve">Desenho de sequências (2.3)</w:t>
            </w:r>
          </w:p>
        </w:tc>
        <w:tc>
          <w:tcPr/>
          <w:p>
            <w:pPr>
              <w:pStyle w:val="Compact"/>
              <w:spacing w:line="240" w:lineRule="auto"/>
            </w:pPr>
            <w:r>
              <w:rPr>
                <w:sz w:val="18"/>
              </w:rPr>
              <w:t xml:space="preserve">Cisteína excluída</w:t>
            </w:r>
          </w:p>
        </w:tc>
        <w:tc>
          <w:tcPr/>
          <w:p>
            <w:pPr>
              <w:pStyle w:val="Compact"/>
              <w:spacing w:line="240" w:lineRule="auto"/>
            </w:pPr>
            <w:r>
              <w:rPr>
                <w:sz w:val="18"/>
              </w:rPr>
              <w:t xml:space="preserve">O potencial redox do intestino médio varia entre lagartas, redutor em algumas espécies e oxidante em outras (Appel e Martin, 1990; Johnson e Felton, 1996), de modo que uma ponte dissulfeto não é restrição transferível</w:t>
            </w:r>
          </w:p>
        </w:tc>
      </w:tr>
      <w:tr>
        <w:tc>
          <w:tcPr/>
          <w:p>
            <w:pPr>
              <w:pStyle w:val="Compact"/>
              <w:spacing w:line="240" w:lineRule="auto"/>
            </w:pPr>
            <w:r>
              <w:rPr>
                <w:sz w:val="18"/>
              </w:rPr>
              <w:t xml:space="preserve">Desenho de sequências (2.3)</w:t>
            </w:r>
          </w:p>
        </w:tc>
        <w:tc>
          <w:tcPr/>
          <w:p>
            <w:pPr>
              <w:pStyle w:val="Compact"/>
              <w:spacing w:line="240" w:lineRule="auto"/>
            </w:pPr>
            <w:r>
              <w:rPr>
                <w:sz w:val="18"/>
              </w:rPr>
              <w:t xml:space="preserve">Comprimentos de 5 a 20 resíduos</w:t>
            </w:r>
          </w:p>
        </w:tc>
        <w:tc>
          <w:tcPr/>
          <w:p>
            <w:pPr>
              <w:pStyle w:val="Compact"/>
              <w:spacing w:line="240" w:lineRule="auto"/>
            </w:pPr>
            <w:r>
              <w:rPr>
                <w:sz w:val="18"/>
              </w:rPr>
              <w:t xml:space="preserve">Abrange os peptídeos ensaiados contra tripsinas de Lepidoptera, dos tripeptídeos (de Almeida Barros et al., 2021) à SFTI-1, de 14 resíduos (Luckett et al., 1999)</w:t>
            </w:r>
          </w:p>
        </w:tc>
      </w:tr>
      <w:tr>
        <w:tc>
          <w:tcPr/>
          <w:p>
            <w:pPr>
              <w:pStyle w:val="Compact"/>
              <w:spacing w:line="240" w:lineRule="auto"/>
            </w:pPr>
            <w:r>
              <w:rPr>
                <w:sz w:val="18"/>
              </w:rPr>
              <w:t xml:space="preserve">Triagem por motivos (2.4)</w:t>
            </w:r>
          </w:p>
        </w:tc>
        <w:tc>
          <w:tcPr/>
          <w:p>
            <w:pPr>
              <w:pStyle w:val="Compact"/>
              <w:spacing w:line="240" w:lineRule="auto"/>
            </w:pPr>
            <w:r>
              <w:rPr>
                <w:sz w:val="18"/>
              </w:rPr>
              <w:t xml:space="preserve">Sete regras de motivo P1, varredura circular; RESISTENTE abaixo de 0,3, MARGINAL abaixo de 0,5</w:t>
            </w:r>
          </w:p>
        </w:tc>
        <w:tc>
          <w:tcPr/>
          <w:p>
            <w:pPr>
              <w:pStyle w:val="Compact"/>
              <w:spacing w:line="240" w:lineRule="auto"/>
            </w:pPr>
            <w:r>
              <w:rPr>
                <w:sz w:val="18"/>
              </w:rPr>
              <w:t xml:space="preserve">Conjunto de regras do PeptideCutter (Gasteiger et al., 2005); os dois cortes são operacionais</w:t>
            </w:r>
          </w:p>
        </w:tc>
      </w:tr>
      <w:tr>
        <w:tc>
          <w:tcPr/>
          <w:p>
            <w:pPr>
              <w:pStyle w:val="Compact"/>
              <w:spacing w:line="240" w:lineRule="auto"/>
            </w:pPr>
            <w:r>
              <w:rPr>
                <w:sz w:val="18"/>
              </w:rPr>
              <w:t xml:space="preserve">Critério duro (2.4)</w:t>
            </w:r>
          </w:p>
        </w:tc>
        <w:tc>
          <w:tcPr/>
          <w:p>
            <w:pPr>
              <w:pStyle w:val="Compact"/>
              <w:spacing w:line="240" w:lineRule="auto"/>
            </w:pPr>
            <w:r>
              <w:rPr>
                <w:sz w:val="18"/>
              </w:rPr>
              <w:t xml:space="preserve">K e R proibidos</w:t>
            </w:r>
          </w:p>
        </w:tc>
        <w:tc>
          <w:tcPr/>
          <w:p>
            <w:pPr>
              <w:pStyle w:val="Compact"/>
              <w:spacing w:line="240" w:lineRule="auto"/>
            </w:pPr>
            <w:r>
              <w:rPr>
                <w:sz w:val="18"/>
              </w:rPr>
              <w:t xml:space="preserve">As enzimas tipo tripsina são as principais proteases digestivas (da Silva Júnior et al., 2020; de Almeida Barros et al., 2021; Valaitis, 1995) e exigem K/R em P1 (Perona e Craik, 1995; Patarroyo-Vargas et al., 2017)</w:t>
            </w:r>
          </w:p>
        </w:tc>
      </w:tr>
      <w:tr>
        <w:tc>
          <w:tcPr/>
          <w:p>
            <w:pPr>
              <w:pStyle w:val="Compact"/>
              <w:spacing w:line="240" w:lineRule="auto"/>
            </w:pPr>
            <w:r>
              <w:rPr>
                <w:sz w:val="18"/>
              </w:rPr>
              <w:t xml:space="preserve">Critério duro (2.4)</w:t>
            </w:r>
          </w:p>
        </w:tc>
        <w:tc>
          <w:tcPr/>
          <w:p>
            <w:pPr>
              <w:pStyle w:val="Compact"/>
              <w:spacing w:line="240" w:lineRule="auto"/>
            </w:pPr>
            <w:r>
              <w:rPr>
                <w:sz w:val="18"/>
              </w:rPr>
              <w:t xml:space="preserve">F, Y, W, L e M proibidos</w:t>
            </w:r>
          </w:p>
        </w:tc>
        <w:tc>
          <w:tcPr/>
          <w:p>
            <w:pPr>
              <w:pStyle w:val="Compact"/>
              <w:spacing w:line="240" w:lineRule="auto"/>
            </w:pPr>
            <w:r>
              <w:rPr>
                <w:sz w:val="18"/>
              </w:rPr>
              <w:t xml:space="preserve">Enzima tipo elastase-2 com P1 = Leu (Valaitis, 1995); quimotripsina que hidrolisa os substratos com Phe e com Leu (Valaitis et al., 1999); enzimas tipo quimotripsina das espécies-praga (Yang et al., 2013; Zhan et al., 2011; Nakonieczny et al., 2007)</w:t>
            </w:r>
          </w:p>
        </w:tc>
      </w:tr>
      <w:tr>
        <w:tc>
          <w:tcPr/>
          <w:p>
            <w:pPr>
              <w:pStyle w:val="Compact"/>
              <w:spacing w:line="240" w:lineRule="auto"/>
            </w:pPr>
            <w:r>
              <w:rPr>
                <w:sz w:val="18"/>
              </w:rPr>
              <w:t xml:space="preserve">Critério duro (2.4)</w:t>
            </w:r>
          </w:p>
        </w:tc>
        <w:tc>
          <w:tcPr/>
          <w:p>
            <w:pPr>
              <w:pStyle w:val="Compact"/>
              <w:spacing w:line="240" w:lineRule="auto"/>
            </w:pPr>
            <w:r>
              <w:rPr>
                <w:sz w:val="18"/>
              </w:rPr>
              <w:t xml:space="preserve">A e V proibidos</w:t>
            </w:r>
          </w:p>
        </w:tc>
        <w:tc>
          <w:tcPr/>
          <w:p>
            <w:pPr>
              <w:pStyle w:val="Compact"/>
              <w:spacing w:line="240" w:lineRule="auto"/>
            </w:pPr>
            <w:r>
              <w:rPr>
                <w:sz w:val="18"/>
              </w:rPr>
              <w:t xml:space="preserve">P1 alifático pequeno das enzimas tipo elastase-1 (Gasteiger et al., 2005; Rawlings et al., 2018); conservador, não caracterizado nessas espécies</w:t>
            </w:r>
          </w:p>
        </w:tc>
      </w:tr>
      <w:tr>
        <w:tc>
          <w:tcPr/>
          <w:p>
            <w:pPr>
              <w:pStyle w:val="Compact"/>
              <w:spacing w:line="240" w:lineRule="auto"/>
            </w:pPr>
            <w:r>
              <w:rPr>
                <w:sz w:val="18"/>
              </w:rPr>
              <w:t xml:space="preserve">Critério duro (2.4)</w:t>
            </w:r>
          </w:p>
        </w:tc>
        <w:tc>
          <w:tcPr/>
          <w:p>
            <w:pPr>
              <w:pStyle w:val="Compact"/>
              <w:spacing w:line="240" w:lineRule="auto"/>
            </w:pPr>
            <w:r>
              <w:rPr>
                <w:sz w:val="18"/>
              </w:rPr>
              <w:t xml:space="preserve">G e S permitidos</w:t>
            </w:r>
          </w:p>
        </w:tc>
        <w:tc>
          <w:tcPr/>
          <w:p>
            <w:pPr>
              <w:pStyle w:val="Compact"/>
              <w:spacing w:line="240" w:lineRule="auto"/>
            </w:pPr>
            <w:r>
              <w:rPr>
                <w:sz w:val="18"/>
              </w:rPr>
              <w:t xml:space="preserve">A atividade caracterizada em Lepidoptera é do tipo elastase-2; excluí-los deixa 13 dos 527 candidatos (3.3). Risco residual declarado</w:t>
            </w:r>
          </w:p>
        </w:tc>
      </w:tr>
      <w:tr>
        <w:tc>
          <w:tcPr/>
          <w:p>
            <w:pPr>
              <w:pStyle w:val="Compact"/>
              <w:spacing w:line="240" w:lineRule="auto"/>
            </w:pPr>
            <w:r>
              <w:rPr>
                <w:sz w:val="18"/>
              </w:rPr>
              <w:t xml:space="preserve">Critério duro (2.4)</w:t>
            </w:r>
          </w:p>
        </w:tc>
        <w:tc>
          <w:tcPr/>
          <w:p>
            <w:pPr>
              <w:pStyle w:val="Compact"/>
              <w:spacing w:line="240" w:lineRule="auto"/>
            </w:pPr>
            <w:r>
              <w:rPr>
                <w:sz w:val="18"/>
              </w:rPr>
              <w:t xml:space="preserve">Exceção quando P1′ = prolina</w:t>
            </w:r>
          </w:p>
        </w:tc>
        <w:tc>
          <w:tcPr/>
          <w:p>
            <w:pPr>
              <w:pStyle w:val="Compact"/>
              <w:spacing w:line="240" w:lineRule="auto"/>
            </w:pPr>
            <w:r>
              <w:rPr>
                <w:sz w:val="18"/>
              </w:rPr>
              <w:t xml:space="preserve">A prolina bloqueia ou retarda a clivagem nas regras compiladas (Gasteiger et al., 2005; Rawlings et al., 2018); estatística, não absoluta (Rodriguez et al., 2008; Pan et al., 2014)</w:t>
            </w:r>
          </w:p>
        </w:tc>
      </w:tr>
      <w:tr>
        <w:tc>
          <w:tcPr/>
          <w:p>
            <w:pPr>
              <w:pStyle w:val="Compact"/>
              <w:spacing w:line="240" w:lineRule="auto"/>
            </w:pPr>
            <w:r>
              <w:rPr>
                <w:sz w:val="18"/>
              </w:rPr>
              <w:t xml:space="preserve">Critério duro (2.4)</w:t>
            </w:r>
          </w:p>
        </w:tc>
        <w:tc>
          <w:tcPr/>
          <w:p>
            <w:pPr>
              <w:pStyle w:val="Compact"/>
              <w:spacing w:line="240" w:lineRule="auto"/>
            </w:pPr>
            <w:r>
              <w:rPr>
                <w:sz w:val="18"/>
              </w:rPr>
              <w:t xml:space="preserve">C-terminal livre também triado, isoleucina incluída</w:t>
            </w:r>
          </w:p>
        </w:tc>
        <w:tc>
          <w:tcPr/>
          <w:p>
            <w:pPr>
              <w:pStyle w:val="Compact"/>
              <w:spacing w:line="240" w:lineRule="auto"/>
            </w:pPr>
            <w:r>
              <w:rPr>
                <w:sz w:val="18"/>
              </w:rPr>
              <w:t xml:space="preserve">A carboxipeptidase A predomina no intestino médio de Lepidoptera, com carboxipeptidase B em nível mais baixo (Bown et al., 1998; Valaitis et al., 1999); especificidades por resíduos C-terminais hidrofóbicos e básicos (Rawlings et al., 2018)</w:t>
            </w:r>
          </w:p>
        </w:tc>
      </w:tr>
      <w:tr>
        <w:tc>
          <w:tcPr/>
          <w:p>
            <w:pPr>
              <w:pStyle w:val="Compact"/>
              <w:spacing w:line="240" w:lineRule="auto"/>
            </w:pPr>
            <w:r>
              <w:rPr>
                <w:sz w:val="18"/>
              </w:rPr>
              <w:t xml:space="preserve">Co-dobramento (2.5)</w:t>
            </w:r>
          </w:p>
        </w:tc>
        <w:tc>
          <w:tcPr/>
          <w:p>
            <w:pPr>
              <w:pStyle w:val="Compact"/>
              <w:spacing w:line="240" w:lineRule="auto"/>
            </w:pPr>
            <w:r>
              <w:rPr>
                <w:sz w:val="18"/>
              </w:rPr>
              <w:t xml:space="preserve">Usada a confiança do Boltz-2; a saída de afinidade não foi usada</w:t>
            </w:r>
          </w:p>
        </w:tc>
        <w:tc>
          <w:tcPr/>
          <w:p>
            <w:pPr>
              <w:pStyle w:val="Compact"/>
              <w:spacing w:line="240" w:lineRule="auto"/>
            </w:pPr>
            <w:r>
              <w:rPr>
                <w:sz w:val="18"/>
              </w:rPr>
              <w:t xml:space="preserve">As predições de afinidade não têm resolução energética para este uso (Wan et al., 2026)</w:t>
            </w:r>
          </w:p>
        </w:tc>
      </w:tr>
      <w:tr>
        <w:tc>
          <w:tcPr/>
          <w:p>
            <w:pPr>
              <w:pStyle w:val="Compact"/>
              <w:spacing w:line="240" w:lineRule="auto"/>
            </w:pPr>
            <w:r>
              <w:rPr>
                <w:sz w:val="18"/>
              </w:rPr>
              <w:t xml:space="preserve">Qualidade de pose, E4 (2.5)</w:t>
            </w:r>
          </w:p>
        </w:tc>
        <w:tc>
          <w:tcPr/>
          <w:p>
            <w:pPr>
              <w:pStyle w:val="Compact"/>
              <w:spacing w:line="240" w:lineRule="auto"/>
            </w:pPr>
            <w:r>
              <w:rPr>
                <w:sz w:val="18"/>
              </w:rPr>
              <w:t xml:space="preserve">Contato ≥ 2,2 Å; |ω| ≥ 150°; quiralidade L; His57–Ser195 ≤ 3,8 Å; C–N de fechamento ≤ 1,5 Å</w:t>
            </w:r>
          </w:p>
        </w:tc>
        <w:tc>
          <w:tcPr/>
          <w:p>
            <w:pPr>
              <w:pStyle w:val="Compact"/>
              <w:spacing w:line="240" w:lineRule="auto"/>
            </w:pPr>
            <w:r>
              <w:rPr>
                <w:sz w:val="18"/>
              </w:rPr>
              <w:t xml:space="preserve">Operacional, fixado antes da etapa; a distância da tríade confere se o sítio catalítico está montado, como no painel de receptores (3.1)</w:t>
            </w:r>
          </w:p>
        </w:tc>
      </w:tr>
      <w:tr>
        <w:tc>
          <w:tcPr/>
          <w:p>
            <w:pPr>
              <w:pStyle w:val="Compact"/>
              <w:spacing w:line="240" w:lineRule="auto"/>
            </w:pPr>
            <w:r>
              <w:rPr>
                <w:sz w:val="18"/>
              </w:rPr>
              <w:t xml:space="preserve">Seleção para a DM (2.5)</w:t>
            </w:r>
          </w:p>
        </w:tc>
        <w:tc>
          <w:tcPr/>
          <w:p>
            <w:pPr>
              <w:pStyle w:val="Compact"/>
              <w:spacing w:line="240" w:lineRule="auto"/>
            </w:pPr>
            <w:r>
              <w:rPr>
                <w:sz w:val="18"/>
              </w:rPr>
              <w:t xml:space="preserve">Três candidatos por espécie e frente pela confiança média do E2; Δ não usado</w:t>
            </w:r>
          </w:p>
        </w:tc>
        <w:tc>
          <w:tcPr/>
          <w:p>
            <w:pPr>
              <w:pStyle w:val="Compact"/>
              <w:spacing w:line="240" w:lineRule="auto"/>
            </w:pPr>
            <w:r>
              <w:rPr>
                <w:sz w:val="18"/>
              </w:rPr>
              <w:t xml:space="preserve">Operacional; o Δ se apoia em três controles e é da ordem do ruído de predição (3.4)</w:t>
            </w:r>
          </w:p>
        </w:tc>
      </w:tr>
      <w:tr>
        <w:tc>
          <w:tcPr/>
          <w:p>
            <w:pPr>
              <w:pStyle w:val="Compact"/>
              <w:spacing w:line="240" w:lineRule="auto"/>
            </w:pPr>
            <w:r>
              <w:rPr>
                <w:sz w:val="18"/>
              </w:rPr>
              <w:t xml:space="preserve">Simulação (2.6)</w:t>
            </w:r>
          </w:p>
        </w:tc>
        <w:tc>
          <w:tcPr/>
          <w:p>
            <w:pPr>
              <w:pStyle w:val="Compact"/>
              <w:spacing w:line="240" w:lineRule="auto"/>
            </w:pPr>
            <w:r>
              <w:rPr>
                <w:sz w:val="18"/>
              </w:rPr>
              <w:t xml:space="preserve">pH 10,0 e pH 8,2</w:t>
            </w:r>
          </w:p>
        </w:tc>
        <w:tc>
          <w:tcPr/>
          <w:p>
            <w:pPr>
              <w:pStyle w:val="Compact"/>
              <w:spacing w:line="240" w:lineRule="auto"/>
            </w:pPr>
            <w:r>
              <w:rPr>
                <w:sz w:val="18"/>
              </w:rPr>
              <w:t xml:space="preserve">Intestino médio fortemente alcalino (Dow, 1992), extratos intestinais em pH 9,56–10,0 (Karumbaiah et al., 2007); o pH 8,2 é o do ensaio em que um</w:t>
            </w:r>
            <w:r>
              <w:rPr>
                <w:sz w:val="18"/>
              </w:rPr>
              <w:t xml:space="preserve"> </w:t>
            </w:r>
            <w:r>
              <w:rPr>
                <w:i/>
                <w:iCs/>
                <w:sz w:val="18"/>
              </w:rPr>
              <w:t xml:space="preserve">K</w:t>
            </w:r>
            <w:r>
              <w:rPr>
                <w:sz w:val="18"/>
                <w:vertAlign w:val="subscript"/>
              </w:rPr>
              <w:t xml:space="preserve">i</w:t>
            </w:r>
            <w:r>
              <w:rPr>
                <w:sz w:val="18"/>
              </w:rPr>
              <w:t xml:space="preserve"> </w:t>
            </w:r>
            <w:r>
              <w:rPr>
                <w:sz w:val="18"/>
              </w:rPr>
              <w:t xml:space="preserve">seria medido (Schultz et al., 2026)</w:t>
            </w:r>
          </w:p>
        </w:tc>
      </w:tr>
      <w:tr>
        <w:tc>
          <w:tcPr/>
          <w:p>
            <w:pPr>
              <w:pStyle w:val="Compact"/>
              <w:spacing w:line="240" w:lineRule="auto"/>
            </w:pPr>
            <w:r>
              <w:rPr>
                <w:sz w:val="18"/>
              </w:rPr>
              <w:t xml:space="preserve">Análise (2.7)</w:t>
            </w:r>
          </w:p>
        </w:tc>
        <w:tc>
          <w:tcPr/>
          <w:p>
            <w:pPr>
              <w:pStyle w:val="Compact"/>
              <w:spacing w:line="240" w:lineRule="auto"/>
            </w:pPr>
            <w:r>
              <w:rPr>
                <w:sz w:val="18"/>
              </w:rPr>
              <w:t xml:space="preserve">Ocupância de S1 a 5 Å; ocupância da segunda metade ≥ 70% (rebaixada a descrição em 2 de outubro de 2026)</w:t>
            </w:r>
          </w:p>
        </w:tc>
        <w:tc>
          <w:tcPr/>
          <w:p>
            <w:pPr>
              <w:pStyle w:val="Compact"/>
              <w:spacing w:line="240" w:lineRule="auto"/>
            </w:pPr>
            <w:r>
              <w:rPr>
                <w:sz w:val="18"/>
              </w:rPr>
              <w:t xml:space="preserve">Operacional; rebaixada porque o desfecho segue a pose inicial e toda isca a satisfaz (3.5)</w:t>
            </w:r>
          </w:p>
        </w:tc>
      </w:tr>
      <w:tr>
        <w:tc>
          <w:tcPr/>
          <w:p>
            <w:pPr>
              <w:pStyle w:val="Compact"/>
              <w:spacing w:line="240" w:lineRule="auto"/>
            </w:pPr>
            <w:r>
              <w:rPr>
                <w:sz w:val="18"/>
              </w:rPr>
              <w:t xml:space="preserve">Geometria de ataque (2.7)</w:t>
            </w:r>
          </w:p>
        </w:tc>
        <w:tc>
          <w:tcPr/>
          <w:p>
            <w:pPr>
              <w:pStyle w:val="Compact"/>
              <w:spacing w:line="240" w:lineRule="auto"/>
            </w:pPr>
            <w:r>
              <w:rPr>
                <w:sz w:val="18"/>
              </w:rPr>
              <w:t xml:space="preserve">Oγ–C &lt; 3,5 Å, ângulo 90–125°, oxiânion 3,5 Å</w:t>
            </w:r>
          </w:p>
        </w:tc>
        <w:tc>
          <w:tcPr/>
          <w:p>
            <w:pPr>
              <w:pStyle w:val="Compact"/>
              <w:spacing w:line="240" w:lineRule="auto"/>
            </w:pPr>
            <w:r>
              <w:rPr>
                <w:sz w:val="18"/>
              </w:rPr>
              <w:t xml:space="preserve">Descrição da catálise por confôrmeros quase de ataque (Hur e Bruice, 2003); trajetória de Bürgi–Dunitz para o ângulo (Bürgi et al., 1973); cortes operacionais e referidos a um controle interno (3.8)</w:t>
            </w:r>
          </w:p>
        </w:tc>
      </w:tr>
      <w:tr>
        <w:tc>
          <w:tcPr/>
          <w:p>
            <w:pPr>
              <w:pStyle w:val="Compact"/>
              <w:spacing w:line="240" w:lineRule="auto"/>
            </w:pPr>
            <w:r>
              <w:rPr>
                <w:sz w:val="18"/>
              </w:rPr>
              <w:t xml:space="preserve">Energia (2.8)</w:t>
            </w:r>
          </w:p>
        </w:tc>
        <w:tc>
          <w:tcPr/>
          <w:p>
            <w:pPr>
              <w:pStyle w:val="Compact"/>
              <w:spacing w:line="240" w:lineRule="auto"/>
            </w:pPr>
            <w:r>
              <w:rPr>
                <w:sz w:val="18"/>
              </w:rPr>
              <w:t xml:space="preserve">MM-GBSA de trajetória única, sem entropia; PRODIGY; classificação só dentro de uma frente</w:t>
            </w:r>
          </w:p>
        </w:tc>
        <w:tc>
          <w:tcPr/>
          <w:p>
            <w:pPr>
              <w:pStyle w:val="Compact"/>
              <w:spacing w:line="240" w:lineRule="auto"/>
            </w:pPr>
            <w:r>
              <w:rPr>
                <w:sz w:val="18"/>
              </w:rPr>
              <w:t xml:space="preserve">Os dois escores dependem da amostragem e do tipo de sistema (Hou et al., 2011; Genheden e Ryde, 2015; Xu et al., 2025); o PRODIGY foi treinado em interfaces proteína–proteína (Vangone e Bonvin, 2015)</w:t>
            </w:r>
          </w:p>
        </w:tc>
      </w:tr>
    </w:tbl>
    <w:bookmarkEnd w:id="105"/>
    <w:bookmarkStart w:id="106" w:name="referências"/>
    <w:p>
      <w:pPr>
        <w:pStyle w:val="Heading2"/>
      </w:pPr>
      <w:r>
        <w:t xml:space="preserve">Referências</w:t>
      </w:r>
    </w:p>
    <w:p>
      <w:pPr>
        <w:pStyle w:val="FirstParagraph"/>
      </w:pPr>
      <w:r>
        <w:t xml:space="preserve">Abraham MJ, Murtola T, Schulz R, Páll S, Smith JC, Hess B, et al. (2015). GROMACS: High performance molecular simulations through multi-level parallelism from laptops to supercomputers. SoftwareX 1-2, 19-25. doi: 10.1016/j.softx.2015.06.001</w:t>
      </w:r>
    </w:p>
    <w:p>
      <w:pPr>
        <w:pStyle w:val="BodyText"/>
      </w:pPr>
      <w:r>
        <w:t xml:space="preserve">Appel HM, Martin MM (1990). Gut redox conditions in herbivorous lepidopteran larvae. Journal of Chemical Ecology 16, 3277-3290. doi: 10.1007/BF00982098</w:t>
      </w:r>
    </w:p>
    <w:p>
      <w:pPr>
        <w:pStyle w:val="BodyText"/>
      </w:pPr>
      <w:r>
        <w:t xml:space="preserve">Berman HM, Westbrook J, Feng Z, Gilliland G, Bhat TN, Weissig H, et al. (2000). The Protein Data Bank. Nucleic Acids Research 28, 235-242. doi: 10.1093/nar/28.1.235</w:t>
      </w:r>
    </w:p>
    <w:p>
      <w:pPr>
        <w:pStyle w:val="BodyText"/>
      </w:pPr>
      <w:r>
        <w:t xml:space="preserve">Bown DP, Wilkinson HS, Gatehouse JA (1998). Midgut carboxypeptidase from Helicoverpa armigera (Lepidoptera: Noctuidae) larvae: enzyme characterisation, cDNA cloning and expression. Insect Biochemistry and Molecular Biology 28, 739-749. doi: 10.1016/S0965-1748(98)00067-8</w:t>
      </w:r>
    </w:p>
    <w:p>
      <w:pPr>
        <w:pStyle w:val="BodyText"/>
      </w:pPr>
      <w:r>
        <w:t xml:space="preserve">Brandsdal BO, Smalås AO, Åqvist J (2006). Free energy calculations show that acidic P1 variants undergo large pKa shifts upon binding to trypsin. Proteins: Structure, Function, and Bioinformatics 64, 740-748. doi: 10.1002/prot.20940</w:t>
      </w:r>
    </w:p>
    <w:p>
      <w:pPr>
        <w:pStyle w:val="BodyText"/>
      </w:pPr>
      <w:r>
        <w:t xml:space="preserve">Bussi G, Donadio D, Parrinello M (2007). Canonical sampling through velocity rescaling. The Journal of Chemical Physics 126, 014101. doi: 10.1063/1.2408420</w:t>
      </w:r>
    </w:p>
    <w:p>
      <w:pPr>
        <w:pStyle w:val="BodyText"/>
      </w:pPr>
      <w:r>
        <w:t xml:space="preserve">Bürgi HB, Dunitz JD, Shefter E (1973). Geometrical reaction coordinates. II. Nucleophilic addition to a carbonyl group. Journal of the American Chemical Society 95, 5065-5067. doi: 10.1021/ja00796a058</w:t>
      </w:r>
    </w:p>
    <w:p>
      <w:pPr>
        <w:pStyle w:val="BodyText"/>
      </w:pPr>
      <w:r>
        <w:t xml:space="preserve">Carpane PD, Llebaria M, Nascimento AF, Vivan L (2022). Feeding injury of major lepidopteran soybean pests in South America. PLOS ONE 17, e0271084. doi: 10.1371/journal.pone.0271084</w:t>
      </w:r>
    </w:p>
    <w:p>
      <w:pPr>
        <w:pStyle w:val="BodyText"/>
      </w:pPr>
      <w:r>
        <w:t xml:space="preserve">Cock PJA, Antao T, Chang JT, Chapman BA, Cox CJ, Dalke A, et al. (2009). Biopython: freely available Python tools for computational molecular biology and bioinformatics. Bioinformatics 25, 1422-1423. doi: 10.1093/bioinformatics/btp163</w:t>
      </w:r>
    </w:p>
    <w:p>
      <w:pPr>
        <w:pStyle w:val="BodyText"/>
      </w:pPr>
      <w:r>
        <w:t xml:space="preserve">da Silva Júnior NR, Vital CE, de Almeida Barros R, Faustino VA, Monteiro LP, Barros E, et al. (2020). Intestinal proteolytic profile changes during larval development of Anticarsia gemmatalis caterpillars. Archives of Insect Biochemistry and Physiology 103, e21631. doi: 10.1002/arch.21631</w:t>
      </w:r>
    </w:p>
    <w:p>
      <w:pPr>
        <w:pStyle w:val="BodyText"/>
      </w:pPr>
      <w:r>
        <w:t xml:space="preserve">Dauparas J, Anishchenko I, Bennett N, Bai H, Ragotte RJ, Milles LF, et al. (2022). Robust deep learning–based protein sequence design using ProteinMPNN. Science 378, 49-56. doi: 10.1126/science.add2187</w:t>
      </w:r>
    </w:p>
    <w:p>
      <w:pPr>
        <w:pStyle w:val="BodyText"/>
      </w:pPr>
      <w:r>
        <w:t xml:space="preserve">de Almeida Barros R, Meriño-Cabrera Y, Vital CE, da Silva Júnior NR, de Oliveira CN, Lessa Barbosa S, et al. (2021). Small peptides inhibit gut trypsin-like proteases and impair Anticarsia gemmatalis (Lepidoptera: Noctuidae) survival and development. Pest Management Science 77, 1714-1723. doi: 10.1002/ps.6191</w:t>
      </w:r>
    </w:p>
    <w:p>
      <w:pPr>
        <w:pStyle w:val="BodyText"/>
      </w:pPr>
      <w:r>
        <w:t xml:space="preserve">de Almeida Barros R, Meriño-Cabrera Y, Castro JS, da Silva Junior NR, de Oliveira JVA, Schultz H, et al. (2022a). Bovine pancreatic trypsin inhibitor and soybean Kunitz trypsin inhibitor: Differential effects on proteases and larval development of the soybean pest Anticarsia gemmatalis (Lepidoptera: Noctuidae). Pesticide Biochemistry and Physiology 187, 105188. doi: 10.1016/j.pestbp.2022.105188</w:t>
      </w:r>
    </w:p>
    <w:p>
      <w:pPr>
        <w:pStyle w:val="BodyText"/>
      </w:pPr>
      <w:r>
        <w:t xml:space="preserve">de Almeida Barros R, Meriño-Cabrera Y, Severiche Castro JG, Rodrigues da Silva Júnior N, Schultz H, de Andrade RJ, et al. (2022b). Inhibition constant and stability of tripeptide inhibitors of gut trypsin-like enzyme of the soybean pest Anticarsia gemmatalis. Archives of Insect Biochemistry and Physiology 110, e21887. doi: 10.1002/arch.21887</w:t>
      </w:r>
    </w:p>
    <w:p>
      <w:pPr>
        <w:pStyle w:val="BodyText"/>
      </w:pPr>
      <w:r>
        <w:t xml:space="preserve">Dolinsky TJ, Czodrowski P, Li H, Nielsen JE, Jensen JH, Klebe G, et al. (2007). PDB2PQR: expanding and upgrading automated preparation of biomolecular structures for molecular simulations. Nucleic Acids Research 35, W522-W525. doi: 10.1093/nar/gkm276</w:t>
      </w:r>
    </w:p>
    <w:p>
      <w:pPr>
        <w:pStyle w:val="BodyText"/>
      </w:pPr>
      <w:r>
        <w:t xml:space="preserve">Dow JAT (1992). pH gradients in lepidopteran midgut. Journal of Experimental Biology 172, 355-375. doi: 10.1242/jeb.172.1.355</w:t>
      </w:r>
    </w:p>
    <w:p>
      <w:pPr>
        <w:pStyle w:val="BodyText"/>
      </w:pPr>
      <w:r>
        <w:t xml:space="preserve">Essmann U, Perera L, Berkowitz ML, Darden T, Lee H, Pedersen LG (1995). A smooth particle mesh Ewald method. The Journal of Chemical Physics 103, 8577-8593. doi: 10.1063/1.470117</w:t>
      </w:r>
    </w:p>
    <w:p>
      <w:pPr>
        <w:pStyle w:val="BodyText"/>
      </w:pPr>
      <w:r>
        <w:t xml:space="preserve">Gasteiger E, Hoogland C, Gattiker A, Duvaud S, Wilkins MR, Appel RD, et al. (2005). Protein Identification and Analysis Tools on the ExPASy Server. The Proteomics Protocols Handbook , 571-607. doi: 10.1385/1-59259-890-0:571</w:t>
      </w:r>
    </w:p>
    <w:p>
      <w:pPr>
        <w:pStyle w:val="BodyText"/>
      </w:pPr>
      <w:r>
        <w:t xml:space="preserve">Genheden S, Ryde U (2015). The MM/PBSA and MM/GBSA methods to estimate ligand-binding affinities. Expert Opinion on Drug Discovery 10, 449-461. doi: 10.1517/17460441.2015.1032936</w:t>
      </w:r>
    </w:p>
    <w:p>
      <w:pPr>
        <w:pStyle w:val="BodyText"/>
      </w:pPr>
      <w:r>
        <w:t xml:space="preserve">Gowers R, Linke M, Barnoud J, Reddy T, Melo M, Seyler S, et al. (2016). MDAnalysis: A Python Package for the Rapid Analysis of Molecular Dynamics Simulations. Proceedings of the Python in Science Conference , 98-105. doi: 10.25080/majora-629e541a-00e</w:t>
      </w:r>
    </w:p>
    <w:p>
      <w:pPr>
        <w:pStyle w:val="BodyText"/>
      </w:pPr>
      <w:r>
        <w:t xml:space="preserve">Hedstrom L (2002). Serine Protease Mechanism and Specificity. Chemical Reviews 102, 4501-4524. doi: 10.1021/cr000033x</w:t>
      </w:r>
    </w:p>
    <w:p>
      <w:pPr>
        <w:pStyle w:val="BodyText"/>
      </w:pPr>
      <w:r>
        <w:t xml:space="preserve">Helland R, Otlewski J, Sundheim O, Dadlez M, Smalås AO (1999). The crystal structures of the complexes between bovine β-trypsin and ten P1 variants of BPTI. Journal of Molecular Biology 287, 923-942. doi: 10.1006/jmbi.1999.2654</w:t>
      </w:r>
    </w:p>
    <w:p>
      <w:pPr>
        <w:pStyle w:val="BodyText"/>
      </w:pPr>
      <w:r>
        <w:t xml:space="preserve">Hou T, Wang J, Li Y, Wang W (2011). Assessing the Performance of the MM/PBSA and MM/GBSA Methods. 1. The Accuracy of Binding Free Energy Calculations Based on Molecular Dynamics Simulations. Journal of Chemical Information and Modeling 51, 69-82. doi: 10.1021/ci100275a</w:t>
      </w:r>
    </w:p>
    <w:p>
      <w:pPr>
        <w:pStyle w:val="BodyText"/>
      </w:pPr>
      <w:r>
        <w:t xml:space="preserve">Huang J, MacKerell AD (2013). CHARMM36 all-atom additive protein force field: Validation based on comparison to NMR data. Journal of Computational Chemistry 34, 2135-2145. doi: 10.1002/jcc.23354</w:t>
      </w:r>
    </w:p>
    <w:p>
      <w:pPr>
        <w:pStyle w:val="BodyText"/>
      </w:pPr>
      <w:r>
        <w:t xml:space="preserve">Hur S, Bruice TC (2003). The near attack conformation approach to the study of the chorismate to prephenate reaction. Proceedings of the National Academy of Sciences 100, 12015-12020. doi: 10.1073/pnas.1534873100</w:t>
      </w:r>
    </w:p>
    <w:p>
      <w:pPr>
        <w:pStyle w:val="BodyText"/>
      </w:pPr>
      <w:r>
        <w:t xml:space="preserve">Johnson KS, Felton GW (1996). Physiological and dietary influences on midgut redox conditions in generalist lepidopteran larvae. Journal of Insect Physiology 42, 191-198. doi: 10.1016/0022-1910(95)00096-8</w:t>
      </w:r>
    </w:p>
    <w:p>
      <w:pPr>
        <w:pStyle w:val="BodyText"/>
      </w:pPr>
      <w:r>
        <w:t xml:space="preserve">Jongsma MA, Bakker PL, Peters J, Bosch D, Stiekema WJ (1995). Adaptation of Spodoptera exigua larvae to plant proteinase inhibitors by induction of gut proteinase activity insensitive to inhibition. Proceedings of the National Academy of Sciences 92, 8041-8045. doi: 10.1073/pnas.92.17.8041</w:t>
      </w:r>
    </w:p>
    <w:p>
      <w:pPr>
        <w:pStyle w:val="BodyText"/>
      </w:pPr>
      <w:r>
        <w:t xml:space="preserve">Jongsma MA, Bolter C (1997). The adaptation of insects to plant protease inhibitors. Journal of Insect Physiology 43, 885-895. doi: 10.1016/s0022-1910(97)00040-1</w:t>
      </w:r>
    </w:p>
    <w:p>
      <w:pPr>
        <w:pStyle w:val="BodyText"/>
      </w:pPr>
      <w:r>
        <w:t xml:space="preserve">Jorgensen WL, Chandrasekhar J, Madura JD, Impey RW, Klein ML (1983). Comparison of simple potential functions for simulating liquid water. The Journal of Chemical Physics 79, 926-935. doi: 10.1063/1.445869</w:t>
      </w:r>
    </w:p>
    <w:p>
      <w:pPr>
        <w:pStyle w:val="BodyText"/>
      </w:pPr>
      <w:r>
        <w:t xml:space="preserve">Jumper J, Evans R, Pritzel A, Green T, Figurnov M, Ronneberger O, et al. (2021). Highly accurate protein structure prediction with AlphaFold. Nature 596, 583-589. doi: 10.1038/s41586-021-03819-2</w:t>
      </w:r>
    </w:p>
    <w:p>
      <w:pPr>
        <w:pStyle w:val="BodyText"/>
      </w:pPr>
      <w:r>
        <w:t xml:space="preserve">Júnior NRDS, Santos EGDD, Paulo DGS, Meriño-Cabrera Y, Pinto IDPA, Summy MJ, et al. (2026). Integrated Transcriptomic and Physiological Analyses Reveal Disruption of Digestive Homeostasis Induced by Protease Inhibitors in Anticarsia gemmatalis Caterpillars. Archives of Insect Biochemistry and Physiology 123, e70223. doi: 10.1002/arch.70223</w:t>
      </w:r>
    </w:p>
    <w:p>
      <w:pPr>
        <w:pStyle w:val="BodyText"/>
      </w:pPr>
      <w:r>
        <w:t xml:space="preserve">Karna N, Łęgowska A, Malicki S, Dębowski D, Golik P, Gitlin A, et al. (2015). Investigation of Serine-Proteinase-Catalyzed Peptide Splicing in Analogues of Sunflower Trypsin Inhibitor 1 (SFTI-1). ChemBioChem 16, 2036-2045. doi: 10.1002/cbic.201500296</w:t>
      </w:r>
    </w:p>
    <w:p>
      <w:pPr>
        <w:pStyle w:val="BodyText"/>
      </w:pPr>
      <w:r>
        <w:t xml:space="preserve">Karumbaiah L, Oppert B, Jurat-Fuentes JL, Adang MJ (2007). Analysis of midgut proteinases from Bacillus thuringiensis-susceptible and -resistant Heliothis virescens (Lepidoptera: Noctuidae). Comparative Biochemistry and Physiology Part B: Biochemistry and Molecular Biology 146, 139-146. doi: 10.1016/j.cbpb.2006.10.104</w:t>
      </w:r>
    </w:p>
    <w:p>
      <w:pPr>
        <w:pStyle w:val="BodyText"/>
      </w:pPr>
      <w:r>
        <w:t xml:space="preserve">Kelly C, Laskowski Jr. M, Qasim M (2005). The Role of Scaffolding in Standard Mechanism Serine Proteinase Inhibitors. Protein &amp; Peptide Letters 12, 465-471. doi: 10.2174/0929866054395383</w:t>
      </w:r>
    </w:p>
    <w:p>
      <w:pPr>
        <w:pStyle w:val="BodyText"/>
      </w:pPr>
      <w:r>
        <w:t xml:space="preserve">Knapp B, Ospina L, Deane CM (2018). Avoiding false positive conclusions in molecular simulation: the importance of replicas. Journal of Chemical Theory and Computation 14, 6127-6138. doi: 10.1021/acs.jctc.8b00391</w:t>
      </w:r>
    </w:p>
    <w:p>
      <w:pPr>
        <w:pStyle w:val="BodyText"/>
      </w:pPr>
      <w:r>
        <w:t xml:space="preserve">Kuwar SS, Pauchet Y, Vogel H, Heckel DG (2015). Adaptive regulation of digestive serine proteases in the larval midgut of Helicoverpa armigera in response to a plant protease inhibitor. Insect Biochemistry and Molecular Biology 59, 18-29. doi: 10.1016/j.ibmb.2015.01.016</w:t>
      </w:r>
    </w:p>
    <w:p>
      <w:pPr>
        <w:pStyle w:val="BodyText"/>
      </w:pPr>
      <w:r>
        <w:t xml:space="preserve">Laskowski M, Kato I (1980). Protein Inhibitors of Proteinases. Annual Review of Biochemistry 49, 593-626. doi: 10.1146/annurev.bi.49.070180.003113</w:t>
      </w:r>
    </w:p>
    <w:p>
      <w:pPr>
        <w:pStyle w:val="BodyText"/>
      </w:pPr>
      <w:r>
        <w:t xml:space="preserve">Laskowski M, Qasim M (2000). What can the structures of enzyme-inhibitor complexes tell us about the structures of enzyme substrate complexes?. Biochimica et Biophysica Acta (BBA) - Protein Structure and Molecular Enzymology 1477, 324-337. doi: 10.1016/s0167-4838(99)00284-8</w:t>
      </w:r>
    </w:p>
    <w:p>
      <w:pPr>
        <w:pStyle w:val="BodyText"/>
      </w:pPr>
      <w:r>
        <w:t xml:space="preserve">Li Z, Yuan Y, Hu K, Pan P, He F (2026). Benchmarking confidence estimation and rescoring for cyclic peptide–protein complex predictions. bioRxiv. doi: 10.64898/2026.08.20.746104</w:t>
      </w:r>
    </w:p>
    <w:p>
      <w:pPr>
        <w:pStyle w:val="BodyText"/>
      </w:pPr>
      <w:r>
        <w:t xml:space="preserve">Lomate PR, Dewangan V, Mahajan NS, Kumar Y, Kulkarni A, Wang L, et al. (2018). Integrated Transcriptomic and Proteomic Analyses Suggest the Participation of Endogenous Protease Inhibitors in the Regulation of Protease Gene Expression in Helicoverpa armigera. Molecular &amp; Cellular Proteomics 17, 1324-1336. doi: 10.1074/mcp.ra117.000533</w:t>
      </w:r>
    </w:p>
    <w:p>
      <w:pPr>
        <w:pStyle w:val="BodyText"/>
      </w:pPr>
      <w:r>
        <w:t xml:space="preserve">Luckett S, Garcia R, Barker J, Konarev A, Shewry P, Clarke A, et al. (1999). High-resolution structure of a potent, cyclic proteinase inhibitor from sunflower seeds. Journal of Molecular Biology 290, 525-533. doi: 10.1006/jmbi.1999.2891</w:t>
      </w:r>
    </w:p>
    <w:p>
      <w:pPr>
        <w:pStyle w:val="BodyText"/>
      </w:pPr>
      <w:r>
        <w:t xml:space="preserve">Mariano GA, de Oliveira JVA, Andrade RJD, Paulo DGS, Cabrera YBM, Santos EGDD, et al. (2026). Trypsinogen Pro-Region as a Molecular Scaffold for the Design of Competitive Peptide Inhibitors of Trypsin-Like Proteases. Archives of Insect Biochemistry and Physiology 123, e70224. doi: 10.1002/arch.70224</w:t>
      </w:r>
    </w:p>
    <w:p>
      <w:pPr>
        <w:pStyle w:val="BodyText"/>
      </w:pPr>
      <w:r>
        <w:t xml:space="preserve">Meriño-Cabrera Y, de Oliveira Mendes TA, Castro JGS, Barbosa SL, Macedo MLR, de Almeida Oliveira MG (2020a). Noncompetitive tight-binding inhibition of Anticarsia gemmatalis trypsins by Adenanthera pavonina protease inhibitor affects larvae survival. Archives of Insect Biochemistry and Physiology 104, e21687. doi: 10.1002/arch.21687</w:t>
      </w:r>
    </w:p>
    <w:p>
      <w:pPr>
        <w:pStyle w:val="BodyText"/>
      </w:pPr>
      <w:r>
        <w:t xml:space="preserve">Meriño-Cabrera Y, Severiche Castro JG, Rios Diez JD, Rodrigues Macedo ML, de Oliveira Mendes TA, Goreti de Almeida Oliveira M (2020b). Rational design of mimetic peptides based on the interaction between Inga laurina inhibitor and trypsins for Spodoptera cosmioides pest control. Insect Biochemistry and Molecular Biology 122, 103390. doi: 10.1016/j.ibmb.2020.103390</w:t>
      </w:r>
    </w:p>
    <w:p>
      <w:pPr>
        <w:pStyle w:val="BodyText"/>
      </w:pPr>
      <w:r>
        <w:t xml:space="preserve">Meriño-Cabrera Y, Castro JS, de Almeida Barros R, da Silva Junior NR, de Oliveira Ramos H, de Almeida Oliveira MG (2022). Arginine-containing dipeptides decrease affinity of gut trypsins and compromise soybean pest development. Pesticide Biochemistry and Physiology 184, 105107. doi: 10.1016/j.pestbp.2022.105107</w:t>
      </w:r>
    </w:p>
    <w:p>
      <w:pPr>
        <w:pStyle w:val="BodyText"/>
      </w:pPr>
      <w:r>
        <w:t xml:space="preserve">Michaud-Agrawal N, Denning EJ, Woolf TB, Beckstein O (2011). MDAnalysis: A toolkit for the analysis of molecular dynamics simulations. Journal of Computational Chemistry 32, 2319-2327. doi: 10.1002/jcc.21787</w:t>
      </w:r>
    </w:p>
    <w:p>
      <w:pPr>
        <w:pStyle w:val="BodyText"/>
      </w:pPr>
      <w:r>
        <w:t xml:space="preserve">Miller BR, McGee TD, Swails JM, Homeyer N, Gohlke H, Roitberg AE (2012). MMPBSA.py: An Efficient Program for End-State Free Energy Calculations. Journal of Chemical Theory and Computation 8, 3314-3321. doi: 10.1021/ct300418h</w:t>
      </w:r>
    </w:p>
    <w:p>
      <w:pPr>
        <w:pStyle w:val="BodyText"/>
      </w:pPr>
      <w:r>
        <w:t xml:space="preserve">Mirdita M, Schütze K, Moriwaki Y, Heo L, Ovchinnikov S, Steinegger M (2022). ColabFold: making protein folding accessible to all. Nature Methods 19, 679-682. doi: 10.1038/s41592-022-01488-1</w:t>
      </w:r>
    </w:p>
    <w:p>
      <w:pPr>
        <w:pStyle w:val="BodyText"/>
      </w:pPr>
      <w:r>
        <w:t xml:space="preserve">Nakonieczny M, Michalczyk K, Kędziorski A (2007). Midgut protease activities in monophagous larvae of Apollo butterfly, Parnassius apollo ssp. frankenbergeri. Comptes Rendus. Biologies 330, 126-134. doi: 10.1016/j.crvi.2006.12.002</w:t>
      </w:r>
    </w:p>
    <w:p>
      <w:pPr>
        <w:pStyle w:val="BodyText"/>
      </w:pPr>
      <w:r>
        <w:t xml:space="preserve">Olsson MHM, Søndergaard CR, Rostkowski M, Jensen JH (2011). PROPKA3: Consistent Treatment of Internal and Surface Residues in Empirical p K a Predictions. Journal of Chemical Theory and Computation 7, 525-537. doi: 10.1021/ct100578z</w:t>
      </w:r>
    </w:p>
    <w:p>
      <w:pPr>
        <w:pStyle w:val="BodyText"/>
      </w:pPr>
      <w:r>
        <w:t xml:space="preserve">Onufriev A, Bashford D, Case DA (2004). Exploring protein native states and large‐scale conformational changes with a modified generalized born model. Proteins: Structure, Function, and Bioinformatics 55, 383-394. doi: 10.1002/prot.20033</w:t>
      </w:r>
    </w:p>
    <w:p>
      <w:pPr>
        <w:pStyle w:val="BodyText"/>
      </w:pPr>
      <w:r>
        <w:t xml:space="preserve">Pan Y, Cheng K, Mao J, Liu F, Liu J, Ye M, et al. (2014). Quantitative proteomics reveals the kinetics of trypsin-catalyzed protein digestion. Analytical and Bioanalytical Chemistry 406, 6247-6256. doi: 10.1007/s00216-014-8071-6</w:t>
      </w:r>
    </w:p>
    <w:p>
      <w:pPr>
        <w:pStyle w:val="BodyText"/>
      </w:pPr>
      <w:r>
        <w:t xml:space="preserve">Parkin S, Rupp B, Hope H (1996). Structure of bovine pancreatic trypsin inhibitor at 125 K definition of carboxyl-terminal residues Gly57 and Ala58. Acta Crystallographica Section D Biological Crystallography 52, 18-29. doi: 10.1107/S0907444995008675</w:t>
      </w:r>
    </w:p>
    <w:p>
      <w:pPr>
        <w:pStyle w:val="BodyText"/>
      </w:pPr>
      <w:r>
        <w:t xml:space="preserve">Parrinello M, Rahman A (1981). Polymorphic transitions in single crystals: A new molecular dynamics method. Journal of Applied Physics 52, 7182-7190. doi: 10.1063/1.328693</w:t>
      </w:r>
    </w:p>
    <w:p>
      <w:pPr>
        <w:pStyle w:val="BodyText"/>
      </w:pPr>
      <w:r>
        <w:t xml:space="preserve">Passaro S, Corso G, Wohlwend J, Reveiz M, Thaler S, Ram Somnath V, et al. (2025). Boltz-2: Towards accurate and efficient binding affinity prediction. bioRxiv [Preprint]. doi: 10.1101/2025.06.14.659707</w:t>
      </w:r>
    </w:p>
    <w:p>
      <w:pPr>
        <w:pStyle w:val="BodyText"/>
      </w:pPr>
      <w:r>
        <w:t xml:space="preserve">Patarroyo-Vargas AM, Merino-Cabrera YB, Zanuncio JC, Rocha F, Campos WG, de Almeida Oliveira MG (2017). Kinetic Characterization of Anticarsia gemmatalis Digestive Serine- Proteases and the Inhibitory Effect of Synthetic Peptides. Protein &amp; Peptide Letters 24, 1040-1047. doi: 10.2174/0929866524666170918103146</w:t>
      </w:r>
    </w:p>
    <w:p>
      <w:pPr>
        <w:pStyle w:val="BodyText"/>
      </w:pPr>
      <w:r>
        <w:t xml:space="preserve">Patarroyo-Vargas AM, Cordeiro G, Silva CRD, Silva CRD, Mendonça EG, Visôtto LE, et al. (2020). Inhibition kinetics of digestive proteases for Anticarsia gemmatalis. Anais da Academia Brasileira de Ciências 92, e20180477. doi: 10.1590/0001-3765202020180477</w:t>
      </w:r>
    </w:p>
    <w:p>
      <w:pPr>
        <w:pStyle w:val="BodyText"/>
      </w:pPr>
      <w:r>
        <w:t xml:space="preserve">Paulo DGS, Schneider JR, Meriño-Cabrera Y, Wurlitzer WB, de Andrade RJ, Santos ILB, et al. (2026). Peptides Derived From Reactive Center Loops Inhibit Digestive Trypsin-Like Enzymes in Lepidopteran Pests. Archives of Insect Biochemistry and Physiology 121, e70123. doi: 10.1002/arch.70123</w:t>
      </w:r>
    </w:p>
    <w:p>
      <w:pPr>
        <w:pStyle w:val="BodyText"/>
      </w:pPr>
      <w:r>
        <w:t xml:space="preserve">Perona JJ, Craik CS (1995). Structural basis of substrate specificity in the serine proteases. Protein Science 4, 337-360. doi: 10.1002/pro.5560040301</w:t>
      </w:r>
    </w:p>
    <w:p>
      <w:pPr>
        <w:pStyle w:val="BodyText"/>
      </w:pPr>
      <w:r>
        <w:t xml:space="preserve">Rawlings ND, Barrett AJ, Thomas PD, Huang X, Bateman A, Finn RD (2018). The MEROPS database of proteolytic enzymes, their substrates and inhibitors in 2017 and a comparison with peptidases in the PANTHER database. Nucleic Acids Research 46, D624-D632. doi: 10.1093/nar/gkx1134</w:t>
      </w:r>
    </w:p>
    <w:p>
      <w:pPr>
        <w:pStyle w:val="BodyText"/>
      </w:pPr>
      <w:r>
        <w:t xml:space="preserve">Rettie SA, Juergens D, Adebomi V, Bueso YF, Zhao Q, Leveille AN, et al. (2025). Accurate de novo design of high-affinity protein-binding macrocycles using deep learning. Nature Chemical Biology 21, 1948-1956. doi: 10.1038/s41589-025-01929-w</w:t>
      </w:r>
    </w:p>
    <w:p>
      <w:pPr>
        <w:pStyle w:val="BodyText"/>
      </w:pPr>
      <w:r>
        <w:t xml:space="preserve">Rodriguez J, Gupta N, Smith RD, Pevzner PA (2008). Does Trypsin Cut Before Proline? Journal of Proteome Research 7, 300-305. doi: 10.1021/pr0705035</w:t>
      </w:r>
    </w:p>
    <w:p>
      <w:pPr>
        <w:pStyle w:val="BodyText"/>
      </w:pPr>
      <w:r>
        <w:t xml:space="preserve">Saikhedkar NS, Joshi RS, Bhoite AS, Mohandasan R, Yadav AK, Fernandes M, et al. (2018). Tripeptides derived from reactive centre loop of potato type II protease inhibitors preferentially inhibit midgut proteases of Helicoverpa armigera. Insect Biochemistry and Molecular Biology 95, 17-25. doi: 10.1016/j.ibmb.2018.02.001</w:t>
      </w:r>
    </w:p>
    <w:p>
      <w:pPr>
        <w:pStyle w:val="BodyText"/>
      </w:pPr>
      <w:r>
        <w:t xml:space="preserve">Saikhedkar NS, Joshi RS, Yadav AK, Seal S, Fernandes M, Giri AP (2019). Phyto-inspired cyclic peptides derived from plant Pin-II type protease inhibitor reactive center loops for crop protection from insect pests. Biochimica et Biophysica Acta (BBA) - General Subjects 1863, 1254-1262. doi: 10.1016/j.bbagen.2019.05.003</w:t>
      </w:r>
    </w:p>
    <w:p>
      <w:pPr>
        <w:pStyle w:val="BodyText"/>
      </w:pPr>
      <w:r>
        <w:t xml:space="preserve">Schechter I, Berger A (1967). On the size of the active site in proteases. I. Papain. Biochemical and Biophysical Research Communications 27, 157-162. doi: 10.1016/S0006-291X(67)80055-X</w:t>
      </w:r>
    </w:p>
    <w:p>
      <w:pPr>
        <w:pStyle w:val="BodyText"/>
      </w:pPr>
      <w:r>
        <w:t xml:space="preserve">Schultz H, Paulo DGS, Meriño-Cabrera Y, de Andrade RJ, Santos ILB, Rodrigues MCNG, et al. (2026). Synthetic Peptide Inhibition of Trypsin-Like Proteases in Spodoptera frugiperda (Lepidoptera: Noctuidae): Evaluating the Influence of Gut Microbiota. Archives of Insect Biochemistry and Physiology 121, e70145. doi: 10.1002/arch.70145</w:t>
      </w:r>
    </w:p>
    <w:p>
      <w:pPr>
        <w:pStyle w:val="BodyText"/>
      </w:pPr>
      <w:r>
        <w:t xml:space="preserve">Severiche-Castro J, Valerio MF, Oliveira MGdA (2026). Structure-Guided Design of an Interface-Derived Inhibitor Peptide Against Spodoptera frugiperda Digestive Trypsins. Archives of Insect Biochemistry and Physiology 122, e70164. doi: 10.1002/arch.70164</w:t>
      </w:r>
    </w:p>
    <w:p>
      <w:pPr>
        <w:pStyle w:val="BodyText"/>
      </w:pPr>
      <w:r>
        <w:t xml:space="preserve">Silva-Júnior NR, Cabrera YM, Barbosa SL, Barros RDA, Barros E, Vital CE, et al. (2021). Intestinal proteases profiling from Anticarsia gemmatalis and their binding to inhibitors. Archives of Insect Biochemistry and Physiology 107, e21792. doi: 10.1002/arch.21792</w:t>
      </w:r>
    </w:p>
    <w:p>
      <w:pPr>
        <w:pStyle w:val="BodyText"/>
      </w:pPr>
      <w:r>
        <w:t xml:space="preserve">Song HK, Suh SW (1998). Kunitz-type soybean trypsin inhibitor revisited: refined structure of its complex with porcine trypsin reveals an insight into the interaction between a homologous inhibitor from Erythrina caffra and tissue-type plasminogen activator. Journal of Molecular Biology 275, 347-363. doi: 10.1006/jmbi.1997.1469</w:t>
      </w:r>
    </w:p>
    <w:p>
      <w:pPr>
        <w:pStyle w:val="BodyText"/>
      </w:pPr>
      <w:r>
        <w:t xml:space="preserve">Song J, Markley JL (2003). Protein Inhibitors of Serine Proteinases: Role of Backbone Structure and Dynamics in Controlling the Hydrolysis Constant. Biochemistry 42, 5186-5194. doi: 10.1021/bi034041u</w:t>
      </w:r>
    </w:p>
    <w:p>
      <w:pPr>
        <w:pStyle w:val="BodyText"/>
      </w:pPr>
      <w:r>
        <w:t xml:space="preserve">Souza TP, Dias RO, Castelhano EC, Brandão MM, Moura DS, Silva-Filho MC (2016). Comparative analysis of expression profiling of the trypsin and chymotrypsin genes from Lepidoptera species with different levels of sensitivity to soybean peptidase inhibitors. Comparative Biochemistry and Physiology Part B: Biochemistry and Molecular Biology 196-197, 67-73. doi: 10.1016/j.cbpb.2016.02.007</w:t>
      </w:r>
    </w:p>
    <w:p>
      <w:pPr>
        <w:pStyle w:val="BodyText"/>
      </w:pPr>
      <w:r>
        <w:t xml:space="preserve">Terra WR, Ferreira C (1994). Insect digestive enzymes: properties, compartmentalization and function. Comparative Biochemistry and Physiology Part B: Comparative Biochemistry 109, 1-62. doi: 10.1016/0305-0491(94)90141-4</w:t>
      </w:r>
    </w:p>
    <w:p>
      <w:pPr>
        <w:pStyle w:val="BodyText"/>
      </w:pPr>
      <w:r>
        <w:t xml:space="preserve">The UniProt Consortium, Bateman A, Martin MJ, Orchard S, Magrane M, Adesina A, et al. (2025). UniProt: the Universal Protein Knowledgebase in 2025. Nucleic Acids Research 53, D609-D617. doi: 10.1093/nar/gkae1010</w:t>
      </w:r>
    </w:p>
    <w:p>
      <w:pPr>
        <w:pStyle w:val="BodyText"/>
      </w:pPr>
      <w:r>
        <w:t xml:space="preserve">Valaitis AP (1995). Gypsy moth midgut proteinases: Purification and characterization of luminal trypsin, elastase and the brush border membrane leucine aminopeptidase. Insect Biochemistry and Molecular Biology 25, 139-149. doi: 10.1016/0965-1748(94)00033-e</w:t>
      </w:r>
    </w:p>
    <w:p>
      <w:pPr>
        <w:pStyle w:val="BodyText"/>
      </w:pPr>
      <w:r>
        <w:t xml:space="preserve">Valaitis AP, Augustin S, Clancy KM (1999). Purification and characterization of the western spruce budworm larval midgut proteinases and comparison of gut activities of laboratory-reared and field-collected insects. Insect Biochemistry and Molecular Biology 29, 405-415. doi: 10.1016/s0965-1748(99)00017-x</w:t>
      </w:r>
    </w:p>
    <w:p>
      <w:pPr>
        <w:pStyle w:val="BodyText"/>
      </w:pPr>
      <w:r>
        <w:t xml:space="preserve">Valdés-Tresanco MS, Valdés-Tresanco ME, Valiente PA, Moreno E (2021). gmx_MMPBSA: A New Tool to Perform End-State Free Energy Calculations with GROMACS. Journal of Chemical Theory and Computation 17, 6281-6291. doi: 10.1021/acs.jctc.1c00645</w:t>
      </w:r>
    </w:p>
    <w:p>
      <w:pPr>
        <w:pStyle w:val="BodyText"/>
      </w:pPr>
      <w:r>
        <w:t xml:space="preserve">van Kempen M, Kim SS, Tumescheit C, Mirdita M, Lee J, Gilchrist CLM, et al. (2024). Fast and accurate protein structure search with Foldseek. Nature Biotechnology 42, 243-246. doi: 10.1038/s41587-023-01773-0</w:t>
      </w:r>
    </w:p>
    <w:p>
      <w:pPr>
        <w:pStyle w:val="BodyText"/>
      </w:pPr>
      <w:r>
        <w:t xml:space="preserve">Vangone A, Bonvin AMJJ (2015). Contacts-based prediction of binding affinity in protein–protein complexes. eLife 4, e07454. doi: 10.7554/eLife.07454</w:t>
      </w:r>
    </w:p>
    <w:p>
      <w:pPr>
        <w:pStyle w:val="BodyText"/>
      </w:pPr>
      <w:r>
        <w:t xml:space="preserve">Varadi M, Bertoni D, Magana P, Paramval U, Pidruchna I, Radhakrishnan M, et al. (2024). AlphaFold Protein Structure Database in 2024: providing structure coverage for over 214 million protein sequences. Nucleic Acids Research 52, D368-D375. doi: 10.1093/nar/gkad1011</w:t>
      </w:r>
    </w:p>
    <w:p>
      <w:pPr>
        <w:pStyle w:val="BodyText"/>
      </w:pPr>
      <w:r>
        <w:t xml:space="preserve">Wacha AF, Lemkul JA (2023). charmm2gmx: An Automated Method to Port the CHARMM Additive Force Field to GROMACS. Journal of Chemical Information and Modeling 63, 4246-4252. doi: 10.1021/acs.jcim.3c00860</w:t>
      </w:r>
    </w:p>
    <w:p>
      <w:pPr>
        <w:pStyle w:val="BodyText"/>
      </w:pPr>
      <w:r>
        <w:t xml:space="preserve">Wan S, Zhang X, Xue X, Coveney PV (2026). Reliability of AI methods in drug discovery: evaluation of Boltz-2 for structure and binding affinity prediction. Journal of Chemical Theory and Computation 22, 7811-7824. doi: 10.1021/acs.jctc.6c01334</w:t>
      </w:r>
    </w:p>
    <w:p>
      <w:pPr>
        <w:pStyle w:val="BodyText"/>
      </w:pPr>
      <w:r>
        <w:t xml:space="preserve">Watson JL, Juergens D, Bennett NR, Trippe BL, Yim J, Eisenach HE, et al. (2023). De novo design of protein structure and function with RFdiffusion. Nature 620, 1089-1100. doi: 10.1038/s41586-023-06415-8</w:t>
      </w:r>
    </w:p>
    <w:p>
      <w:pPr>
        <w:pStyle w:val="BodyText"/>
      </w:pPr>
      <w:r>
        <w:t xml:space="preserve">Wei W, Ma J, Xie D, Zhou Y (2019). Linking inhibitor motions to proteolytic stability of sunflower trypsin inhibitor-1. RSC Advances 9, 13776-13786. doi: 10.1039/c9ra02114k</w:t>
      </w:r>
    </w:p>
    <w:p>
      <w:pPr>
        <w:pStyle w:val="BodyText"/>
      </w:pPr>
      <w:r>
        <w:t xml:space="preserve">Werner MH, Wemmer DE (1992). Three-dimensional structure of soybean trypsin/chymotrypsin Bowman-Birk inhibitor in solution. Biochemistry 31, 999-1010. doi: 10.1021/bi00119a008</w:t>
      </w:r>
    </w:p>
    <w:p>
      <w:pPr>
        <w:pStyle w:val="BodyText"/>
      </w:pPr>
      <w:r>
        <w:t xml:space="preserve">Wohlwend J, Corso G, Passaro S, Getz N, Reveiz M, Leidal K, et al. (2024). Boltz-1: Democratizing biomolecular interaction modeling. bioRxiv [Preprint]. doi: 10.1101/2024.11.19.624167</w:t>
      </w:r>
    </w:p>
    <w:p>
      <w:pPr>
        <w:pStyle w:val="BodyText"/>
      </w:pPr>
      <w:r>
        <w:t xml:space="preserve">Xu J, Zhang Y (2010). How significant is a protein structure similarity with TM-score = 0.5? Bioinformatics 26, 889-895. doi: 10.1093/bioinformatics/btq066</w:t>
      </w:r>
    </w:p>
    <w:p>
      <w:pPr>
        <w:pStyle w:val="BodyText"/>
      </w:pPr>
      <w:r>
        <w:t xml:space="preserve">Xu X, Zhou F, Zheng L, Wang S, Peng X, Li D (2025). Sampling Challenges of MM/PBSA Binding Energy Calculations. The Journal of Physical Chemistry B 129, 11666-11678. doi: 10.1021/acs.jpcb.5c04908</w:t>
      </w:r>
    </w:p>
    <w:p>
      <w:pPr>
        <w:pStyle w:val="BodyText"/>
      </w:pPr>
      <w:r>
        <w:t xml:space="preserve">Yang Y, Zhu YC, Ottea J, Husseneder C, Leonard BR, Abel C, et al. (2013). Characterization and transcriptional analyses of cDNAs encoding three trypsin- and chymotrypsin-like proteinases in Cry1Ab-susceptible and Cry1Ab-resistant strains of sugarcane borer, Diatraea saccharalis. Insect Science 20, 485-496. doi: 10.1111/j.1744-7917.2012.01514.x</w:t>
      </w:r>
    </w:p>
    <w:p>
      <w:pPr>
        <w:pStyle w:val="BodyText"/>
      </w:pPr>
      <w:r>
        <w:t xml:space="preserve">Zhan Q, Zheng S, Feng Q, Liu L (2011). A midgut-specific chymotrypsin cDNA (Slctlp1) from Spodoptera litura: cloning, characterization, localization and expression analysis. Archives of Insect Biochemistry and Physiology 76, 130-143. doi: 10.1002/arch.20353</w:t>
      </w:r>
    </w:p>
    <w:p>
      <w:pPr>
        <w:pStyle w:val="BodyText"/>
      </w:pPr>
      <w:r>
        <w:t xml:space="preserve">Zhang Y, Skolnick J (2005). TM-align: a protein structure alignment algorithm based on the TM-score. Nucleic Acids Research 33, 2302-2309. doi: 10.1093/nar/gki524</w:t>
      </w:r>
    </w:p>
    <w:p>
      <w:pPr>
        <w:pStyle w:val="BodyText"/>
      </w:pPr>
      <w:r>
        <w:t xml:space="preserve">Zhou D, Lobo YA, Batista IFC, Marques-Porto R, Gustchina A, Oliva MLV, et al. (2013). Crystal Structures of a Plant Trypsin Inhibitor from Enterolobium contortisiliquum (EcTI) and of Its Complex with Bovine Trypsin. PLoS ONE 8, e62252. doi: 10.1371/journal.pone.0062252</w:t>
      </w:r>
    </w:p>
    <w:bookmarkEnd w:id="106"/>
    <w:bookmarkEnd w:id="107"/>
    <w:sectPr>
      <w:footerReference w:type="default" r:id="rId9"/>
      <w:footnotePr>
        <w:numRestart w:val="eachSect"/>
      </w:footnotePr>
      <w:pgMar w:left="1417" w:right="1417" w:top="1417" w:bottom="1417"/>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4"/>
    </w:rPr>
  </w:style>
  <w:style w:styleId="BodyText" w:type="paragraph">
    <w:name w:val="Body Text"/>
    <w:basedOn w:val="Normal"/>
    <w:link w:val="BodyTextChar"/>
    <w:qFormat/>
    <w:pPr>
      <w:spacing w:after="120" w:before="180" w:line="360" w:lineRule="auto"/>
    </w:pPr>
    <w:rPr>
      <w:rFonts w:ascii="Times New Roman" w:hAnsi="Times New Roman" w:eastAsia="Times New Roman"/>
      <w:sz w:val="24"/>
    </w:rPr>
  </w:style>
  <w:style w:customStyle="1" w:styleId="FirstParagraph" w:type="paragraph">
    <w:name w:val="First Paragraph"/>
    <w:basedOn w:val="BodyText"/>
    <w:next w:val="BodyText"/>
    <w:qFormat/>
    <w:pPr>
      <w:spacing w:line="360" w:lineRule="auto" w:after="120"/>
    </w:pPr>
    <w:rPr>
      <w:rFonts w:ascii="Times New Roman" w:hAnsi="Times New Roman" w:eastAsia="Times New Roman"/>
      <w:sz w:val="24"/>
    </w:rPr>
  </w:style>
  <w:style w:customStyle="1" w:styleId="Compact" w:type="paragraph">
    <w:name w:val="Compact"/>
    <w:basedOn w:val="BodyText"/>
    <w:qFormat/>
    <w:pPr>
      <w:spacing w:after="36" w:before="36"/>
    </w:pPr>
    <w:rPr>
      <w:rFonts w:ascii="Times New Roman" w:hAnsi="Times New Roman" w:eastAsia="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eastAsia="Times New Roman"/>
      <w:b/>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eastAsia="Times New Roman"/>
      <w:b/>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eastAsia="Times New Roman"/>
      <w:b/>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eastAsia="Times New Roman"/>
      <w:b/>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Pendente">
    <w:name w:val="Pendente"/>
    <w:basedOn w:val="BodyTextChar"/>
    <w:rPr>
      <w:b/>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30" Type="http://schemas.openxmlformats.org/officeDocument/2006/relationships/image" Target="media/rId30.png"/><Relationship Id="rId46" Type="http://schemas.openxmlformats.org/officeDocument/2006/relationships/image" Target="media/rId46.png"/><Relationship Id="rId50" Type="http://schemas.openxmlformats.org/officeDocument/2006/relationships/image" Target="media/rId50.png"/><Relationship Id="rId54" Type="http://schemas.openxmlformats.org/officeDocument/2006/relationships/image" Target="media/rId54.png"/><Relationship Id="rId101" Type="http://schemas.openxmlformats.org/officeDocument/2006/relationships/image" Target="media/rId101.png"/><Relationship Id="rId77" Type="http://schemas.openxmlformats.org/officeDocument/2006/relationships/image" Target="media/rId77.png"/><Relationship Id="rId86" Type="http://schemas.openxmlformats.org/officeDocument/2006/relationships/image" Target="media/rId86.png"/><Relationship Id="rId42" Type="http://schemas.openxmlformats.org/officeDocument/2006/relationships/image" Target="media/rId42.png"/><Relationship Id="rId92" Type="http://schemas.openxmlformats.org/officeDocument/2006/relationships/image" Target="media/rId92.png"/><Relationship Id="rId74" Type="http://schemas.openxmlformats.org/officeDocument/2006/relationships/image" Target="media/rId74.png"/><Relationship Id="rId34" Type="http://schemas.openxmlformats.org/officeDocument/2006/relationships/image" Target="media/rId34.png"/><Relationship Id="rId80" Type="http://schemas.openxmlformats.org/officeDocument/2006/relationships/image" Target="media/rId80.png"/><Relationship Id="rId95" Type="http://schemas.openxmlformats.org/officeDocument/2006/relationships/image" Target="media/rId95.png"/><Relationship Id="rId38" Type="http://schemas.openxmlformats.org/officeDocument/2006/relationships/image" Target="media/rId38.png"/><Relationship Id="rId83" Type="http://schemas.openxmlformats.org/officeDocument/2006/relationships/image" Target="media/rId83.png"/><Relationship Id="rId98" Type="http://schemas.openxmlformats.org/officeDocument/2006/relationships/image" Target="media/rId98.png"/><Relationship Id="rId89" Type="http://schemas.openxmlformats.org/officeDocument/2006/relationships/image" Target="media/rId8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2026-10-12T18:59:11Z</dcterms:created>
  <dcterms:modified xsi:type="dcterms:W3CDTF">2026-10-12T18:59:11Z</dcterms:modified>
</cp:coreProperties>
</file>

<file path=docProps/custom.xml><?xml version="1.0" encoding="utf-8"?>
<Properties xmlns="http://schemas.openxmlformats.org/officeDocument/2006/custom-properties" xmlns:vt="http://schemas.openxmlformats.org/officeDocument/2006/docPropsVTypes"/>
</file>