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PLANO DE NEGÓCIOS EU+ V2.2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Nível:</w:t>
      </w:r>
      <w:r w:rsidDel="00000000" w:rsidR="00000000" w:rsidRPr="00000000">
        <w:rPr>
          <w:rtl w:val="0"/>
        </w:rPr>
        <w:t xml:space="preserve"> 3 (Estratégico) |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Oficializado e Consolidado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SUMÁRIO EXECUTIVO E OPORTUNIDADE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O Grupo EU+ surge para preencher o abismo entre o potencial individual e a capacidade de execução estruturada. O mercado brasileiro é composto por milhões de "EU-empresas" e líderes sobrecarregados que carecem de suporte acessível. Nossa solução utiliza IA e frameworks de baixo custo para democratizar o acesso à gestão de alta performance.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ANÁLISE DO PROBLEMA (A DOR DO MERCADO)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Identificamos que o profissional moderno vive em um estado de "fadiga de decisão" e sobrecarga de funções. Os modelos tradicionais de consultoria são caros e lentos. O Grupo EU+ mitiga isso com: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Falta de estrutura -&gt; Oferecemos a </w:t>
      </w:r>
      <w:r w:rsidDel="00000000" w:rsidR="00000000" w:rsidRPr="00000000">
        <w:rPr>
          <w:b w:val="1"/>
          <w:bCs w:val="1"/>
          <w:rtl w:val="0"/>
        </w:rPr>
        <w:t xml:space="preserve">Camada de Estruturação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Falta de tempo -&gt; Oferecemos a </w:t>
      </w:r>
      <w:r w:rsidDel="00000000" w:rsidR="00000000" w:rsidRPr="00000000">
        <w:rPr>
          <w:b w:val="1"/>
          <w:bCs w:val="1"/>
          <w:rtl w:val="0"/>
        </w:rPr>
        <w:t xml:space="preserve">Camada de Inteligência (IA)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Falta de equipe -&gt; Oferecemos Agentes e frameworks automatizados.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MERCADO E CANAIS DE AQUISIÇÃO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O foco é o mercado digital brasileiro, utilizando o LinkedIn como vetor de autoridade e o Instagram como vetor de alcance. A aquisição baseia-se em conteúdo autoral e na demonstração prática de utilidade (</w:t>
      </w:r>
      <w:r w:rsidDel="00000000" w:rsidR="00000000" w:rsidRPr="00000000">
        <w:rPr>
          <w:i w:val="1"/>
          <w:iCs w:val="1"/>
          <w:rtl w:val="0"/>
        </w:rPr>
        <w:t xml:space="preserve">Product-Led Growth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MODELO DE RECEITA E ESCALA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 monetização é modular, iniciando com produtos de entrada (</w:t>
      </w:r>
      <w:r w:rsidDel="00000000" w:rsidR="00000000" w:rsidRPr="00000000">
        <w:rPr>
          <w:i w:val="1"/>
          <w:iCs w:val="1"/>
          <w:rtl w:val="0"/>
        </w:rPr>
        <w:t xml:space="preserve">low-ticket</w:t>
      </w:r>
      <w:r w:rsidDel="00000000" w:rsidR="00000000" w:rsidRPr="00000000">
        <w:rPr>
          <w:rtl w:val="0"/>
        </w:rPr>
        <w:t xml:space="preserve">) e evoluindo para consultorias e diagnósticos premium. A escala é garantida pela lógica </w:t>
      </w:r>
      <w:r w:rsidDel="00000000" w:rsidR="00000000" w:rsidRPr="00000000">
        <w:rPr>
          <w:b w:val="1"/>
          <w:bCs w:val="1"/>
          <w:rtl w:val="0"/>
        </w:rPr>
        <w:t xml:space="preserve">serverless</w:t>
      </w:r>
      <w:r w:rsidDel="00000000" w:rsidR="00000000" w:rsidRPr="00000000">
        <w:rPr>
          <w:rtl w:val="0"/>
        </w:rPr>
        <w:t xml:space="preserve">: o crescimento do número de usuários não gera um crescimento proporcional na infraestrutura técnica.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RISCOS E GOVERNANÇA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principal risco é a dispersão. Mitigamos isso através do </w:t>
      </w:r>
      <w:r w:rsidDel="00000000" w:rsidR="00000000" w:rsidRPr="00000000">
        <w:rPr>
          <w:b w:val="1"/>
          <w:bCs w:val="1"/>
          <w:rtl w:val="0"/>
        </w:rPr>
        <w:t xml:space="preserve">Sistema de Governança EU+</w:t>
      </w:r>
      <w:r w:rsidDel="00000000" w:rsidR="00000000" w:rsidRPr="00000000">
        <w:rPr>
          <w:rtl w:val="0"/>
        </w:rPr>
        <w:t xml:space="preserve">, que garante que cada nova iniciativa esteja alinhada à </w:t>
      </w:r>
      <w:r w:rsidDel="00000000" w:rsidR="00000000" w:rsidRPr="00000000">
        <w:rPr>
          <w:b w:val="1"/>
          <w:bCs w:val="1"/>
          <w:rtl w:val="0"/>
        </w:rPr>
        <w:t xml:space="preserve">Constituição</w:t>
      </w:r>
      <w:r w:rsidDel="00000000" w:rsidR="00000000" w:rsidRPr="00000000">
        <w:rPr>
          <w:rtl w:val="0"/>
        </w:rPr>
        <w:t xml:space="preserve"> e devidamente documentada na </w:t>
      </w:r>
      <w:r w:rsidDel="00000000" w:rsidR="00000000" w:rsidRPr="00000000">
        <w:rPr>
          <w:b w:val="1"/>
          <w:bCs w:val="1"/>
          <w:rtl w:val="0"/>
        </w:rPr>
        <w:t xml:space="preserve">Central de Conhecimento EU+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