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0"/>
        <w:jc w:val="center"/>
      </w:pPr>
      <w:r>
        <w:rPr>
          <w:color w:val="595959"/>
          <w:sz w:val="24"/>
          <w:szCs w:val="24"/>
        </w:rPr>
        <w:t xml:space="preserve">VITyarthi – Fundamentals of AI and ML</w:t>
      </w:r>
    </w:p>
    <w:p>
      <w:pPr>
        <w:spacing w:after="300"/>
        <w:jc w:val="center"/>
      </w:pPr>
      <w:r>
        <w:rPr>
          <w:b/>
          <w:bCs/>
          <w:color w:val="1F4E79"/>
          <w:sz w:val="32"/>
          <w:szCs w:val="32"/>
        </w:rPr>
        <w:t xml:space="preserve">PROJECT REPORT</w:t>
      </w:r>
    </w:p>
    <w:p>
      <w:pPr>
        <w:spacing w:after="200"/>
        <w:jc w:val="center"/>
      </w:pPr>
      <w:r>
        <w:rPr>
          <w:b/>
          <w:bCs/>
          <w:color w:val="1F4E79"/>
          <w:sz w:val="44"/>
          <w:szCs w:val="44"/>
        </w:rPr>
        <w:t xml:space="preserve">Student Performance Prediction System Using Machine Learning</w:t>
      </w:r>
    </w:p>
    <w:p>
      <w:pPr>
        <w:spacing w:after="1200"/>
        <w:jc w:val="center"/>
      </w:pPr>
      <w:r>
        <w:rPr>
          <w:i/>
          <w:iCs/>
          <w:color w:val="595959"/>
          <w:sz w:val="24"/>
          <w:szCs w:val="24"/>
        </w:rPr>
        <w:t xml:space="preserve">An End-to-End Supervised Regression and Academic Advisory Pipeline</w:t>
      </w:r>
    </w:p>
    <w:p>
      <w:pPr>
        <w:spacing w:before="1400"/>
      </w:pPr>
    </w:p>
    <w:p>
      <w:pPr>
        <w:spacing w:after="80"/>
        <w:jc w:val="center"/>
      </w:pPr>
      <w:r>
        <w:rPr>
          <w:b/>
          <w:bCs/>
          <w:color w:val="595959"/>
          <w:sz w:val="22"/>
          <w:szCs w:val="22"/>
        </w:rPr>
        <w:t xml:space="preserve">Submitted by</w:t>
      </w:r>
    </w:p>
    <w:p>
      <w:pPr>
        <w:spacing w:after="60"/>
        <w:jc w:val="center"/>
      </w:pPr>
      <w:r>
        <w:rPr>
          <w:b/>
          <w:bCs/>
          <w:sz w:val="30"/>
          <w:szCs w:val="30"/>
        </w:rPr>
        <w:t xml:space="preserve">Arya</w:t>
      </w:r>
    </w:p>
    <w:p>
      <w:pPr>
        <w:spacing w:after="40"/>
        <w:jc w:val="center"/>
      </w:pPr>
      <w:r>
        <w:rPr>
          <w:sz w:val="20"/>
          <w:szCs w:val="20"/>
        </w:rPr>
        <w:t xml:space="preserve">Registration No.: </w:t>
      </w:r>
      <w:r>
        <w:rPr>
          <w:sz w:val="20"/>
          <w:szCs w:val="20"/>
        </w:rPr>
        <w:t xml:space="preserve">25MIM10251</w:t>
      </w:r>
    </w:p>
    <w:p>
      <w:pPr>
        <w:spacing w:after="40"/>
        <w:jc w:val="center"/>
      </w:pPr>
      <w:r>
        <w:rPr>
          <w:sz w:val="20"/>
          <w:szCs w:val="20"/>
        </w:rPr>
        <w:t xml:space="preserve">Integrated M.Tech, Artificial Intelligence</w:t>
      </w:r>
    </w:p>
    <w:p>
      <w:pPr>
        <w:spacing w:after="300"/>
        <w:jc w:val="center"/>
      </w:pPr>
      <w:r>
        <w:rPr>
          <w:sz w:val="20"/>
          <w:szCs w:val="20"/>
        </w:rPr>
        <w:t xml:space="preserve">VIT Bhopal University</w:t>
      </w:r>
    </w:p>
    <w:p>
      <w:pPr>
        <w:spacing w:after="60"/>
        <w:jc w:val="center"/>
      </w:pPr>
      <w:r>
        <w:rPr>
          <w:color w:val="595959"/>
          <w:sz w:val="18"/>
          <w:szCs w:val="18"/>
        </w:rPr>
        <w:t xml:space="preserve">Under the guidance of</w:t>
      </w:r>
    </w:p>
    <w:p>
      <w:pPr>
        <w:spacing w:after="300"/>
        <w:jc w:val="center"/>
      </w:pPr>
      <w:r>
        <w:rPr>
          <w:sz w:val="20"/>
          <w:szCs w:val="20"/>
        </w:rPr>
        <w:t xml:space="preserve">Atul Onkarrao Thakare</w:t>
      </w:r>
    </w:p>
    <w:p>
      <w:pPr>
        <w:spacing w:after="120"/>
        <w:jc w:val="center"/>
      </w:pPr>
      <w:r>
        <w:rPr>
          <w:sz w:val="20"/>
          <w:szCs w:val="20"/>
        </w:rPr>
        <w:t xml:space="preserve">September 2026</w:t>
      </w:r>
    </w:p>
    <w:p>
      <w:r>
        <w:br w:type="page"/>
      </w:r>
    </w:p>
    <w:p>
      <w:pPr>
        <w:pStyle w:val="Heading1"/>
        <w:spacing w:after="200" w:before="400"/>
        <w:outlineLvl w:val="0"/>
      </w:pPr>
      <w:r>
        <w:t xml:space="preserve">Declaration</w:t>
      </w:r>
    </w:p>
    <w:p>
      <w:pPr>
        <w:spacing w:after="160" w:line="276"/>
        <w:jc w:val="both"/>
      </w:pPr>
      <w:r>
        <w:rPr>
          <w:sz w:val="22"/>
          <w:szCs w:val="22"/>
        </w:rPr>
        <w:t xml:space="preserve">I, Arya, hereby declare that the project titled “Student Performance Prediction System Using Machine Learning”, submitted as part of the Fundamentals of AI and ML course at VIT Bhopal University, is my own work. The design, the code, the experiments, and the results reported here were carried out by me, and wherever I have referred to external ideas, datasets, or published work, I have credited them in the References section. This report has not been submitted, in part or in full, for any other course or assessment.</w:t>
      </w:r>
    </w:p>
    <w:p>
      <w:pPr>
        <w:spacing w:after="100" w:before="400"/>
      </w:pPr>
      <w:r>
        <w:rPr>
          <w:b/>
          <w:bCs/>
          <w:sz w:val="22"/>
          <w:szCs w:val="22"/>
        </w:rPr>
        <w:t xml:space="preserve">Arya</w:t>
      </w:r>
    </w:p>
    <w:p>
      <w:pPr>
        <w:spacing w:after="400"/>
      </w:pPr>
      <w:r>
        <w:rPr>
          <w:color w:val="595959"/>
          <w:sz w:val="20"/>
          <w:szCs w:val="20"/>
        </w:rPr>
        <w:t xml:space="preserve">VIT Bhopal University, September 2026</w:t>
      </w:r>
    </w:p>
    <w:p>
      <w:pPr>
        <w:pBdr>
          <w:bottom w:val="single" w:color="BFBFBF" w:sz="6" w:space="1"/>
        </w:pBdr>
        <w:spacing w:after="200"/>
      </w:pPr>
    </w:p>
    <w:p>
      <w:pPr>
        <w:pStyle w:val="Heading1"/>
        <w:spacing w:after="200" w:before="400"/>
        <w:outlineLvl w:val="0"/>
      </w:pPr>
      <w:r>
        <w:t xml:space="preserve">Acknowledgment</w:t>
      </w:r>
    </w:p>
    <w:p>
      <w:pPr>
        <w:spacing w:after="160" w:line="276"/>
        <w:jc w:val="both"/>
      </w:pPr>
      <w:r>
        <w:rPr>
          <w:sz w:val="22"/>
          <w:szCs w:val="22"/>
        </w:rPr>
        <w:t xml:space="preserve">I'd like to thank my course faculty for the guidance through this project, from framing the problem statement to reviewing the modeling choices along the way. I also relied on the scikit-learn documentation and the original UCI Student Performance dataset papers quite a bit while designing the preprocessing pipeline and picking evaluation metrics, and I've tried to credit that work properly in the References section. Any mistakes or rough edges left in this report are entirely mine.</w:t>
      </w:r>
    </w:p>
    <w:p>
      <w:pPr>
        <w:pBdr>
          <w:bottom w:val="single" w:color="BFBFBF" w:sz="6" w:space="1"/>
        </w:pBdr>
        <w:spacing w:after="200"/>
      </w:pPr>
    </w:p>
    <w:p>
      <w:r>
        <w:br w:type="page"/>
      </w:r>
    </w:p>
    <w:p>
      <w:pPr>
        <w:pStyle w:val="Heading1"/>
        <w:spacing w:after="200" w:before="400"/>
        <w:outlineLvl w:val="0"/>
      </w:pPr>
      <w:r>
        <w:t xml:space="preserve">Table of Contents</w:t>
      </w:r>
    </w:p>
    <w:p>
      <w:pPr>
        <w:tabs>
          <w:tab w:val="right" w:pos="9026" w:leader="dot"/>
        </w:tabs>
        <w:spacing w:after="120"/>
        <w:ind w:left="0"/>
      </w:pPr>
      <w:r>
        <w:rPr>
          <w:b/>
          <w:bCs/>
          <w:color w:val="000000"/>
          <w:sz w:val="22"/>
          <w:szCs w:val="22"/>
        </w:rPr>
        <w:t xml:space="preserve">Abstract</w:t>
      </w:r>
      <w:r>
        <w:rPr>
          <w:b/>
          <w:bCs/>
          <w:color w:val="000000"/>
          <w:sz w:val="22"/>
          <w:szCs w:val="22"/>
        </w:rPr>
        <w:t xml:space="preserve">	4</w:t>
      </w:r>
    </w:p>
    <w:p>
      <w:pPr>
        <w:tabs>
          <w:tab w:val="right" w:pos="9026" w:leader="dot"/>
        </w:tabs>
        <w:spacing w:after="120"/>
        <w:ind w:left="0"/>
      </w:pPr>
      <w:r>
        <w:rPr>
          <w:b/>
          <w:bCs/>
          <w:color w:val="000000"/>
          <w:sz w:val="22"/>
          <w:szCs w:val="22"/>
        </w:rPr>
        <w:t xml:space="preserve">1. Introduction</w:t>
      </w:r>
      <w:r>
        <w:rPr>
          <w:b/>
          <w:bCs/>
          <w:color w:val="000000"/>
          <w:sz w:val="22"/>
          <w:szCs w:val="22"/>
        </w:rPr>
        <w:t xml:space="preserve">	4</w:t>
      </w:r>
    </w:p>
    <w:p>
      <w:pPr>
        <w:tabs>
          <w:tab w:val="right" w:pos="9026" w:leader="dot"/>
        </w:tabs>
        <w:spacing w:after="80"/>
        <w:ind w:left="400"/>
      </w:pPr>
      <w:r>
        <w:rPr>
          <w:b w:val="false"/>
          <w:bCs w:val="false"/>
          <w:color w:val="595959"/>
          <w:sz w:val="20"/>
          <w:szCs w:val="20"/>
        </w:rPr>
        <w:t xml:space="preserve">1.1 Problem Statement</w:t>
      </w:r>
      <w:r>
        <w:rPr>
          <w:b w:val="false"/>
          <w:bCs w:val="false"/>
          <w:color w:val="595959"/>
          <w:sz w:val="20"/>
          <w:szCs w:val="20"/>
        </w:rPr>
        <w:t xml:space="preserve">	4</w:t>
      </w:r>
    </w:p>
    <w:p>
      <w:pPr>
        <w:tabs>
          <w:tab w:val="right" w:pos="9026" w:leader="dot"/>
        </w:tabs>
        <w:spacing w:after="80"/>
        <w:ind w:left="400"/>
      </w:pPr>
      <w:r>
        <w:rPr>
          <w:b w:val="false"/>
          <w:bCs w:val="false"/>
          <w:color w:val="595959"/>
          <w:sz w:val="20"/>
          <w:szCs w:val="20"/>
        </w:rPr>
        <w:t xml:space="preserve">1.2 Motivation</w:t>
      </w:r>
      <w:r>
        <w:rPr>
          <w:b w:val="false"/>
          <w:bCs w:val="false"/>
          <w:color w:val="595959"/>
          <w:sz w:val="20"/>
          <w:szCs w:val="20"/>
        </w:rPr>
        <w:t xml:space="preserve">	4</w:t>
      </w:r>
    </w:p>
    <w:p>
      <w:pPr>
        <w:tabs>
          <w:tab w:val="right" w:pos="9026" w:leader="dot"/>
        </w:tabs>
        <w:spacing w:after="120"/>
        <w:ind w:left="0"/>
      </w:pPr>
      <w:r>
        <w:rPr>
          <w:b/>
          <w:bCs/>
          <w:color w:val="000000"/>
          <w:sz w:val="22"/>
          <w:szCs w:val="22"/>
        </w:rPr>
        <w:t xml:space="preserve">2. Objectives</w:t>
      </w:r>
      <w:r>
        <w:rPr>
          <w:b/>
          <w:bCs/>
          <w:color w:val="000000"/>
          <w:sz w:val="22"/>
          <w:szCs w:val="22"/>
        </w:rPr>
        <w:t xml:space="preserve">	5</w:t>
      </w:r>
    </w:p>
    <w:p>
      <w:pPr>
        <w:tabs>
          <w:tab w:val="right" w:pos="9026" w:leader="dot"/>
        </w:tabs>
        <w:spacing w:after="120"/>
        <w:ind w:left="0"/>
      </w:pPr>
      <w:r>
        <w:rPr>
          <w:b/>
          <w:bCs/>
          <w:color w:val="000000"/>
          <w:sz w:val="22"/>
          <w:szCs w:val="22"/>
        </w:rPr>
        <w:t xml:space="preserve">3. System Features</w:t>
      </w:r>
      <w:r>
        <w:rPr>
          <w:b/>
          <w:bCs/>
          <w:color w:val="000000"/>
          <w:sz w:val="22"/>
          <w:szCs w:val="22"/>
        </w:rPr>
        <w:t xml:space="preserve">	5</w:t>
      </w:r>
    </w:p>
    <w:p>
      <w:pPr>
        <w:tabs>
          <w:tab w:val="right" w:pos="9026" w:leader="dot"/>
        </w:tabs>
        <w:spacing w:after="120"/>
        <w:ind w:left="0"/>
      </w:pPr>
      <w:r>
        <w:rPr>
          <w:b/>
          <w:bCs/>
          <w:color w:val="000000"/>
          <w:sz w:val="22"/>
          <w:szCs w:val="22"/>
        </w:rPr>
        <w:t xml:space="preserve">4. Functional Modules</w:t>
      </w:r>
      <w:r>
        <w:rPr>
          <w:b/>
          <w:bCs/>
          <w:color w:val="000000"/>
          <w:sz w:val="22"/>
          <w:szCs w:val="22"/>
        </w:rPr>
        <w:t xml:space="preserve">	6</w:t>
      </w:r>
    </w:p>
    <w:p>
      <w:pPr>
        <w:tabs>
          <w:tab w:val="right" w:pos="9026" w:leader="dot"/>
        </w:tabs>
        <w:spacing w:after="120"/>
        <w:ind w:left="0"/>
      </w:pPr>
      <w:r>
        <w:rPr>
          <w:b/>
          <w:bCs/>
          <w:color w:val="000000"/>
          <w:sz w:val="22"/>
          <w:szCs w:val="22"/>
        </w:rPr>
        <w:t xml:space="preserve">5. Non-Functional Requirements</w:t>
      </w:r>
      <w:r>
        <w:rPr>
          <w:b/>
          <w:bCs/>
          <w:color w:val="000000"/>
          <w:sz w:val="22"/>
          <w:szCs w:val="22"/>
        </w:rPr>
        <w:t xml:space="preserve">	6</w:t>
      </w:r>
    </w:p>
    <w:p>
      <w:pPr>
        <w:tabs>
          <w:tab w:val="right" w:pos="9026" w:leader="dot"/>
        </w:tabs>
        <w:spacing w:after="120"/>
        <w:ind w:left="0"/>
      </w:pPr>
      <w:r>
        <w:rPr>
          <w:b/>
          <w:bCs/>
          <w:color w:val="000000"/>
          <w:sz w:val="22"/>
          <w:szCs w:val="22"/>
        </w:rPr>
        <w:t xml:space="preserve">6. System Architecture</w:t>
      </w:r>
      <w:r>
        <w:rPr>
          <w:b/>
          <w:bCs/>
          <w:color w:val="000000"/>
          <w:sz w:val="22"/>
          <w:szCs w:val="22"/>
        </w:rPr>
        <w:t xml:space="preserve">	7</w:t>
      </w:r>
    </w:p>
    <w:p>
      <w:pPr>
        <w:tabs>
          <w:tab w:val="right" w:pos="9026" w:leader="dot"/>
        </w:tabs>
        <w:spacing w:after="80"/>
        <w:ind w:left="400"/>
      </w:pPr>
      <w:r>
        <w:rPr>
          <w:b w:val="false"/>
          <w:bCs w:val="false"/>
          <w:color w:val="595959"/>
          <w:sz w:val="20"/>
          <w:szCs w:val="20"/>
        </w:rPr>
        <w:t xml:space="preserve">6.1 Architectural Flow</w:t>
      </w:r>
      <w:r>
        <w:rPr>
          <w:b w:val="false"/>
          <w:bCs w:val="false"/>
          <w:color w:val="595959"/>
          <w:sz w:val="20"/>
          <w:szCs w:val="20"/>
        </w:rPr>
        <w:t xml:space="preserve">	7</w:t>
      </w:r>
    </w:p>
    <w:p>
      <w:pPr>
        <w:tabs>
          <w:tab w:val="right" w:pos="9026" w:leader="dot"/>
        </w:tabs>
        <w:spacing w:after="120"/>
        <w:ind w:left="0"/>
      </w:pPr>
      <w:r>
        <w:rPr>
          <w:b/>
          <w:bCs/>
          <w:color w:val="000000"/>
          <w:sz w:val="22"/>
          <w:szCs w:val="22"/>
        </w:rPr>
        <w:t xml:space="preserve">7. Dataset</w:t>
      </w:r>
      <w:r>
        <w:rPr>
          <w:b/>
          <w:bCs/>
          <w:color w:val="000000"/>
          <w:sz w:val="22"/>
          <w:szCs w:val="22"/>
        </w:rPr>
        <w:t xml:space="preserve">	7</w:t>
      </w:r>
    </w:p>
    <w:p>
      <w:pPr>
        <w:tabs>
          <w:tab w:val="right" w:pos="9026" w:leader="dot"/>
        </w:tabs>
        <w:spacing w:after="80"/>
        <w:ind w:left="400"/>
      </w:pPr>
      <w:r>
        <w:rPr>
          <w:b w:val="false"/>
          <w:bCs w:val="false"/>
          <w:color w:val="595959"/>
          <w:sz w:val="20"/>
          <w:szCs w:val="20"/>
        </w:rPr>
        <w:t xml:space="preserve">7.1 Attribute Description</w:t>
      </w:r>
      <w:r>
        <w:rPr>
          <w:b w:val="false"/>
          <w:bCs w:val="false"/>
          <w:color w:val="595959"/>
          <w:sz w:val="20"/>
          <w:szCs w:val="20"/>
        </w:rPr>
        <w:t xml:space="preserve">	8</w:t>
      </w:r>
    </w:p>
    <w:p>
      <w:pPr>
        <w:tabs>
          <w:tab w:val="right" w:pos="9026" w:leader="dot"/>
        </w:tabs>
        <w:spacing w:after="120"/>
        <w:ind w:left="0"/>
      </w:pPr>
      <w:r>
        <w:rPr>
          <w:b/>
          <w:bCs/>
          <w:color w:val="000000"/>
          <w:sz w:val="22"/>
          <w:szCs w:val="22"/>
        </w:rPr>
        <w:t xml:space="preserve">8. Preprocessing Pipeline</w:t>
      </w:r>
      <w:r>
        <w:rPr>
          <w:b/>
          <w:bCs/>
          <w:color w:val="000000"/>
          <w:sz w:val="22"/>
          <w:szCs w:val="22"/>
        </w:rPr>
        <w:t xml:space="preserve">	8</w:t>
      </w:r>
    </w:p>
    <w:p>
      <w:pPr>
        <w:tabs>
          <w:tab w:val="right" w:pos="9026" w:leader="dot"/>
        </w:tabs>
        <w:spacing w:after="120"/>
        <w:ind w:left="0"/>
      </w:pPr>
      <w:r>
        <w:rPr>
          <w:b/>
          <w:bCs/>
          <w:color w:val="000000"/>
          <w:sz w:val="22"/>
          <w:szCs w:val="22"/>
        </w:rPr>
        <w:t xml:space="preserve">9. Feature Engineering</w:t>
      </w:r>
      <w:r>
        <w:rPr>
          <w:b/>
          <w:bCs/>
          <w:color w:val="000000"/>
          <w:sz w:val="22"/>
          <w:szCs w:val="22"/>
        </w:rPr>
        <w:t xml:space="preserve">	9</w:t>
      </w:r>
    </w:p>
    <w:p>
      <w:pPr>
        <w:tabs>
          <w:tab w:val="right" w:pos="9026" w:leader="dot"/>
        </w:tabs>
        <w:spacing w:after="120"/>
        <w:ind w:left="0"/>
      </w:pPr>
      <w:r>
        <w:rPr>
          <w:b/>
          <w:bCs/>
          <w:color w:val="000000"/>
          <w:sz w:val="22"/>
          <w:szCs w:val="22"/>
        </w:rPr>
        <w:t xml:space="preserve">10. Machine Learning Algorithms Evaluated</w:t>
      </w:r>
      <w:r>
        <w:rPr>
          <w:b/>
          <w:bCs/>
          <w:color w:val="000000"/>
          <w:sz w:val="22"/>
          <w:szCs w:val="22"/>
        </w:rPr>
        <w:t xml:space="preserve">	9</w:t>
      </w:r>
    </w:p>
    <w:p>
      <w:pPr>
        <w:tabs>
          <w:tab w:val="right" w:pos="9026" w:leader="dot"/>
        </w:tabs>
        <w:spacing w:after="120"/>
        <w:ind w:left="0"/>
      </w:pPr>
      <w:r>
        <w:rPr>
          <w:b/>
          <w:bCs/>
          <w:color w:val="000000"/>
          <w:sz w:val="22"/>
          <w:szCs w:val="22"/>
        </w:rPr>
        <w:t xml:space="preserve">11. Model Evaluation &amp; Comparison</w:t>
      </w:r>
      <w:r>
        <w:rPr>
          <w:b/>
          <w:bCs/>
          <w:color w:val="000000"/>
          <w:sz w:val="22"/>
          <w:szCs w:val="22"/>
        </w:rPr>
        <w:t xml:space="preserve">	9</w:t>
      </w:r>
    </w:p>
    <w:p>
      <w:pPr>
        <w:tabs>
          <w:tab w:val="right" w:pos="9026" w:leader="dot"/>
        </w:tabs>
        <w:spacing w:after="120"/>
        <w:ind w:left="0"/>
      </w:pPr>
      <w:r>
        <w:rPr>
          <w:b/>
          <w:bCs/>
          <w:color w:val="000000"/>
          <w:sz w:val="22"/>
          <w:szCs w:val="22"/>
        </w:rPr>
        <w:t xml:space="preserve">12. Technologies Used</w:t>
      </w:r>
      <w:r>
        <w:rPr>
          <w:b/>
          <w:bCs/>
          <w:color w:val="000000"/>
          <w:sz w:val="22"/>
          <w:szCs w:val="22"/>
        </w:rPr>
        <w:t xml:space="preserve">	10</w:t>
      </w:r>
    </w:p>
    <w:p>
      <w:pPr>
        <w:tabs>
          <w:tab w:val="right" w:pos="9026" w:leader="dot"/>
        </w:tabs>
        <w:spacing w:after="120"/>
        <w:ind w:left="0"/>
      </w:pPr>
      <w:r>
        <w:rPr>
          <w:b/>
          <w:bCs/>
          <w:color w:val="000000"/>
          <w:sz w:val="22"/>
          <w:szCs w:val="22"/>
        </w:rPr>
        <w:t xml:space="preserve">13. Implementation &amp; Usage</w:t>
      </w:r>
      <w:r>
        <w:rPr>
          <w:b/>
          <w:bCs/>
          <w:color w:val="000000"/>
          <w:sz w:val="22"/>
          <w:szCs w:val="22"/>
        </w:rPr>
        <w:t xml:space="preserve">	10</w:t>
      </w:r>
    </w:p>
    <w:p>
      <w:pPr>
        <w:tabs>
          <w:tab w:val="right" w:pos="9026" w:leader="dot"/>
        </w:tabs>
        <w:spacing w:after="120"/>
        <w:ind w:left="0"/>
      </w:pPr>
      <w:r>
        <w:rPr>
          <w:b/>
          <w:bCs/>
          <w:color w:val="000000"/>
          <w:sz w:val="22"/>
          <w:szCs w:val="22"/>
        </w:rPr>
        <w:t xml:space="preserve">14. Testing</w:t>
      </w:r>
      <w:r>
        <w:rPr>
          <w:b/>
          <w:bCs/>
          <w:color w:val="000000"/>
          <w:sz w:val="22"/>
          <w:szCs w:val="22"/>
        </w:rPr>
        <w:t xml:space="preserve">	11</w:t>
      </w:r>
    </w:p>
    <w:p>
      <w:pPr>
        <w:tabs>
          <w:tab w:val="right" w:pos="9026" w:leader="dot"/>
        </w:tabs>
        <w:spacing w:after="120"/>
        <w:ind w:left="0"/>
      </w:pPr>
      <w:r>
        <w:rPr>
          <w:b/>
          <w:bCs/>
          <w:color w:val="000000"/>
          <w:sz w:val="22"/>
          <w:szCs w:val="22"/>
        </w:rPr>
        <w:t xml:space="preserve">15. Project Structure</w:t>
      </w:r>
      <w:r>
        <w:rPr>
          <w:b/>
          <w:bCs/>
          <w:color w:val="000000"/>
          <w:sz w:val="22"/>
          <w:szCs w:val="22"/>
        </w:rPr>
        <w:t xml:space="preserve">	12</w:t>
      </w:r>
    </w:p>
    <w:p>
      <w:pPr>
        <w:tabs>
          <w:tab w:val="right" w:pos="9026" w:leader="dot"/>
        </w:tabs>
        <w:spacing w:after="120"/>
        <w:ind w:left="0"/>
      </w:pPr>
      <w:r>
        <w:rPr>
          <w:b/>
          <w:bCs/>
          <w:color w:val="000000"/>
          <w:sz w:val="22"/>
          <w:szCs w:val="22"/>
        </w:rPr>
        <w:t xml:space="preserve">16. Limitations</w:t>
      </w:r>
      <w:r>
        <w:rPr>
          <w:b/>
          <w:bCs/>
          <w:color w:val="000000"/>
          <w:sz w:val="22"/>
          <w:szCs w:val="22"/>
        </w:rPr>
        <w:t xml:space="preserve">	12</w:t>
      </w:r>
    </w:p>
    <w:p>
      <w:pPr>
        <w:tabs>
          <w:tab w:val="right" w:pos="9026" w:leader="dot"/>
        </w:tabs>
        <w:spacing w:after="120"/>
        <w:ind w:left="0"/>
      </w:pPr>
      <w:r>
        <w:rPr>
          <w:b/>
          <w:bCs/>
          <w:color w:val="000000"/>
          <w:sz w:val="22"/>
          <w:szCs w:val="22"/>
        </w:rPr>
        <w:t xml:space="preserve">17. Future Enhancements</w:t>
      </w:r>
      <w:r>
        <w:rPr>
          <w:b/>
          <w:bCs/>
          <w:color w:val="000000"/>
          <w:sz w:val="22"/>
          <w:szCs w:val="22"/>
        </w:rPr>
        <w:t xml:space="preserve">	12</w:t>
      </w:r>
    </w:p>
    <w:p>
      <w:pPr>
        <w:tabs>
          <w:tab w:val="right" w:pos="9026" w:leader="dot"/>
        </w:tabs>
        <w:spacing w:after="120"/>
        <w:ind w:left="0"/>
      </w:pPr>
      <w:r>
        <w:rPr>
          <w:b/>
          <w:bCs/>
          <w:color w:val="000000"/>
          <w:sz w:val="22"/>
          <w:szCs w:val="22"/>
        </w:rPr>
        <w:t xml:space="preserve">18. Conclusion</w:t>
      </w:r>
      <w:r>
        <w:rPr>
          <w:b/>
          <w:bCs/>
          <w:color w:val="000000"/>
          <w:sz w:val="22"/>
          <w:szCs w:val="22"/>
        </w:rPr>
        <w:t xml:space="preserve">	13</w:t>
      </w:r>
    </w:p>
    <w:p>
      <w:pPr>
        <w:tabs>
          <w:tab w:val="right" w:pos="9026" w:leader="dot"/>
        </w:tabs>
        <w:spacing w:after="120"/>
        <w:ind w:left="0"/>
      </w:pPr>
      <w:r>
        <w:rPr>
          <w:b/>
          <w:bCs/>
          <w:color w:val="000000"/>
          <w:sz w:val="22"/>
          <w:szCs w:val="22"/>
        </w:rPr>
        <w:t xml:space="preserve">19. Reflections &amp; Learnings</w:t>
      </w:r>
      <w:r>
        <w:rPr>
          <w:b/>
          <w:bCs/>
          <w:color w:val="000000"/>
          <w:sz w:val="22"/>
          <w:szCs w:val="22"/>
        </w:rPr>
        <w:t xml:space="preserve">	13</w:t>
      </w:r>
    </w:p>
    <w:p>
      <w:pPr>
        <w:tabs>
          <w:tab w:val="right" w:pos="9026" w:leader="dot"/>
        </w:tabs>
        <w:spacing w:after="120"/>
        <w:ind w:left="0"/>
      </w:pPr>
      <w:r>
        <w:rPr>
          <w:b/>
          <w:bCs/>
          <w:color w:val="000000"/>
          <w:sz w:val="22"/>
          <w:szCs w:val="22"/>
        </w:rPr>
        <w:t xml:space="preserve">20. References</w:t>
      </w:r>
      <w:r>
        <w:rPr>
          <w:b/>
          <w:bCs/>
          <w:color w:val="000000"/>
          <w:sz w:val="22"/>
          <w:szCs w:val="22"/>
        </w:rPr>
        <w:t xml:space="preserve">	13</w:t>
      </w:r>
    </w:p>
    <w:p>
      <w:r>
        <w:br w:type="page"/>
      </w:r>
    </w:p>
    <w:p>
      <w:pPr>
        <w:pStyle w:val="Heading1"/>
        <w:spacing w:after="200" w:before="400"/>
        <w:outlineLvl w:val="0"/>
      </w:pPr>
      <w:r>
        <w:t xml:space="preserve">Abstract</w:t>
      </w:r>
    </w:p>
    <w:p>
      <w:pPr>
        <w:spacing w:after="160" w:line="276"/>
        <w:jc w:val="both"/>
      </w:pPr>
      <w:r>
        <w:rPr>
          <w:sz w:val="22"/>
          <w:szCs w:val="22"/>
        </w:rPr>
        <w:t xml:space="preserve">Most academic early-warning ideas run into the same problem: the data needed to spot a struggling student already exists (attendance, study hours, past scores, assignment submissions) but nobody puts it together until the final result is out. This project builds a small end-to-end pipeline that does exactly that: it takes those everyday formative indicators and predicts a student's likely final exam score well before the exam happens.</w:t>
      </w:r>
    </w:p>
    <w:p>
      <w:pPr>
        <w:spacing w:after="160" w:line="276"/>
        <w:jc w:val="both"/>
      </w:pPr>
      <w:r>
        <w:rPr>
          <w:sz w:val="22"/>
          <w:szCs w:val="22"/>
        </w:rPr>
        <w:t xml:space="preserve">On the technical side, the pipeline is built with scikit-learn and is careful about avoiding data leakage - every imputer and scaler is fit only on the training split. Four regression models (Linear Regression, Decision Tree, Random Forest, and Gradient Boosting) were trained and compared using 5-fold cross-validation, and the best one was kept for the final CLI tool. Beyond the raw number, the tool also converts the prediction into a performance tier (Excellent / Good / Average / Needs Improvement) and gives a short, rule-based recommendation, so the output is something a student or advisor can actually act on rather than just a score to stare at.</w:t>
      </w:r>
    </w:p>
    <w:p>
      <w:pPr>
        <w:pBdr>
          <w:bottom w:val="single" w:color="BFBFBF" w:sz="6" w:space="1"/>
        </w:pBdr>
        <w:spacing w:after="200"/>
      </w:pPr>
    </w:p>
    <w:p>
      <w:pPr>
        <w:pStyle w:val="Heading1"/>
        <w:spacing w:after="200" w:before="400"/>
        <w:outlineLvl w:val="0"/>
      </w:pPr>
      <w:r>
        <w:t xml:space="preserve">1. Introduction</w:t>
      </w:r>
    </w:p>
    <w:p>
      <w:pPr>
        <w:spacing w:after="160" w:line="276"/>
        <w:jc w:val="both"/>
      </w:pPr>
      <w:r>
        <w:rPr>
          <w:sz w:val="22"/>
          <w:szCs w:val="22"/>
        </w:rPr>
        <w:t xml:space="preserve">Colleges collect a lot of data on their students without really using it. Attendance registers, weekly study logs, assignment portals, internal assessment sheets - all of it sits in different places, and nobody connects the dots until the final exam result is already out. By then it's too late to do anything about it. That's really the starting point of this project: could I use the data that's already being collected to flag a struggling student a few weeks earlier, while there's still time to act?</w:t>
      </w:r>
    </w:p>
    <w:p>
      <w:pPr>
        <w:spacing w:after="160" w:line="276"/>
        <w:jc w:val="both"/>
      </w:pPr>
      <w:r>
        <w:rPr>
          <w:sz w:val="22"/>
          <w:szCs w:val="22"/>
        </w:rPr>
        <w:t xml:space="preserve">This report documents the Student Performance Prediction System I built for this course. It takes a student's formative indicators (attendance, study hours, past performance, assignment completion, internal marks) and predicts their likely final score, then converts that prediction into a plain-language performance tier and a short list of study recommendations. I've tried to keep the whole pipeline transparent and reproducible rather than treating the model as a black box, since the point of an early-warning system is that people actually trust and understand what it's telling them.</w:t>
      </w:r>
    </w:p>
    <w:p>
      <w:pPr>
        <w:pStyle w:val="Heading2"/>
        <w:spacing w:after="140" w:before="280"/>
        <w:outlineLvl w:val="1"/>
      </w:pPr>
      <w:r>
        <w:t xml:space="preserve">1.1 Problem Statement</w:t>
      </w:r>
    </w:p>
    <w:p>
      <w:pPr>
        <w:spacing w:after="160" w:line="276"/>
        <w:jc w:val="both"/>
      </w:pPr>
      <w:r>
        <w:rPr>
          <w:sz w:val="22"/>
          <w:szCs w:val="22"/>
        </w:rPr>
        <w:t xml:space="preserve">Academic distress in higher education usually stays invisible until the final exam, by which time it's too late for any real intervention. Attendance, weekly study hours, prerequisite scores, assignment completion, and internal assessments are all collected as a matter of routine, but institutions rarely put them together into something that can flag a struggling student early. This project is an attempt at exactly that: a simple, transparent way to forecast performance ahead of time and turn it into study advice a student can actually use.</w:t>
      </w:r>
    </w:p>
    <w:p>
      <w:pPr>
        <w:pStyle w:val="Heading2"/>
        <w:spacing w:after="140" w:before="280"/>
        <w:outlineLvl w:val="1"/>
      </w:pPr>
      <w:r>
        <w:t xml:space="preserve">1.2 Motivation</w:t>
      </w:r>
    </w:p>
    <w:p>
      <w:pPr>
        <w:pStyle w:val="ListParagraph"/>
        <w:numPr>
          <w:ilvl w:val="0"/>
          <w:numId w:val="1"/>
        </w:numPr>
        <w:spacing w:after="100" w:line="276"/>
      </w:pPr>
      <w:r>
        <w:t xml:space="preserve">Enable early identification of at-risk students before final examinations.</w:t>
      </w:r>
    </w:p>
    <w:p>
      <w:pPr>
        <w:pStyle w:val="ListParagraph"/>
        <w:numPr>
          <w:ilvl w:val="0"/>
          <w:numId w:val="1"/>
        </w:numPr>
        <w:spacing w:after="100" w:line="276"/>
      </w:pPr>
      <w:r>
        <w:t xml:space="preserve">Convert routinely collected formative data into a decision-support tool for faculty and students.</w:t>
      </w:r>
    </w:p>
    <w:p>
      <w:pPr>
        <w:pStyle w:val="ListParagraph"/>
        <w:numPr>
          <w:ilvl w:val="0"/>
          <w:numId w:val="1"/>
        </w:numPr>
        <w:spacing w:after="100" w:line="276"/>
      </w:pPr>
      <w:r>
        <w:t xml:space="preserve">Demonstrate a fully leak-free, reproducible machine learning workflow suitable for academic evaluation.</w:t>
      </w:r>
    </w:p>
    <w:p>
      <w:pPr>
        <w:pStyle w:val="ListParagraph"/>
        <w:numPr>
          <w:ilvl w:val="0"/>
          <w:numId w:val="1"/>
        </w:numPr>
        <w:spacing w:after="100" w:line="276"/>
      </w:pPr>
      <w:r>
        <w:t xml:space="preserve">Provide interpretable, rule-based recommendations rather than opaque black-box outputs.</w:t>
      </w:r>
    </w:p>
    <w:p>
      <w:pPr>
        <w:pBdr>
          <w:bottom w:val="single" w:color="BFBFBF" w:sz="6" w:space="1"/>
        </w:pBdr>
        <w:spacing w:after="200"/>
      </w:pPr>
    </w:p>
    <w:p>
      <w:pPr>
        <w:pStyle w:val="Heading1"/>
        <w:spacing w:after="200" w:before="400"/>
        <w:outlineLvl w:val="0"/>
      </w:pPr>
      <w:r>
        <w:t xml:space="preserve">2. Objectives</w:t>
      </w:r>
    </w:p>
    <w:p>
      <w:pPr>
        <w:pStyle w:val="ListParagraph"/>
        <w:numPr>
          <w:ilvl w:val="0"/>
          <w:numId w:val="2"/>
        </w:numPr>
        <w:spacing w:after="100" w:line="276"/>
      </w:pPr>
      <w:r>
        <w:t xml:space="preserve">Accurate performance forecasting: train and evaluate multiple supervised regression algorithms to predict final exam scores (0-100).</w:t>
      </w:r>
    </w:p>
    <w:p>
      <w:pPr>
        <w:pStyle w:val="ListParagraph"/>
        <w:numPr>
          <w:ilvl w:val="0"/>
          <w:numId w:val="2"/>
        </w:numPr>
        <w:spacing w:after="100" w:line="276"/>
      </w:pPr>
      <w:r>
        <w:t xml:space="preserve">Data leakage elimination: implement encapsulated scikit-learn Pipeline and ColumnTransformer workflows where parameter learning occurs strictly on training partitions.</w:t>
      </w:r>
    </w:p>
    <w:p>
      <w:pPr>
        <w:pStyle w:val="ListParagraph"/>
        <w:numPr>
          <w:ilvl w:val="0"/>
          <w:numId w:val="2"/>
        </w:numPr>
        <w:spacing w:after="100" w:line="276"/>
      </w:pPr>
      <w:r>
        <w:t xml:space="preserve">Transparent performance tiers: map continuous scores to well-defined academic tiers (Excellent, Good, Average, Needs Improvement).</w:t>
      </w:r>
    </w:p>
    <w:p>
      <w:pPr>
        <w:pStyle w:val="ListParagraph"/>
        <w:numPr>
          <w:ilvl w:val="0"/>
          <w:numId w:val="2"/>
        </w:numPr>
        <w:spacing w:after="100" w:line="276"/>
      </w:pPr>
      <w:r>
        <w:t xml:space="preserve">Interpretable pedagogical advisory: build a rule-based recommendation engine that translates feature deficits into actionable advice.</w:t>
      </w:r>
    </w:p>
    <w:p>
      <w:pPr>
        <w:pStyle w:val="ListParagraph"/>
        <w:numPr>
          <w:ilvl w:val="0"/>
          <w:numId w:val="2"/>
        </w:numPr>
        <w:spacing w:after="100" w:line="276"/>
      </w:pPr>
      <w:r>
        <w:t xml:space="preserve">A robust CLI experience: a fault-tolerant, menu-driven CLI application with defensive input validation.</w:t>
      </w:r>
    </w:p>
    <w:p>
      <w:pPr>
        <w:pStyle w:val="ListParagraph"/>
        <w:numPr>
          <w:ilvl w:val="0"/>
          <w:numId w:val="2"/>
        </w:numPr>
        <w:spacing w:after="100" w:line="276"/>
      </w:pPr>
      <w:r>
        <w:t xml:space="preserve">Empirical reproducibility: guarantee consistent, repeatable results via fixed seeds (random_state = 42) across runs.</w:t>
      </w:r>
    </w:p>
    <w:p>
      <w:pPr>
        <w:pBdr>
          <w:bottom w:val="single" w:color="BFBFBF" w:sz="6" w:space="1"/>
        </w:pBdr>
        <w:spacing w:after="200"/>
      </w:pPr>
    </w:p>
    <w:p>
      <w:pPr>
        <w:pStyle w:val="Heading1"/>
        <w:spacing w:after="200" w:before="400"/>
        <w:outlineLvl w:val="0"/>
      </w:pPr>
      <w:r>
        <w:t xml:space="preserve">3. System Features</w:t>
      </w:r>
    </w:p>
    <w:p>
      <w:pPr>
        <w:pStyle w:val="ListParagraph"/>
        <w:numPr>
          <w:ilvl w:val="0"/>
          <w:numId w:val="1"/>
        </w:numPr>
        <w:spacing w:after="100" w:line="276"/>
      </w:pPr>
      <w:r>
        <w:t xml:space="preserve">Interactive Menu Interface: a 6-option navigation menu supporting training, evaluation, interactive single-student prediction, analytics generation, and reporting.</w:t>
      </w:r>
    </w:p>
    <w:p>
      <w:pPr>
        <w:pStyle w:val="ListParagraph"/>
        <w:numPr>
          <w:ilvl w:val="0"/>
          <w:numId w:val="1"/>
        </w:numPr>
        <w:spacing w:after="100" w:line="276"/>
      </w:pPr>
      <w:r>
        <w:t xml:space="preserve">Defensive Input Validation: real-time bounds enforcement for attendance (0–100%), study hours (≥ 0), examination marks (0–100), and rubric scores (1–5).</w:t>
      </w:r>
    </w:p>
    <w:p>
      <w:pPr>
        <w:pStyle w:val="ListParagraph"/>
        <w:numPr>
          <w:ilvl w:val="0"/>
          <w:numId w:val="1"/>
        </w:numPr>
        <w:spacing w:after="100" w:line="276"/>
      </w:pPr>
      <w:r>
        <w:t xml:space="preserve">Dynamic model persistence: Joblib serialization that allows immediate inference without redundant retraining.</w:t>
      </w:r>
    </w:p>
    <w:p>
      <w:pPr>
        <w:pStyle w:val="ListParagraph"/>
        <w:numPr>
          <w:ilvl w:val="0"/>
          <w:numId w:val="1"/>
        </w:numPr>
        <w:spacing w:after="100" w:line="276"/>
      </w:pPr>
      <w:r>
        <w:t xml:space="preserve">Domain-Specific Feature Engineering: derivation of Academic Engagement Index, Assessment Momentum, and Study Efficiency Ratio.</w:t>
      </w:r>
    </w:p>
    <w:p>
      <w:pPr>
        <w:pStyle w:val="ListParagraph"/>
        <w:numPr>
          <w:ilvl w:val="0"/>
          <w:numId w:val="1"/>
        </w:numPr>
        <w:spacing w:after="100" w:line="276"/>
      </w:pPr>
      <w:r>
        <w:t xml:space="preserve">Diagnostic Visualizations: automated generation of feature distribution histograms, correlation heatmaps, feature importances, and residual plots.</w:t>
      </w:r>
    </w:p>
    <w:p>
      <w:pPr>
        <w:pStyle w:val="ListParagraph"/>
        <w:numPr>
          <w:ilvl w:val="0"/>
          <w:numId w:val="1"/>
        </w:numPr>
        <w:spacing w:after="100" w:line="276"/>
      </w:pPr>
      <w:r>
        <w:t xml:space="preserve">Formal Academic Reporting: automated compilation of Markdown and JSON project summaries grounded in live metrics.</w:t>
      </w:r>
    </w:p>
    <w:p>
      <w:pPr>
        <w:pBdr>
          <w:bottom w:val="single" w:color="BFBFBF" w:sz="6" w:space="1"/>
        </w:pBdr>
        <w:spacing w:after="200"/>
      </w:pPr>
    </w:p>
    <w:p>
      <w:pPr>
        <w:pStyle w:val="Heading1"/>
        <w:spacing w:after="200" w:before="400"/>
        <w:outlineLvl w:val="0"/>
      </w:pPr>
      <w:r>
        <w:t xml:space="preserve">4. Functional Modules</w:t>
      </w:r>
    </w:p>
    <w:p>
      <w:pPr>
        <w:pStyle w:val="Heading2"/>
        <w:spacing w:after="140" w:before="280"/>
        <w:outlineLvl w:val="1"/>
      </w:pPr>
      <w:r>
        <w:t xml:space="preserve">Module 1: Student Data Input &amp; Validation</w:t>
      </w:r>
    </w:p>
    <w:p>
      <w:pPr>
        <w:spacing w:after="160" w:line="276"/>
        <w:jc w:val="both"/>
      </w:pPr>
      <w:r>
        <w:rPr>
          <w:sz w:val="22"/>
          <w:szCs w:val="22"/>
        </w:rPr>
        <w:t xml:space="preserve">Files: src/data_loader.py, src/prediction.py</w:t>
      </w:r>
    </w:p>
    <w:p>
      <w:pPr>
        <w:spacing w:after="160" w:line="276"/>
        <w:jc w:val="both"/>
      </w:pPr>
      <w:r>
        <w:rPr>
          <w:sz w:val="22"/>
          <w:szCs w:val="22"/>
        </w:rPr>
        <w:t xml:space="preserve">Handles CSV file loading, column integrity verification, and runtime single-student interactive input sanitation.</w:t>
      </w:r>
    </w:p>
    <w:p>
      <w:pPr>
        <w:pStyle w:val="Heading2"/>
        <w:spacing w:after="140" w:before="280"/>
        <w:outlineLvl w:val="1"/>
      </w:pPr>
      <w:r>
        <w:t xml:space="preserve">Module 2: Data Preprocessing &amp; Feature Engineering</w:t>
      </w:r>
    </w:p>
    <w:p>
      <w:pPr>
        <w:spacing w:after="160" w:line="276"/>
        <w:jc w:val="both"/>
      </w:pPr>
      <w:r>
        <w:rPr>
          <w:sz w:val="22"/>
          <w:szCs w:val="22"/>
        </w:rPr>
        <w:t xml:space="preserve">Files: src/preprocessing.py, src/feature_engineering.py</w:t>
      </w:r>
    </w:p>
    <w:p>
      <w:pPr>
        <w:spacing w:after="160" w:line="276"/>
        <w:jc w:val="both"/>
      </w:pPr>
      <w:r>
        <w:rPr>
          <w:sz w:val="22"/>
          <w:szCs w:val="22"/>
        </w:rPr>
        <w:t xml:space="preserve">Computes domain indices, applies median imputation for numeric features, modal imputation for nominal features, standard scaling, and one-hot encoding without data leakage.</w:t>
      </w:r>
    </w:p>
    <w:p>
      <w:pPr>
        <w:pStyle w:val="Heading2"/>
        <w:spacing w:after="140" w:before="280"/>
        <w:outlineLvl w:val="1"/>
      </w:pPr>
      <w:r>
        <w:t xml:space="preserve">Module 3: Machine Learning Training &amp; Evaluation</w:t>
      </w:r>
    </w:p>
    <w:p>
      <w:pPr>
        <w:spacing w:after="160" w:line="276"/>
        <w:jc w:val="both"/>
      </w:pPr>
      <w:r>
        <w:rPr>
          <w:sz w:val="22"/>
          <w:szCs w:val="22"/>
        </w:rPr>
        <w:t xml:space="preserve">Files: src/model_training.py, src/model_evaluation.py</w:t>
      </w:r>
    </w:p>
    <w:p>
      <w:pPr>
        <w:spacing w:after="160" w:line="276"/>
        <w:jc w:val="both"/>
      </w:pPr>
      <w:r>
        <w:rPr>
          <w:sz w:val="22"/>
          <w:szCs w:val="22"/>
        </w:rPr>
        <w:t xml:space="preserve">Executes 5-fold cross-validation, benchmarks four candidate regression models, evaluates holdout performance (MAE, MSE, RMSE, R²), and selects the optimal production model.</w:t>
      </w:r>
    </w:p>
    <w:p>
      <w:pPr>
        <w:pStyle w:val="Heading2"/>
        <w:spacing w:after="140" w:before="280"/>
        <w:outlineLvl w:val="1"/>
      </w:pPr>
      <w:r>
        <w:t xml:space="preserve">Module 4: Student Performance Prediction</w:t>
      </w:r>
    </w:p>
    <w:p>
      <w:pPr>
        <w:spacing w:after="160" w:line="276"/>
        <w:jc w:val="both"/>
      </w:pPr>
      <w:r>
        <w:rPr>
          <w:sz w:val="22"/>
          <w:szCs w:val="22"/>
        </w:rPr>
        <w:t xml:space="preserve">Files: src/prediction.py, src/risk_analysis.py</w:t>
      </w:r>
    </w:p>
    <w:p>
      <w:pPr>
        <w:spacing w:after="160" w:line="276"/>
        <w:jc w:val="both"/>
      </w:pPr>
      <w:r>
        <w:rPr>
          <w:sz w:val="22"/>
          <w:szCs w:val="22"/>
        </w:rPr>
        <w:t xml:space="preserve">Loads the serialized pipeline from disk, executes real-time inference on validated inputs, and categorizes performance into project-defined risk tiers.</w:t>
      </w:r>
    </w:p>
    <w:p>
      <w:pPr>
        <w:pStyle w:val="Heading2"/>
        <w:spacing w:after="140" w:before="280"/>
        <w:outlineLvl w:val="1"/>
      </w:pPr>
      <w:r>
        <w:t xml:space="preserve">Module 5: Analytics &amp; Reporting</w:t>
      </w:r>
    </w:p>
    <w:p>
      <w:pPr>
        <w:spacing w:after="160" w:line="276"/>
        <w:jc w:val="both"/>
      </w:pPr>
      <w:r>
        <w:rPr>
          <w:sz w:val="22"/>
          <w:szCs w:val="22"/>
        </w:rPr>
        <w:t xml:space="preserve">Files: src/analytics.py, src/reporting.py, src/recommendation_engine.py</w:t>
      </w:r>
    </w:p>
    <w:p>
      <w:pPr>
        <w:spacing w:after="160" w:line="276"/>
        <w:jc w:val="both"/>
      </w:pPr>
      <w:r>
        <w:rPr>
          <w:sz w:val="22"/>
          <w:szCs w:val="22"/>
        </w:rPr>
        <w:t xml:space="preserve">Extracts Random Forest feature importances, performs residual error diagnostics, generates rule-based academic advisory feedback, and creates formal summary reports.</w:t>
      </w:r>
    </w:p>
    <w:p>
      <w:pPr>
        <w:pBdr>
          <w:bottom w:val="single" w:color="BFBFBF" w:sz="6" w:space="1"/>
        </w:pBdr>
        <w:spacing w:after="200"/>
      </w:pPr>
    </w:p>
    <w:p>
      <w:pPr>
        <w:pStyle w:val="Heading1"/>
        <w:spacing w:after="200" w:before="400"/>
        <w:outlineLvl w:val="0"/>
      </w:pPr>
      <w:r>
        <w:t xml:space="preserve">5.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4E79" w:val="clear"/>
            <w:tcMar>
              <w:top w:type="dxa" w:w="80"/>
              <w:left w:type="dxa" w:w="100"/>
              <w:bottom w:type="dxa" w:w="80"/>
              <w:right w:type="dxa" w:w="100"/>
            </w:tcMar>
            <w:vAlign w:val="center"/>
          </w:tcPr>
          <w:p>
            <w:pPr>
              <w:jc w:val="left"/>
            </w:pPr>
            <w:r>
              <w:rPr>
                <w:b/>
                <w:bCs/>
                <w:color w:val="FFFFFF"/>
                <w:sz w:val="20"/>
                <w:szCs w:val="20"/>
              </w:rPr>
              <w:t xml:space="preserve">Requirement</w:t>
            </w:r>
          </w:p>
        </w:tc>
        <w:tc>
          <w:tcPr>
            <w:tcW w:type="dxa" w:w="6600"/>
            <w:shd w:fill="1F4E79"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800"/>
            <w:shd w:fill="FFFFFF" w:val="clear"/>
            <w:tcMar>
              <w:top w:type="dxa" w:w="80"/>
              <w:left w:type="dxa" w:w="100"/>
              <w:bottom w:type="dxa" w:w="80"/>
              <w:right w:type="dxa" w:w="100"/>
            </w:tcMar>
            <w:vAlign w:val="center"/>
          </w:tcPr>
          <w:p>
            <w:pPr>
              <w:jc w:val="left"/>
            </w:pPr>
            <w:r>
              <w:rPr>
                <w:b/>
                <w:bCs/>
                <w:sz w:val="20"/>
                <w:szCs w:val="20"/>
              </w:rPr>
              <w:t xml:space="preserve">Performance</w:t>
            </w:r>
          </w:p>
        </w:tc>
        <w:tc>
          <w:tcPr>
            <w:tcW w:type="dxa" w:w="6600"/>
            <w:shd w:fill="FFFFFF" w:val="clear"/>
            <w:tcMar>
              <w:top w:type="dxa" w:w="80"/>
              <w:left w:type="dxa" w:w="100"/>
              <w:bottom w:type="dxa" w:w="80"/>
              <w:right w:type="dxa" w:w="100"/>
            </w:tcMar>
            <w:vAlign w:val="center"/>
          </w:tcPr>
          <w:p>
            <w:pPr>
              <w:jc w:val="left"/>
            </w:pPr>
            <w:r>
              <w:rPr>
                <w:b w:val="false"/>
                <w:bCs w:val="false"/>
                <w:sz w:val="20"/>
                <w:szCs w:val="20"/>
              </w:rPr>
              <w:t xml:space="preserve">Sub-50ms inference latency once the pipeline is loaded into memory.</w:t>
            </w:r>
          </w:p>
        </w:tc>
      </w:tr>
      <w:tr>
        <w:tc>
          <w:tcPr>
            <w:tcW w:type="dxa" w:w="2800"/>
            <w:shd w:fill="DDEBF7" w:val="clear"/>
            <w:tcMar>
              <w:top w:type="dxa" w:w="80"/>
              <w:left w:type="dxa" w:w="100"/>
              <w:bottom w:type="dxa" w:w="80"/>
              <w:right w:type="dxa" w:w="100"/>
            </w:tcMar>
            <w:vAlign w:val="center"/>
          </w:tcPr>
          <w:p>
            <w:pPr>
              <w:jc w:val="left"/>
            </w:pPr>
            <w:r>
              <w:rPr>
                <w:b/>
                <w:bCs/>
                <w:sz w:val="20"/>
                <w:szCs w:val="20"/>
              </w:rPr>
              <w:t xml:space="preserve">Reliability &amp; Fault Tolerance</w:t>
            </w:r>
          </w:p>
        </w:tc>
        <w:tc>
          <w:tcPr>
            <w:tcW w:type="dxa" w:w="6600"/>
            <w:shd w:fill="DDEBF7" w:val="clear"/>
            <w:tcMar>
              <w:top w:type="dxa" w:w="80"/>
              <w:left w:type="dxa" w:w="100"/>
              <w:bottom w:type="dxa" w:w="80"/>
              <w:right w:type="dxa" w:w="100"/>
            </w:tcMar>
            <w:vAlign w:val="center"/>
          </w:tcPr>
          <w:p>
            <w:pPr>
              <w:jc w:val="left"/>
            </w:pPr>
            <w:r>
              <w:rPr>
                <w:b w:val="false"/>
                <w:bCs w:val="false"/>
                <w:sz w:val="20"/>
                <w:szCs w:val="20"/>
              </w:rPr>
              <w:t xml:space="preserve">Comprehensive exception handling preventing crashes from malformed inputs, missing files, or out-of-bounds numbers.</w:t>
            </w:r>
          </w:p>
        </w:tc>
      </w:tr>
      <w:tr>
        <w:tc>
          <w:tcPr>
            <w:tcW w:type="dxa" w:w="2800"/>
            <w:shd w:fill="FFFFFF" w:val="clear"/>
            <w:tcMar>
              <w:top w:type="dxa" w:w="80"/>
              <w:left w:type="dxa" w:w="100"/>
              <w:bottom w:type="dxa" w:w="80"/>
              <w:right w:type="dxa" w:w="100"/>
            </w:tcMar>
            <w:vAlign w:val="center"/>
          </w:tcPr>
          <w:p>
            <w:pPr>
              <w:jc w:val="left"/>
            </w:pPr>
            <w:r>
              <w:rPr>
                <w:b/>
                <w:bCs/>
                <w:sz w:val="20"/>
                <w:szCs w:val="20"/>
              </w:rPr>
              <w:t xml:space="preserve">Usability</w:t>
            </w:r>
          </w:p>
        </w:tc>
        <w:tc>
          <w:tcPr>
            <w:tcW w:type="dxa" w:w="6600"/>
            <w:shd w:fill="FFFFFF" w:val="clear"/>
            <w:tcMar>
              <w:top w:type="dxa" w:w="80"/>
              <w:left w:type="dxa" w:w="100"/>
              <w:bottom w:type="dxa" w:w="80"/>
              <w:right w:type="dxa" w:w="100"/>
            </w:tcMar>
            <w:vAlign w:val="center"/>
          </w:tcPr>
          <w:p>
            <w:pPr>
              <w:jc w:val="left"/>
            </w:pPr>
            <w:r>
              <w:rPr>
                <w:b w:val="false"/>
                <w:bCs w:val="false"/>
                <w:sz w:val="20"/>
                <w:szCs w:val="20"/>
              </w:rPr>
              <w:t xml:space="preserve">Clean terminal interface with formatted tables, clear prompts, and contextual error messages.</w:t>
            </w:r>
          </w:p>
        </w:tc>
      </w:tr>
      <w:tr>
        <w:tc>
          <w:tcPr>
            <w:tcW w:type="dxa" w:w="2800"/>
            <w:shd w:fill="DDEBF7" w:val="clear"/>
            <w:tcMar>
              <w:top w:type="dxa" w:w="80"/>
              <w:left w:type="dxa" w:w="100"/>
              <w:bottom w:type="dxa" w:w="80"/>
              <w:right w:type="dxa" w:w="100"/>
            </w:tcMar>
            <w:vAlign w:val="center"/>
          </w:tcPr>
          <w:p>
            <w:pPr>
              <w:jc w:val="left"/>
            </w:pPr>
            <w:r>
              <w:rPr>
                <w:b/>
                <w:bCs/>
                <w:sz w:val="20"/>
                <w:szCs w:val="20"/>
              </w:rPr>
              <w:t xml:space="preserve">Maintainability</w:t>
            </w:r>
          </w:p>
        </w:tc>
        <w:tc>
          <w:tcPr>
            <w:tcW w:type="dxa" w:w="6600"/>
            <w:shd w:fill="DDEBF7" w:val="clear"/>
            <w:tcMar>
              <w:top w:type="dxa" w:w="80"/>
              <w:left w:type="dxa" w:w="100"/>
              <w:bottom w:type="dxa" w:w="80"/>
              <w:right w:type="dxa" w:w="100"/>
            </w:tcMar>
            <w:vAlign w:val="center"/>
          </w:tcPr>
          <w:p>
            <w:pPr>
              <w:jc w:val="left"/>
            </w:pPr>
            <w:r>
              <w:rPr>
                <w:b w:val="false"/>
                <w:bCs w:val="false"/>
                <w:sz w:val="20"/>
                <w:szCs w:val="20"/>
              </w:rPr>
              <w:t xml:space="preserve">Strict separation of concerns adhering to PEP 8 standards with modular architecture.</w:t>
            </w:r>
          </w:p>
        </w:tc>
      </w:tr>
      <w:tr>
        <w:tc>
          <w:tcPr>
            <w:tcW w:type="dxa" w:w="2800"/>
            <w:shd w:fill="FFFFFF" w:val="clear"/>
            <w:tcMar>
              <w:top w:type="dxa" w:w="80"/>
              <w:left w:type="dxa" w:w="100"/>
              <w:bottom w:type="dxa" w:w="80"/>
              <w:right w:type="dxa" w:w="100"/>
            </w:tcMar>
            <w:vAlign w:val="center"/>
          </w:tcPr>
          <w:p>
            <w:pPr>
              <w:jc w:val="left"/>
            </w:pPr>
            <w:r>
              <w:rPr>
                <w:b/>
                <w:bCs/>
                <w:sz w:val="20"/>
                <w:szCs w:val="20"/>
              </w:rPr>
              <w:t xml:space="preserve">Scalability</w:t>
            </w:r>
          </w:p>
        </w:tc>
        <w:tc>
          <w:tcPr>
            <w:tcW w:type="dxa" w:w="6600"/>
            <w:shd w:fill="FFFFFF" w:val="clear"/>
            <w:tcMar>
              <w:top w:type="dxa" w:w="80"/>
              <w:left w:type="dxa" w:w="100"/>
              <w:bottom w:type="dxa" w:w="80"/>
              <w:right w:type="dxa" w:w="100"/>
            </w:tcMar>
            <w:vAlign w:val="center"/>
          </w:tcPr>
          <w:p>
            <w:pPr>
              <w:jc w:val="left"/>
            </w:pPr>
            <w:r>
              <w:rPr>
                <w:b w:val="false"/>
                <w:bCs w:val="false"/>
                <w:sz w:val="20"/>
                <w:szCs w:val="20"/>
              </w:rPr>
              <w:t xml:space="preserve">Decoupled design allows additional algorithms, features, or storage layers to be integrated seamlessly.</w:t>
            </w:r>
          </w:p>
        </w:tc>
      </w:tr>
      <w:tr>
        <w:tc>
          <w:tcPr>
            <w:tcW w:type="dxa" w:w="2800"/>
            <w:shd w:fill="DDEBF7" w:val="clear"/>
            <w:tcMar>
              <w:top w:type="dxa" w:w="80"/>
              <w:left w:type="dxa" w:w="100"/>
              <w:bottom w:type="dxa" w:w="80"/>
              <w:right w:type="dxa" w:w="100"/>
            </w:tcMar>
            <w:vAlign w:val="center"/>
          </w:tcPr>
          <w:p>
            <w:pPr>
              <w:jc w:val="left"/>
            </w:pPr>
            <w:r>
              <w:rPr>
                <w:b/>
                <w:bCs/>
                <w:sz w:val="20"/>
                <w:szCs w:val="20"/>
              </w:rPr>
              <w:t xml:space="preserve">Resource Efficiency</w:t>
            </w:r>
          </w:p>
        </w:tc>
        <w:tc>
          <w:tcPr>
            <w:tcW w:type="dxa" w:w="6600"/>
            <w:shd w:fill="DDEBF7" w:val="clear"/>
            <w:tcMar>
              <w:top w:type="dxa" w:w="80"/>
              <w:left w:type="dxa" w:w="100"/>
              <w:bottom w:type="dxa" w:w="80"/>
              <w:right w:type="dxa" w:w="100"/>
            </w:tcMar>
            <w:vAlign w:val="center"/>
          </w:tcPr>
          <w:p>
            <w:pPr>
              <w:jc w:val="left"/>
            </w:pPr>
            <w:r>
              <w:rPr>
                <w:b w:val="false"/>
                <w:bCs w:val="false"/>
                <w:sz w:val="20"/>
                <w:szCs w:val="20"/>
              </w:rPr>
              <w:t xml:space="preserve">Standalone model artifact (&lt; 5 MB), lightweight memory footprint (&lt; 300 MB RAM), zero external cloud API dependencies.</w:t>
            </w:r>
          </w:p>
        </w:tc>
      </w:tr>
      <w:tr>
        <w:tc>
          <w:tcPr>
            <w:tcW w:type="dxa" w:w="2800"/>
            <w:shd w:fill="FFFFFF" w:val="clear"/>
            <w:tcMar>
              <w:top w:type="dxa" w:w="80"/>
              <w:left w:type="dxa" w:w="100"/>
              <w:bottom w:type="dxa" w:w="80"/>
              <w:right w:type="dxa" w:w="100"/>
            </w:tcMar>
            <w:vAlign w:val="center"/>
          </w:tcPr>
          <w:p>
            <w:pPr>
              <w:jc w:val="left"/>
            </w:pPr>
            <w:r>
              <w:rPr>
                <w:b/>
                <w:bCs/>
                <w:sz w:val="20"/>
                <w:szCs w:val="20"/>
              </w:rPr>
              <w:t xml:space="preserve">Reproducibility</w:t>
            </w:r>
          </w:p>
        </w:tc>
        <w:tc>
          <w:tcPr>
            <w:tcW w:type="dxa" w:w="6600"/>
            <w:shd w:fill="FFFFFF" w:val="clear"/>
            <w:tcMar>
              <w:top w:type="dxa" w:w="80"/>
              <w:left w:type="dxa" w:w="100"/>
              <w:bottom w:type="dxa" w:w="80"/>
              <w:right w:type="dxa" w:w="100"/>
            </w:tcMar>
            <w:vAlign w:val="center"/>
          </w:tcPr>
          <w:p>
            <w:pPr>
              <w:jc w:val="left"/>
            </w:pPr>
            <w:r>
              <w:rPr>
                <w:b w:val="false"/>
                <w:bCs w:val="false"/>
                <w:sz w:val="20"/>
                <w:szCs w:val="20"/>
              </w:rPr>
              <w:t xml:space="preserve">Deterministic train-test splits and algorithmic initializations using fixed seeds (random_state = 42).</w:t>
            </w:r>
          </w:p>
        </w:tc>
      </w:tr>
    </w:tbl>
    <w:p>
      <w:pPr>
        <w:spacing w:after="200"/>
      </w:pPr>
    </w:p>
    <w:p>
      <w:pPr>
        <w:pBdr>
          <w:bottom w:val="single" w:color="BFBFBF" w:sz="6" w:space="1"/>
        </w:pBdr>
        <w:spacing w:after="200"/>
      </w:pPr>
    </w:p>
    <w:p>
      <w:pPr>
        <w:pStyle w:val="Heading1"/>
        <w:spacing w:after="200" w:before="400"/>
        <w:outlineLvl w:val="0"/>
      </w:pPr>
      <w:r>
        <w:t xml:space="preserve">6. System Architecture</w:t>
      </w:r>
    </w:p>
    <w:p>
      <w:pPr>
        <w:spacing w:after="160" w:line="276"/>
        <w:jc w:val="both"/>
      </w:pPr>
      <w:r>
        <w:rPr>
          <w:sz w:val="22"/>
          <w:szCs w:val="22"/>
        </w:rPr>
        <w:t xml:space="preserve">The system follows a linear, pipeline-oriented architecture in which a command-line interface orchestrates validated user input through a trained scikit-learn pipeline, and the resulting prediction feeds both a performance-categorization stage and a rule-based advisory engine. Analytics and reporting operate as parallel consumers of the same trained pipeline and its artifacts.</w:t>
      </w:r>
    </w:p>
    <w:p>
      <w:pPr>
        <w:pStyle w:val="Heading2"/>
        <w:spacing w:after="140" w:before="280"/>
        <w:outlineLvl w:val="1"/>
      </w:pPr>
      <w:r>
        <w:t xml:space="preserve">6.1 Architectural Flow</w:t>
      </w:r>
    </w:p>
    <w:p>
      <w:pPr>
        <w:pStyle w:val="ListParagraph"/>
        <w:numPr>
          <w:ilvl w:val="0"/>
          <w:numId w:val="1"/>
        </w:numPr>
        <w:spacing w:after="100" w:line="276"/>
      </w:pPr>
      <w:r>
        <w:t xml:space="preserve">Student/Faculty interacts with the CLI (main.py).</w:t>
      </w:r>
    </w:p>
    <w:p>
      <w:pPr>
        <w:pStyle w:val="ListParagraph"/>
        <w:numPr>
          <w:ilvl w:val="0"/>
          <w:numId w:val="1"/>
        </w:numPr>
        <w:spacing w:after="100" w:line="276"/>
      </w:pPr>
      <w:r>
        <w:t xml:space="preserve">The CLI routes input through defensive Input Validation Guards.</w:t>
      </w:r>
    </w:p>
    <w:p>
      <w:pPr>
        <w:pStyle w:val="ListParagraph"/>
        <w:numPr>
          <w:ilvl w:val="0"/>
          <w:numId w:val="1"/>
        </w:numPr>
        <w:spacing w:after="100" w:line="276"/>
      </w:pPr>
      <w:r>
        <w:t xml:space="preserve">Validated input is passed into the scikit-learn Pipeline (preprocessing + feature engineering).</w:t>
      </w:r>
    </w:p>
    <w:p>
      <w:pPr>
        <w:pStyle w:val="ListParagraph"/>
        <w:numPr>
          <w:ilvl w:val="0"/>
          <w:numId w:val="1"/>
        </w:numPr>
        <w:spacing w:after="100" w:line="276"/>
      </w:pPr>
      <w:r>
        <w:t xml:space="preserve">The Trained Regressor Model produces a continuous score prediction.</w:t>
      </w:r>
    </w:p>
    <w:p>
      <w:pPr>
        <w:pStyle w:val="ListParagraph"/>
        <w:numPr>
          <w:ilvl w:val="0"/>
          <w:numId w:val="1"/>
        </w:numPr>
        <w:spacing w:after="100" w:line="276"/>
      </w:pPr>
      <w:r>
        <w:t xml:space="preserve">The predicted score is mapped to a Performance Category / Risk Tier.</w:t>
      </w:r>
    </w:p>
    <w:p>
      <w:pPr>
        <w:pStyle w:val="ListParagraph"/>
        <w:numPr>
          <w:ilvl w:val="0"/>
          <w:numId w:val="1"/>
        </w:numPr>
        <w:spacing w:after="100" w:line="276"/>
      </w:pPr>
      <w:r>
        <w:t xml:space="preserve">The Rule-Based Academic Advisory engine converts the tier and feature deficits into actionable recommendations, returned to the CLI.</w:t>
      </w:r>
    </w:p>
    <w:p>
      <w:pPr>
        <w:pStyle w:val="ListParagraph"/>
        <w:numPr>
          <w:ilvl w:val="0"/>
          <w:numId w:val="1"/>
        </w:numPr>
        <w:spacing w:after="100" w:line="276"/>
      </w:pPr>
      <w:r>
        <w:t xml:space="preserve">Independently, the Pipeline feeds the Analytics &amp; Residual Engine, producing visualizations in outputs/plots/, and the Reporting Engine, producing formal reports in outputs/reports/.</w:t>
      </w:r>
    </w:p>
    <w:p>
      <w:pPr>
        <w:spacing w:after="160" w:line="276"/>
        <w:jc w:val="both"/>
      </w:pPr>
      <w:r>
        <w:rPr>
          <w:sz w:val="22"/>
          <w:szCs w:val="22"/>
        </w:rPr>
        <w:t xml:space="preserve">Full architectural documentation is maintained separately in docs/architecture.md.</w:t>
      </w:r>
    </w:p>
    <w:p>
      <w:pPr>
        <w:pBdr>
          <w:bottom w:val="single" w:color="BFBFBF" w:sz="6" w:space="1"/>
        </w:pBdr>
        <w:spacing w:after="200"/>
      </w:pPr>
    </w:p>
    <w:p>
      <w:pPr>
        <w:pStyle w:val="Heading1"/>
        <w:spacing w:after="200" w:before="400"/>
        <w:outlineLvl w:val="0"/>
      </w:pPr>
      <w:r>
        <w:t xml:space="preserve">7. Dataset</w:t>
      </w:r>
    </w:p>
    <w:p>
      <w:pPr>
        <w:spacing w:after="160" w:line="276"/>
        <w:jc w:val="both"/>
      </w:pPr>
      <w:r>
        <w:rPr>
          <w:sz w:val="22"/>
          <w:szCs w:val="22"/>
        </w:rPr>
        <w:t xml:space="preserve">Source: A synthesized academic benchmark modeled on the UCI Machine Learning Repository Student Performance standards and Higher Education datasets.</w:t>
      </w:r>
    </w:p>
    <w:p>
      <w:pPr>
        <w:spacing w:after="160" w:line="276"/>
        <w:jc w:val="both"/>
      </w:pPr>
      <w:r>
        <w:rPr>
          <w:sz w:val="22"/>
          <w:szCs w:val="22"/>
        </w:rPr>
        <w:t xml:space="preserve">Dimensions: 1,000 student records across 11 attributes.</w:t>
      </w:r>
    </w:p>
    <w:p>
      <w:pPr>
        <w:pStyle w:val="Heading2"/>
        <w:spacing w:after="140" w:before="280"/>
        <w:outlineLvl w:val="1"/>
      </w:pPr>
      <w:r>
        <w:t xml:space="preserve">7.1 Attribute Description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4E79"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000"/>
            <w:shd w:fill="1F4E79"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3400"/>
            <w:shd w:fill="FFFFFF" w:val="clear"/>
            <w:tcMar>
              <w:top w:type="dxa" w:w="80"/>
              <w:left w:type="dxa" w:w="100"/>
              <w:bottom w:type="dxa" w:w="80"/>
              <w:right w:type="dxa" w:w="100"/>
            </w:tcMar>
            <w:vAlign w:val="center"/>
          </w:tcPr>
          <w:p>
            <w:pPr>
              <w:jc w:val="left"/>
            </w:pPr>
            <w:r>
              <w:rPr>
                <w:b/>
                <w:bCs/>
                <w:sz w:val="20"/>
                <w:szCs w:val="20"/>
              </w:rPr>
              <w:t xml:space="preserve">Student_ID</w:t>
            </w:r>
          </w:p>
        </w:tc>
        <w:tc>
          <w:tcPr>
            <w:tcW w:type="dxa" w:w="6000"/>
            <w:shd w:fill="FFFFFF" w:val="clear"/>
            <w:tcMar>
              <w:top w:type="dxa" w:w="80"/>
              <w:left w:type="dxa" w:w="100"/>
              <w:bottom w:type="dxa" w:w="80"/>
              <w:right w:type="dxa" w:w="100"/>
            </w:tcMar>
            <w:vAlign w:val="center"/>
          </w:tcPr>
          <w:p>
            <w:pPr>
              <w:jc w:val="left"/>
            </w:pPr>
            <w:r>
              <w:rPr>
                <w:b w:val="false"/>
                <w:bCs w:val="false"/>
                <w:sz w:val="20"/>
                <w:szCs w:val="20"/>
              </w:rPr>
              <w:t xml:space="preserve">Unique identifier (dropped during modeling)</w:t>
            </w:r>
          </w:p>
        </w:tc>
      </w:tr>
      <w:tr>
        <w:tc>
          <w:tcPr>
            <w:tcW w:type="dxa" w:w="3400"/>
            <w:shd w:fill="DDEBF7" w:val="clear"/>
            <w:tcMar>
              <w:top w:type="dxa" w:w="80"/>
              <w:left w:type="dxa" w:w="100"/>
              <w:bottom w:type="dxa" w:w="80"/>
              <w:right w:type="dxa" w:w="100"/>
            </w:tcMar>
            <w:vAlign w:val="center"/>
          </w:tcPr>
          <w:p>
            <w:pPr>
              <w:jc w:val="left"/>
            </w:pPr>
            <w:r>
              <w:rPr>
                <w:b/>
                <w:bCs/>
                <w:sz w:val="20"/>
                <w:szCs w:val="20"/>
              </w:rPr>
              <w:t xml:space="preserve">Attendance_Rate</w:t>
            </w:r>
          </w:p>
        </w:tc>
        <w:tc>
          <w:tcPr>
            <w:tcW w:type="dxa" w:w="6000"/>
            <w:shd w:fill="DDEBF7" w:val="clear"/>
            <w:tcMar>
              <w:top w:type="dxa" w:w="80"/>
              <w:left w:type="dxa" w:w="100"/>
              <w:bottom w:type="dxa" w:w="80"/>
              <w:right w:type="dxa" w:w="100"/>
            </w:tcMar>
            <w:vAlign w:val="center"/>
          </w:tcPr>
          <w:p>
            <w:pPr>
              <w:jc w:val="left"/>
            </w:pPr>
            <w:r>
              <w:rPr>
                <w:b w:val="false"/>
                <w:bCs w:val="false"/>
                <w:sz w:val="20"/>
                <w:szCs w:val="20"/>
              </w:rPr>
              <w:t xml:space="preserve">Percentage of attended classes (0–100%)</w:t>
            </w:r>
          </w:p>
        </w:tc>
      </w:tr>
      <w:tr>
        <w:tc>
          <w:tcPr>
            <w:tcW w:type="dxa" w:w="3400"/>
            <w:shd w:fill="FFFFFF" w:val="clear"/>
            <w:tcMar>
              <w:top w:type="dxa" w:w="80"/>
              <w:left w:type="dxa" w:w="100"/>
              <w:bottom w:type="dxa" w:w="80"/>
              <w:right w:type="dxa" w:w="100"/>
            </w:tcMar>
            <w:vAlign w:val="center"/>
          </w:tcPr>
          <w:p>
            <w:pPr>
              <w:jc w:val="left"/>
            </w:pPr>
            <w:r>
              <w:rPr>
                <w:b/>
                <w:bCs/>
                <w:sz w:val="20"/>
                <w:szCs w:val="20"/>
              </w:rPr>
              <w:t xml:space="preserve">Study_Hours_Per_Week</w:t>
            </w:r>
          </w:p>
        </w:tc>
        <w:tc>
          <w:tcPr>
            <w:tcW w:type="dxa" w:w="6000"/>
            <w:shd w:fill="FFFFFF" w:val="clear"/>
            <w:tcMar>
              <w:top w:type="dxa" w:w="80"/>
              <w:left w:type="dxa" w:w="100"/>
              <w:bottom w:type="dxa" w:w="80"/>
              <w:right w:type="dxa" w:w="100"/>
            </w:tcMar>
            <w:vAlign w:val="center"/>
          </w:tcPr>
          <w:p>
            <w:pPr>
              <w:jc w:val="left"/>
            </w:pPr>
            <w:r>
              <w:rPr>
                <w:b w:val="false"/>
                <w:bCs w:val="false"/>
                <w:sz w:val="20"/>
                <w:szCs w:val="20"/>
              </w:rPr>
              <w:t xml:space="preserve">Weekly self-study hours (0–40)</w:t>
            </w:r>
          </w:p>
        </w:tc>
      </w:tr>
      <w:tr>
        <w:tc>
          <w:tcPr>
            <w:tcW w:type="dxa" w:w="3400"/>
            <w:shd w:fill="DDEBF7" w:val="clear"/>
            <w:tcMar>
              <w:top w:type="dxa" w:w="80"/>
              <w:left w:type="dxa" w:w="100"/>
              <w:bottom w:type="dxa" w:w="80"/>
              <w:right w:type="dxa" w:w="100"/>
            </w:tcMar>
            <w:vAlign w:val="center"/>
          </w:tcPr>
          <w:p>
            <w:pPr>
              <w:jc w:val="left"/>
            </w:pPr>
            <w:r>
              <w:rPr>
                <w:b/>
                <w:bCs/>
                <w:sz w:val="20"/>
                <w:szCs w:val="20"/>
              </w:rPr>
              <w:t xml:space="preserve">Previous_Score</w:t>
            </w:r>
          </w:p>
        </w:tc>
        <w:tc>
          <w:tcPr>
            <w:tcW w:type="dxa" w:w="6000"/>
            <w:shd w:fill="DDEBF7" w:val="clear"/>
            <w:tcMar>
              <w:top w:type="dxa" w:w="80"/>
              <w:left w:type="dxa" w:w="100"/>
              <w:bottom w:type="dxa" w:w="80"/>
              <w:right w:type="dxa" w:w="100"/>
            </w:tcMar>
            <w:vAlign w:val="center"/>
          </w:tcPr>
          <w:p>
            <w:pPr>
              <w:jc w:val="left"/>
            </w:pPr>
            <w:r>
              <w:rPr>
                <w:b w:val="false"/>
                <w:bCs w:val="false"/>
                <w:sz w:val="20"/>
                <w:szCs w:val="20"/>
              </w:rPr>
              <w:t xml:space="preserve">Prerequisite course score (0–100)</w:t>
            </w:r>
          </w:p>
        </w:tc>
      </w:tr>
      <w:tr>
        <w:tc>
          <w:tcPr>
            <w:tcW w:type="dxa" w:w="3400"/>
            <w:shd w:fill="FFFFFF" w:val="clear"/>
            <w:tcMar>
              <w:top w:type="dxa" w:w="80"/>
              <w:left w:type="dxa" w:w="100"/>
              <w:bottom w:type="dxa" w:w="80"/>
              <w:right w:type="dxa" w:w="100"/>
            </w:tcMar>
            <w:vAlign w:val="center"/>
          </w:tcPr>
          <w:p>
            <w:pPr>
              <w:jc w:val="left"/>
            </w:pPr>
            <w:r>
              <w:rPr>
                <w:b/>
                <w:bCs/>
                <w:sz w:val="20"/>
                <w:szCs w:val="20"/>
              </w:rPr>
              <w:t xml:space="preserve">Assignment_Completion_Rate</w:t>
            </w:r>
          </w:p>
        </w:tc>
        <w:tc>
          <w:tcPr>
            <w:tcW w:type="dxa" w:w="6000"/>
            <w:shd w:fill="FFFFFF" w:val="clear"/>
            <w:tcMar>
              <w:top w:type="dxa" w:w="80"/>
              <w:left w:type="dxa" w:w="100"/>
              <w:bottom w:type="dxa" w:w="80"/>
              <w:right w:type="dxa" w:w="100"/>
            </w:tcMar>
            <w:vAlign w:val="center"/>
          </w:tcPr>
          <w:p>
            <w:pPr>
              <w:jc w:val="left"/>
            </w:pPr>
            <w:r>
              <w:rPr>
                <w:b w:val="false"/>
                <w:bCs w:val="false"/>
                <w:sz w:val="20"/>
                <w:szCs w:val="20"/>
              </w:rPr>
              <w:t xml:space="preserve">Submitted homework percentage (0–100%)</w:t>
            </w:r>
          </w:p>
        </w:tc>
      </w:tr>
      <w:tr>
        <w:tc>
          <w:tcPr>
            <w:tcW w:type="dxa" w:w="3400"/>
            <w:shd w:fill="DDEBF7" w:val="clear"/>
            <w:tcMar>
              <w:top w:type="dxa" w:w="80"/>
              <w:left w:type="dxa" w:w="100"/>
              <w:bottom w:type="dxa" w:w="80"/>
              <w:right w:type="dxa" w:w="100"/>
            </w:tcMar>
            <w:vAlign w:val="center"/>
          </w:tcPr>
          <w:p>
            <w:pPr>
              <w:jc w:val="left"/>
            </w:pPr>
            <w:r>
              <w:rPr>
                <w:b/>
                <w:bCs/>
                <w:sz w:val="20"/>
                <w:szCs w:val="20"/>
              </w:rPr>
              <w:t xml:space="preserve">Internal_Assessment_Score</w:t>
            </w:r>
          </w:p>
        </w:tc>
        <w:tc>
          <w:tcPr>
            <w:tcW w:type="dxa" w:w="6000"/>
            <w:shd w:fill="DDEBF7" w:val="clear"/>
            <w:tcMar>
              <w:top w:type="dxa" w:w="80"/>
              <w:left w:type="dxa" w:w="100"/>
              <w:bottom w:type="dxa" w:w="80"/>
              <w:right w:type="dxa" w:w="100"/>
            </w:tcMar>
            <w:vAlign w:val="center"/>
          </w:tcPr>
          <w:p>
            <w:pPr>
              <w:jc w:val="left"/>
            </w:pPr>
            <w:r>
              <w:rPr>
                <w:b w:val="false"/>
                <w:bCs w:val="false"/>
                <w:sz w:val="20"/>
                <w:szCs w:val="20"/>
              </w:rPr>
              <w:t xml:space="preserve">Midterm evaluation score (0–100)</w:t>
            </w:r>
          </w:p>
        </w:tc>
      </w:tr>
      <w:tr>
        <w:tc>
          <w:tcPr>
            <w:tcW w:type="dxa" w:w="3400"/>
            <w:shd w:fill="FFFFFF" w:val="clear"/>
            <w:tcMar>
              <w:top w:type="dxa" w:w="80"/>
              <w:left w:type="dxa" w:w="100"/>
              <w:bottom w:type="dxa" w:w="80"/>
              <w:right w:type="dxa" w:w="100"/>
            </w:tcMar>
            <w:vAlign w:val="center"/>
          </w:tcPr>
          <w:p>
            <w:pPr>
              <w:jc w:val="left"/>
            </w:pPr>
            <w:r>
              <w:rPr>
                <w:b/>
                <w:bCs/>
                <w:sz w:val="20"/>
                <w:szCs w:val="20"/>
              </w:rPr>
              <w:t xml:space="preserve">Class_Participation</w:t>
            </w:r>
          </w:p>
        </w:tc>
        <w:tc>
          <w:tcPr>
            <w:tcW w:type="dxa" w:w="6000"/>
            <w:shd w:fill="FFFFFF" w:val="clear"/>
            <w:tcMar>
              <w:top w:type="dxa" w:w="80"/>
              <w:left w:type="dxa" w:w="100"/>
              <w:bottom w:type="dxa" w:w="80"/>
              <w:right w:type="dxa" w:w="100"/>
            </w:tcMar>
            <w:vAlign w:val="center"/>
          </w:tcPr>
          <w:p>
            <w:pPr>
              <w:jc w:val="left"/>
            </w:pPr>
            <w:r>
              <w:rPr>
                <w:b w:val="false"/>
                <w:bCs w:val="false"/>
                <w:sz w:val="20"/>
                <w:szCs w:val="20"/>
              </w:rPr>
              <w:t xml:space="preserve">Likert rating (1–5)</w:t>
            </w:r>
          </w:p>
        </w:tc>
      </w:tr>
      <w:tr>
        <w:tc>
          <w:tcPr>
            <w:tcW w:type="dxa" w:w="3400"/>
            <w:shd w:fill="DDEBF7" w:val="clear"/>
            <w:tcMar>
              <w:top w:type="dxa" w:w="80"/>
              <w:left w:type="dxa" w:w="100"/>
              <w:bottom w:type="dxa" w:w="80"/>
              <w:right w:type="dxa" w:w="100"/>
            </w:tcMar>
            <w:vAlign w:val="center"/>
          </w:tcPr>
          <w:p>
            <w:pPr>
              <w:jc w:val="left"/>
            </w:pPr>
            <w:r>
              <w:rPr>
                <w:b/>
                <w:bCs/>
                <w:sz w:val="20"/>
                <w:szCs w:val="20"/>
              </w:rPr>
              <w:t xml:space="preserve">Parental_Education_Level</w:t>
            </w:r>
          </w:p>
        </w:tc>
        <w:tc>
          <w:tcPr>
            <w:tcW w:type="dxa" w:w="6000"/>
            <w:shd w:fill="DDEBF7" w:val="clear"/>
            <w:tcMar>
              <w:top w:type="dxa" w:w="80"/>
              <w:left w:type="dxa" w:w="100"/>
              <w:bottom w:type="dxa" w:w="80"/>
              <w:right w:type="dxa" w:w="100"/>
            </w:tcMar>
            <w:vAlign w:val="center"/>
          </w:tcPr>
          <w:p>
            <w:pPr>
              <w:jc w:val="left"/>
            </w:pPr>
            <w:r>
              <w:rPr>
                <w:b w:val="false"/>
                <w:bCs w:val="false"/>
                <w:sz w:val="20"/>
                <w:szCs w:val="20"/>
              </w:rPr>
              <w:t xml:space="preserve">Categorical: High School, Associate, Bachelor, Master, Doctorate</w:t>
            </w:r>
          </w:p>
        </w:tc>
      </w:tr>
      <w:tr>
        <w:tc>
          <w:tcPr>
            <w:tcW w:type="dxa" w:w="3400"/>
            <w:shd w:fill="FFFFFF" w:val="clear"/>
            <w:tcMar>
              <w:top w:type="dxa" w:w="80"/>
              <w:left w:type="dxa" w:w="100"/>
              <w:bottom w:type="dxa" w:w="80"/>
              <w:right w:type="dxa" w:w="100"/>
            </w:tcMar>
            <w:vAlign w:val="center"/>
          </w:tcPr>
          <w:p>
            <w:pPr>
              <w:jc w:val="left"/>
            </w:pPr>
            <w:r>
              <w:rPr>
                <w:b/>
                <w:bCs/>
                <w:sz w:val="20"/>
                <w:szCs w:val="20"/>
              </w:rPr>
              <w:t xml:space="preserve">Internet_Access</w:t>
            </w:r>
          </w:p>
        </w:tc>
        <w:tc>
          <w:tcPr>
            <w:tcW w:type="dxa" w:w="6000"/>
            <w:shd w:fill="FFFFFF" w:val="clear"/>
            <w:tcMar>
              <w:top w:type="dxa" w:w="80"/>
              <w:left w:type="dxa" w:w="100"/>
              <w:bottom w:type="dxa" w:w="80"/>
              <w:right w:type="dxa" w:w="100"/>
            </w:tcMar>
            <w:vAlign w:val="center"/>
          </w:tcPr>
          <w:p>
            <w:pPr>
              <w:jc w:val="left"/>
            </w:pPr>
            <w:r>
              <w:rPr>
                <w:b w:val="false"/>
                <w:bCs w:val="false"/>
                <w:sz w:val="20"/>
                <w:szCs w:val="20"/>
              </w:rPr>
              <w:t xml:space="preserve">Binary: Yes / No</w:t>
            </w:r>
          </w:p>
        </w:tc>
      </w:tr>
      <w:tr>
        <w:tc>
          <w:tcPr>
            <w:tcW w:type="dxa" w:w="3400"/>
            <w:shd w:fill="DDEBF7" w:val="clear"/>
            <w:tcMar>
              <w:top w:type="dxa" w:w="80"/>
              <w:left w:type="dxa" w:w="100"/>
              <w:bottom w:type="dxa" w:w="80"/>
              <w:right w:type="dxa" w:w="100"/>
            </w:tcMar>
            <w:vAlign w:val="center"/>
          </w:tcPr>
          <w:p>
            <w:pPr>
              <w:jc w:val="left"/>
            </w:pPr>
            <w:r>
              <w:rPr>
                <w:b/>
                <w:bCs/>
                <w:sz w:val="20"/>
                <w:szCs w:val="20"/>
              </w:rPr>
              <w:t xml:space="preserve">Extra_Curricular</w:t>
            </w:r>
          </w:p>
        </w:tc>
        <w:tc>
          <w:tcPr>
            <w:tcW w:type="dxa" w:w="6000"/>
            <w:shd w:fill="DDEBF7" w:val="clear"/>
            <w:tcMar>
              <w:top w:type="dxa" w:w="80"/>
              <w:left w:type="dxa" w:w="100"/>
              <w:bottom w:type="dxa" w:w="80"/>
              <w:right w:type="dxa" w:w="100"/>
            </w:tcMar>
            <w:vAlign w:val="center"/>
          </w:tcPr>
          <w:p>
            <w:pPr>
              <w:jc w:val="left"/>
            </w:pPr>
            <w:r>
              <w:rPr>
                <w:b w:val="false"/>
                <w:bCs w:val="false"/>
                <w:sz w:val="20"/>
                <w:szCs w:val="20"/>
              </w:rPr>
              <w:t xml:space="preserve">Binary: Yes / No</w:t>
            </w:r>
          </w:p>
        </w:tc>
      </w:tr>
      <w:tr>
        <w:tc>
          <w:tcPr>
            <w:tcW w:type="dxa" w:w="3400"/>
            <w:shd w:fill="FFFFFF" w:val="clear"/>
            <w:tcMar>
              <w:top w:type="dxa" w:w="80"/>
              <w:left w:type="dxa" w:w="100"/>
              <w:bottom w:type="dxa" w:w="80"/>
              <w:right w:type="dxa" w:w="100"/>
            </w:tcMar>
            <w:vAlign w:val="center"/>
          </w:tcPr>
          <w:p>
            <w:pPr>
              <w:jc w:val="left"/>
            </w:pPr>
            <w:r>
              <w:rPr>
                <w:b/>
                <w:bCs/>
                <w:sz w:val="20"/>
                <w:szCs w:val="20"/>
              </w:rPr>
              <w:t xml:space="preserve">Final_Exam_Score</w:t>
            </w:r>
          </w:p>
        </w:tc>
        <w:tc>
          <w:tcPr>
            <w:tcW w:type="dxa" w:w="6000"/>
            <w:shd w:fill="FFFFFF" w:val="clear"/>
            <w:tcMar>
              <w:top w:type="dxa" w:w="80"/>
              <w:left w:type="dxa" w:w="100"/>
              <w:bottom w:type="dxa" w:w="80"/>
              <w:right w:type="dxa" w:w="100"/>
            </w:tcMar>
            <w:vAlign w:val="center"/>
          </w:tcPr>
          <w:p>
            <w:pPr>
              <w:jc w:val="left"/>
            </w:pPr>
            <w:r>
              <w:rPr>
                <w:b w:val="false"/>
                <w:bCs w:val="false"/>
                <w:sz w:val="20"/>
                <w:szCs w:val="20"/>
              </w:rPr>
              <w:t xml:space="preserve">Target continuous variable (0–100)</w:t>
            </w:r>
          </w:p>
        </w:tc>
      </w:tr>
    </w:tbl>
    <w:p>
      <w:pPr>
        <w:spacing w:after="200"/>
      </w:pPr>
    </w:p>
    <w:p>
      <w:pPr>
        <w:spacing w:after="160" w:line="276"/>
        <w:jc w:val="both"/>
      </w:pPr>
      <w:r>
        <w:rPr>
          <w:sz w:val="22"/>
          <w:szCs w:val="22"/>
        </w:rPr>
        <w:t xml:space="preserve">Full dataset details and descriptive statistics are maintained separately in DATASET.md.</w:t>
      </w:r>
    </w:p>
    <w:p>
      <w:pPr>
        <w:pBdr>
          <w:bottom w:val="single" w:color="BFBFBF" w:sz="6" w:space="1"/>
        </w:pBdr>
        <w:spacing w:after="200"/>
      </w:pPr>
    </w:p>
    <w:p>
      <w:pPr>
        <w:pStyle w:val="Heading1"/>
        <w:spacing w:after="200" w:before="400"/>
        <w:outlineLvl w:val="0"/>
      </w:pPr>
      <w:r>
        <w:t xml:space="preserve">8. Preprocessing Pipeline</w:t>
      </w:r>
    </w:p>
    <w:p>
      <w:pPr>
        <w:pStyle w:val="Heading2"/>
        <w:spacing w:after="140" w:before="280"/>
        <w:outlineLvl w:val="1"/>
      </w:pPr>
      <w:r>
        <w:t xml:space="preserve">8.1 Numerical Predictors</w:t>
      </w:r>
    </w:p>
    <w:p>
      <w:pPr>
        <w:pStyle w:val="ListParagraph"/>
        <w:numPr>
          <w:ilvl w:val="0"/>
          <w:numId w:val="1"/>
        </w:numPr>
        <w:spacing w:after="100" w:line="276"/>
      </w:pPr>
      <w:r>
        <w:t xml:space="preserve">Imputation: SimpleImputer(strategy='median') for robustness against extreme values.</w:t>
      </w:r>
    </w:p>
    <w:p>
      <w:pPr>
        <w:pStyle w:val="ListParagraph"/>
        <w:numPr>
          <w:ilvl w:val="0"/>
          <w:numId w:val="1"/>
        </w:numPr>
        <w:spacing w:after="100" w:line="276"/>
      </w:pPr>
      <w:r>
        <w:t xml:space="preserve">Normalization: StandardScaler() ensuring zero mean and unit variance.</w:t>
      </w:r>
    </w:p>
    <w:p>
      <w:pPr>
        <w:pStyle w:val="Heading2"/>
        <w:spacing w:after="140" w:before="280"/>
        <w:outlineLvl w:val="1"/>
      </w:pPr>
      <w:r>
        <w:t xml:space="preserve">8.2 Categorical Predictors</w:t>
      </w:r>
    </w:p>
    <w:p>
      <w:pPr>
        <w:pStyle w:val="ListParagraph"/>
        <w:numPr>
          <w:ilvl w:val="0"/>
          <w:numId w:val="1"/>
        </w:numPr>
        <w:spacing w:after="100" w:line="276"/>
      </w:pPr>
      <w:r>
        <w:t xml:space="preserve">Imputation: SimpleImputer(strategy='most_frequent').</w:t>
      </w:r>
    </w:p>
    <w:p>
      <w:pPr>
        <w:pStyle w:val="ListParagraph"/>
        <w:numPr>
          <w:ilvl w:val="0"/>
          <w:numId w:val="1"/>
        </w:numPr>
        <w:spacing w:after="100" w:line="276"/>
      </w:pPr>
      <w:r>
        <w:t xml:space="preserve">Encoding: OneHotEncoder(handle_unknown='ignore', sparse_output=False).</w:t>
      </w:r>
    </w:p>
    <w:p>
      <w:pPr>
        <w:pStyle w:val="Heading2"/>
        <w:spacing w:after="140" w:before="280"/>
        <w:outlineLvl w:val="1"/>
      </w:pPr>
      <w:r>
        <w:t xml:space="preserve">8.3 Leakage Safeguard</w:t>
      </w:r>
    </w:p>
    <w:p>
      <w:pPr>
        <w:spacing w:after="160" w:line="276"/>
        <w:jc w:val="both"/>
      </w:pPr>
      <w:r>
        <w:rPr>
          <w:sz w:val="22"/>
          <w:szCs w:val="22"/>
        </w:rPr>
        <w:t xml:space="preserve">Imputers and scalers are fitted exclusively on the training partition (X_train) inside a scikit-learn Pipeline, guaranteeing that no information from the held-out test partition influences preprocessing statistics.</w:t>
      </w:r>
    </w:p>
    <w:p>
      <w:pPr>
        <w:pBdr>
          <w:bottom w:val="single" w:color="BFBFBF" w:sz="6" w:space="1"/>
        </w:pBdr>
        <w:spacing w:after="200"/>
      </w:pPr>
    </w:p>
    <w:p>
      <w:pPr>
        <w:pStyle w:val="Heading1"/>
        <w:spacing w:after="200" w:before="400"/>
        <w:outlineLvl w:val="0"/>
      </w:pPr>
      <w:r>
        <w:t xml:space="preserve">9. Feature Engineering</w:t>
      </w:r>
    </w:p>
    <w:p>
      <w:pPr>
        <w:spacing w:after="160" w:line="276"/>
        <w:jc w:val="both"/>
      </w:pPr>
      <w:r>
        <w:rPr>
          <w:sz w:val="22"/>
          <w:szCs w:val="22"/>
        </w:rPr>
        <w:t xml:space="preserve">Three domain-specific academic features are derived to enrich the raw formative indicators:</w:t>
      </w:r>
    </w:p>
    <w:p>
      <w:pPr>
        <w:pStyle w:val="Heading2"/>
        <w:spacing w:after="140" w:before="280"/>
        <w:outlineLvl w:val="1"/>
      </w:pPr>
      <w:r>
        <w:t xml:space="preserve">9.1 Academic Engagement Index</w:t>
      </w:r>
    </w:p>
    <w:p>
      <w:pPr>
        <w:spacing w:after="160" w:line="276"/>
        <w:jc w:val="both"/>
      </w:pPr>
      <w:r>
        <w:rPr>
          <w:sz w:val="22"/>
          <w:szCs w:val="22"/>
        </w:rPr>
        <w:t xml:space="preserve">Engagement = 0.5 × Attendance + 0.5 × Assignment Completion</w:t>
      </w:r>
    </w:p>
    <w:p>
      <w:pPr>
        <w:spacing w:after="160" w:line="276"/>
        <w:jc w:val="both"/>
      </w:pPr>
      <w:r>
        <w:rPr>
          <w:sz w:val="22"/>
          <w:szCs w:val="22"/>
        </w:rPr>
        <w:t xml:space="preserve">Rationale: Regular attendance and homework submission together represent behavioral diligence.</w:t>
      </w:r>
    </w:p>
    <w:p>
      <w:pPr>
        <w:pStyle w:val="Heading2"/>
        <w:spacing w:after="140" w:before="280"/>
        <w:outlineLvl w:val="1"/>
      </w:pPr>
      <w:r>
        <w:t xml:space="preserve">9.2 Assessment Momentum</w:t>
      </w:r>
    </w:p>
    <w:p>
      <w:pPr>
        <w:spacing w:after="160" w:line="276"/>
        <w:jc w:val="both"/>
      </w:pPr>
      <w:r>
        <w:rPr>
          <w:sz w:val="22"/>
          <w:szCs w:val="22"/>
        </w:rPr>
        <w:t xml:space="preserve">Momentum = Internal Assessment − Previous Score</w:t>
      </w:r>
    </w:p>
    <w:p>
      <w:pPr>
        <w:spacing w:after="160" w:line="276"/>
        <w:jc w:val="both"/>
      </w:pPr>
      <w:r>
        <w:rPr>
          <w:sz w:val="22"/>
          <w:szCs w:val="22"/>
        </w:rPr>
        <w:t xml:space="preserve">Rationale: Captures recent academic trajectory; positive values indicate upward growth.</w:t>
      </w:r>
    </w:p>
    <w:p>
      <w:pPr>
        <w:pStyle w:val="Heading2"/>
        <w:spacing w:after="140" w:before="280"/>
        <w:outlineLvl w:val="1"/>
      </w:pPr>
      <w:r>
        <w:t xml:space="preserve">9.3 Study Efficiency Ratio</w:t>
      </w:r>
    </w:p>
    <w:p>
      <w:pPr>
        <w:spacing w:after="160" w:line="276"/>
        <w:jc w:val="both"/>
      </w:pPr>
      <w:r>
        <w:rPr>
          <w:sz w:val="22"/>
          <w:szCs w:val="22"/>
        </w:rPr>
        <w:t xml:space="preserve">Efficiency = Previous Score / (Study Hours + 1.0)</w:t>
      </w:r>
    </w:p>
    <w:p>
      <w:pPr>
        <w:spacing w:after="160" w:line="276"/>
        <w:jc w:val="both"/>
      </w:pPr>
      <w:r>
        <w:rPr>
          <w:sz w:val="22"/>
          <w:szCs w:val="22"/>
        </w:rPr>
        <w:t xml:space="preserve">Rationale: Quantifies academic yield per hour invested, highlighting potential study technique inefficiencies.</w:t>
      </w:r>
    </w:p>
    <w:p>
      <w:pPr>
        <w:pBdr>
          <w:bottom w:val="single" w:color="BFBFBF" w:sz="6" w:space="1"/>
        </w:pBdr>
        <w:spacing w:after="200"/>
      </w:pPr>
    </w:p>
    <w:p>
      <w:pPr>
        <w:pStyle w:val="Heading1"/>
        <w:spacing w:after="200" w:before="400"/>
        <w:outlineLvl w:val="0"/>
      </w:pPr>
      <w:r>
        <w:t xml:space="preserve">10. Machine Learning Algorithms Evaluated</w:t>
      </w:r>
    </w:p>
    <w:p>
      <w:pPr>
        <w:pStyle w:val="ListParagraph"/>
        <w:numPr>
          <w:ilvl w:val="0"/>
          <w:numId w:val="3"/>
        </w:numPr>
        <w:spacing w:after="100" w:line="276"/>
      </w:pPr>
      <w:r>
        <w:t xml:space="preserve">Linear Regression (Ordinary Least Squares): a fast baseline modeling linear feature-target relationships.</w:t>
      </w:r>
    </w:p>
    <w:p>
      <w:pPr>
        <w:pStyle w:val="ListParagraph"/>
        <w:numPr>
          <w:ilvl w:val="0"/>
          <w:numId w:val="3"/>
        </w:numPr>
        <w:spacing w:after="100" w:line="276"/>
      </w:pPr>
      <w:r>
        <w:t xml:space="preserve">Decision Tree Regressor: a non-parametric tree splitting model capturing non-linear interactions (max_depth = 6).</w:t>
      </w:r>
    </w:p>
    <w:p>
      <w:pPr>
        <w:pStyle w:val="ListParagraph"/>
        <w:numPr>
          <w:ilvl w:val="0"/>
          <w:numId w:val="3"/>
        </w:numPr>
        <w:spacing w:after="100" w:line="276"/>
      </w:pPr>
      <w:r>
        <w:t xml:space="preserve">Random Forest Regressor: an ensemble bagging of 100 decision trees reducing variance and providing feature importances (n_estimators = 100, max_depth = 8).</w:t>
      </w:r>
    </w:p>
    <w:p>
      <w:pPr>
        <w:pStyle w:val="ListParagraph"/>
        <w:numPr>
          <w:ilvl w:val="0"/>
          <w:numId w:val="3"/>
        </w:numPr>
        <w:spacing w:after="100" w:line="276"/>
      </w:pPr>
      <w:r>
        <w:t xml:space="preserve">Gradient Boosting Regressor: a sequential boosting model optimizing squared error residuals iteratively (n_estimators = 100, learning_rate = 0.08, max_depth = 4).</w:t>
      </w:r>
    </w:p>
    <w:p>
      <w:pPr>
        <w:pBdr>
          <w:bottom w:val="single" w:color="BFBFBF" w:sz="6" w:space="1"/>
        </w:pBdr>
        <w:spacing w:after="200"/>
      </w:pPr>
    </w:p>
    <w:p>
      <w:pPr>
        <w:pStyle w:val="Heading1"/>
        <w:spacing w:after="200" w:before="400"/>
        <w:outlineLvl w:val="0"/>
      </w:pPr>
      <w:r>
        <w:t xml:space="preserve">11. Model Evaluation &amp; Comparison</w:t>
      </w:r>
    </w:p>
    <w:p>
      <w:pPr>
        <w:spacing w:after="160" w:line="276"/>
        <w:jc w:val="both"/>
      </w:pPr>
      <w:r>
        <w:rPr>
          <w:sz w:val="22"/>
          <w:szCs w:val="22"/>
        </w:rPr>
        <w:t xml:space="preserve">All four candidate models were evaluated on an independent 20% holdout test partition (200 students), with 5-fold cross-validation performed on the training partition for stability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100"/>
        <w:gridCol w:w="1500"/>
        <w:gridCol w:w="1500"/>
      </w:tblGrid>
      <w:tr>
        <w:trPr>
          <w:tblHeader/>
        </w:trPr>
        <w:tc>
          <w:tcPr>
            <w:tcW w:type="dxa" w:w="2000"/>
            <w:shd w:fill="1F4E79" w:val="clear"/>
            <w:tcMar>
              <w:top w:type="dxa" w:w="80"/>
              <w:left w:type="dxa" w:w="100"/>
              <w:bottom w:type="dxa" w:w="80"/>
              <w:right w:type="dxa" w:w="100"/>
            </w:tcMar>
            <w:vAlign w:val="center"/>
          </w:tcPr>
          <w:p>
            <w:pPr>
              <w:jc w:val="left"/>
            </w:pPr>
            <w:r>
              <w:rPr>
                <w:b/>
                <w:bCs/>
                <w:color w:val="FFFFFF"/>
                <w:sz w:val="20"/>
                <w:szCs w:val="20"/>
              </w:rPr>
              <w:t xml:space="preserve">Model</w:t>
            </w:r>
          </w:p>
        </w:tc>
        <w:tc>
          <w:tcPr>
            <w:tcW w:type="dxa" w:w="1100"/>
            <w:shd w:fill="1F4E79" w:val="clear"/>
            <w:tcMar>
              <w:top w:type="dxa" w:w="80"/>
              <w:left w:type="dxa" w:w="100"/>
              <w:bottom w:type="dxa" w:w="80"/>
              <w:right w:type="dxa" w:w="100"/>
            </w:tcMar>
            <w:vAlign w:val="center"/>
          </w:tcPr>
          <w:p>
            <w:pPr>
              <w:jc w:val="center"/>
            </w:pPr>
            <w:r>
              <w:rPr>
                <w:b/>
                <w:bCs/>
                <w:color w:val="FFFFFF"/>
                <w:sz w:val="20"/>
                <w:szCs w:val="20"/>
              </w:rPr>
              <w:t xml:space="preserve">MAE</w:t>
            </w:r>
          </w:p>
        </w:tc>
        <w:tc>
          <w:tcPr>
            <w:tcW w:type="dxa" w:w="1100"/>
            <w:shd w:fill="1F4E79" w:val="clear"/>
            <w:tcMar>
              <w:top w:type="dxa" w:w="80"/>
              <w:left w:type="dxa" w:w="100"/>
              <w:bottom w:type="dxa" w:w="80"/>
              <w:right w:type="dxa" w:w="100"/>
            </w:tcMar>
            <w:vAlign w:val="center"/>
          </w:tcPr>
          <w:p>
            <w:pPr>
              <w:jc w:val="center"/>
            </w:pPr>
            <w:r>
              <w:rPr>
                <w:b/>
                <w:bCs/>
                <w:color w:val="FFFFFF"/>
                <w:sz w:val="20"/>
                <w:szCs w:val="20"/>
              </w:rPr>
              <w:t xml:space="preserve">MSE</w:t>
            </w:r>
          </w:p>
        </w:tc>
        <w:tc>
          <w:tcPr>
            <w:tcW w:type="dxa" w:w="1100"/>
            <w:shd w:fill="1F4E79" w:val="clear"/>
            <w:tcMar>
              <w:top w:type="dxa" w:w="80"/>
              <w:left w:type="dxa" w:w="100"/>
              <w:bottom w:type="dxa" w:w="80"/>
              <w:right w:type="dxa" w:w="100"/>
            </w:tcMar>
            <w:vAlign w:val="center"/>
          </w:tcPr>
          <w:p>
            <w:pPr>
              <w:jc w:val="center"/>
            </w:pPr>
            <w:r>
              <w:rPr>
                <w:b/>
                <w:bCs/>
                <w:color w:val="FFFFFF"/>
                <w:sz w:val="20"/>
                <w:szCs w:val="20"/>
              </w:rPr>
              <w:t xml:space="preserve">RMSE</w:t>
            </w:r>
          </w:p>
        </w:tc>
        <w:tc>
          <w:tcPr>
            <w:tcW w:type="dxa" w:w="1100"/>
            <w:shd w:fill="1F4E79" w:val="clear"/>
            <w:tcMar>
              <w:top w:type="dxa" w:w="80"/>
              <w:left w:type="dxa" w:w="100"/>
              <w:bottom w:type="dxa" w:w="80"/>
              <w:right w:type="dxa" w:w="100"/>
            </w:tcMar>
            <w:vAlign w:val="center"/>
          </w:tcPr>
          <w:p>
            <w:pPr>
              <w:jc w:val="center"/>
            </w:pPr>
            <w:r>
              <w:rPr>
                <w:b/>
                <w:bCs/>
                <w:color w:val="FFFFFF"/>
                <w:sz w:val="20"/>
                <w:szCs w:val="20"/>
              </w:rPr>
              <w:t xml:space="preserve">R²</w:t>
            </w:r>
          </w:p>
        </w:tc>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CV R² Mean</w:t>
            </w:r>
          </w:p>
        </w:tc>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CV R² Std</w:t>
            </w:r>
          </w:p>
        </w:tc>
      </w:tr>
      <w:tr>
        <w:tc>
          <w:tcPr>
            <w:tcW w:type="dxa" w:w="2000"/>
            <w:shd w:fill="FFFFFF" w:val="clear"/>
            <w:tcMar>
              <w:top w:type="dxa" w:w="80"/>
              <w:left w:type="dxa" w:w="100"/>
              <w:bottom w:type="dxa" w:w="80"/>
              <w:right w:type="dxa" w:w="100"/>
            </w:tcMar>
            <w:vAlign w:val="center"/>
          </w:tcPr>
          <w:p>
            <w:pPr>
              <w:jc w:val="left"/>
            </w:pPr>
            <w:r>
              <w:rPr>
                <w:b/>
                <w:bCs/>
                <w:sz w:val="20"/>
                <w:szCs w:val="20"/>
              </w:rPr>
              <w:t xml:space="preserve">Linear Regression</w:t>
            </w:r>
          </w:p>
        </w:tc>
        <w:tc>
          <w:tcPr>
            <w:tcW w:type="dxa" w:w="1100"/>
            <w:shd w:fill="FFFFFF" w:val="clear"/>
            <w:tcMar>
              <w:top w:type="dxa" w:w="80"/>
              <w:left w:type="dxa" w:w="100"/>
              <w:bottom w:type="dxa" w:w="80"/>
              <w:right w:type="dxa" w:w="100"/>
            </w:tcMar>
            <w:vAlign w:val="center"/>
          </w:tcPr>
          <w:p>
            <w:pPr>
              <w:jc w:val="center"/>
            </w:pPr>
            <w:r>
              <w:rPr>
                <w:b w:val="false"/>
                <w:bCs w:val="false"/>
                <w:sz w:val="20"/>
                <w:szCs w:val="20"/>
              </w:rPr>
              <w:t xml:space="preserve">3.7153</w:t>
            </w:r>
          </w:p>
        </w:tc>
        <w:tc>
          <w:tcPr>
            <w:tcW w:type="dxa" w:w="1100"/>
            <w:shd w:fill="FFFFFF" w:val="clear"/>
            <w:tcMar>
              <w:top w:type="dxa" w:w="80"/>
              <w:left w:type="dxa" w:w="100"/>
              <w:bottom w:type="dxa" w:w="80"/>
              <w:right w:type="dxa" w:w="100"/>
            </w:tcMar>
            <w:vAlign w:val="center"/>
          </w:tcPr>
          <w:p>
            <w:pPr>
              <w:jc w:val="center"/>
            </w:pPr>
            <w:r>
              <w:rPr>
                <w:b w:val="false"/>
                <w:bCs w:val="false"/>
                <w:sz w:val="20"/>
                <w:szCs w:val="20"/>
              </w:rPr>
              <w:t xml:space="preserve">20.5688</w:t>
            </w:r>
          </w:p>
        </w:tc>
        <w:tc>
          <w:tcPr>
            <w:tcW w:type="dxa" w:w="1100"/>
            <w:shd w:fill="FFFFFF" w:val="clear"/>
            <w:tcMar>
              <w:top w:type="dxa" w:w="80"/>
              <w:left w:type="dxa" w:w="100"/>
              <w:bottom w:type="dxa" w:w="80"/>
              <w:right w:type="dxa" w:w="100"/>
            </w:tcMar>
            <w:vAlign w:val="center"/>
          </w:tcPr>
          <w:p>
            <w:pPr>
              <w:jc w:val="center"/>
            </w:pPr>
            <w:r>
              <w:rPr>
                <w:b w:val="false"/>
                <w:bCs w:val="false"/>
                <w:sz w:val="20"/>
                <w:szCs w:val="20"/>
              </w:rPr>
              <w:t xml:space="preserve">4.5353</w:t>
            </w:r>
          </w:p>
        </w:tc>
        <w:tc>
          <w:tcPr>
            <w:tcW w:type="dxa" w:w="1100"/>
            <w:shd w:fill="FFFFFF" w:val="clear"/>
            <w:tcMar>
              <w:top w:type="dxa" w:w="80"/>
              <w:left w:type="dxa" w:w="100"/>
              <w:bottom w:type="dxa" w:w="80"/>
              <w:right w:type="dxa" w:w="100"/>
            </w:tcMar>
            <w:vAlign w:val="center"/>
          </w:tcPr>
          <w:p>
            <w:pPr>
              <w:jc w:val="center"/>
            </w:pPr>
            <w:r>
              <w:rPr>
                <w:b w:val="false"/>
                <w:bCs w:val="false"/>
                <w:sz w:val="20"/>
                <w:szCs w:val="20"/>
              </w:rPr>
              <w:t xml:space="preserve">0.7348</w:t>
            </w:r>
          </w:p>
        </w:tc>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0.1885</w:t>
            </w:r>
          </w:p>
        </w:tc>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1.0004</w:t>
            </w:r>
          </w:p>
        </w:tc>
      </w:tr>
      <w:tr>
        <w:tc>
          <w:tcPr>
            <w:tcW w:type="dxa" w:w="2000"/>
            <w:shd w:fill="DDEBF7" w:val="clear"/>
            <w:tcMar>
              <w:top w:type="dxa" w:w="80"/>
              <w:left w:type="dxa" w:w="100"/>
              <w:bottom w:type="dxa" w:w="80"/>
              <w:right w:type="dxa" w:w="100"/>
            </w:tcMar>
            <w:vAlign w:val="center"/>
          </w:tcPr>
          <w:p>
            <w:pPr>
              <w:jc w:val="left"/>
            </w:pPr>
            <w:r>
              <w:rPr>
                <w:b/>
                <w:bCs/>
                <w:sz w:val="20"/>
                <w:szCs w:val="20"/>
              </w:rPr>
              <w:t xml:space="preserve">Gradient Boosting</w:t>
            </w:r>
          </w:p>
        </w:tc>
        <w:tc>
          <w:tcPr>
            <w:tcW w:type="dxa" w:w="1100"/>
            <w:shd w:fill="DDEBF7" w:val="clear"/>
            <w:tcMar>
              <w:top w:type="dxa" w:w="80"/>
              <w:left w:type="dxa" w:w="100"/>
              <w:bottom w:type="dxa" w:w="80"/>
              <w:right w:type="dxa" w:w="100"/>
            </w:tcMar>
            <w:vAlign w:val="center"/>
          </w:tcPr>
          <w:p>
            <w:pPr>
              <w:jc w:val="center"/>
            </w:pPr>
            <w:r>
              <w:rPr>
                <w:b w:val="false"/>
                <w:bCs w:val="false"/>
                <w:sz w:val="20"/>
                <w:szCs w:val="20"/>
              </w:rPr>
              <w:t xml:space="preserve">4.1959</w:t>
            </w:r>
          </w:p>
        </w:tc>
        <w:tc>
          <w:tcPr>
            <w:tcW w:type="dxa" w:w="1100"/>
            <w:shd w:fill="DDEBF7" w:val="clear"/>
            <w:tcMar>
              <w:top w:type="dxa" w:w="80"/>
              <w:left w:type="dxa" w:w="100"/>
              <w:bottom w:type="dxa" w:w="80"/>
              <w:right w:type="dxa" w:w="100"/>
            </w:tcMar>
            <w:vAlign w:val="center"/>
          </w:tcPr>
          <w:p>
            <w:pPr>
              <w:jc w:val="center"/>
            </w:pPr>
            <w:r>
              <w:rPr>
                <w:b w:val="false"/>
                <w:bCs w:val="false"/>
                <w:sz w:val="20"/>
                <w:szCs w:val="20"/>
              </w:rPr>
              <w:t xml:space="preserve">27.1812</w:t>
            </w:r>
          </w:p>
        </w:tc>
        <w:tc>
          <w:tcPr>
            <w:tcW w:type="dxa" w:w="1100"/>
            <w:shd w:fill="DDEBF7" w:val="clear"/>
            <w:tcMar>
              <w:top w:type="dxa" w:w="80"/>
              <w:left w:type="dxa" w:w="100"/>
              <w:bottom w:type="dxa" w:w="80"/>
              <w:right w:type="dxa" w:w="100"/>
            </w:tcMar>
            <w:vAlign w:val="center"/>
          </w:tcPr>
          <w:p>
            <w:pPr>
              <w:jc w:val="center"/>
            </w:pPr>
            <w:r>
              <w:rPr>
                <w:b w:val="false"/>
                <w:bCs w:val="false"/>
                <w:sz w:val="20"/>
                <w:szCs w:val="20"/>
              </w:rPr>
              <w:t xml:space="preserve">5.2136</w:t>
            </w:r>
          </w:p>
        </w:tc>
        <w:tc>
          <w:tcPr>
            <w:tcW w:type="dxa" w:w="1100"/>
            <w:shd w:fill="DDEBF7" w:val="clear"/>
            <w:tcMar>
              <w:top w:type="dxa" w:w="80"/>
              <w:left w:type="dxa" w:w="100"/>
              <w:bottom w:type="dxa" w:w="80"/>
              <w:right w:type="dxa" w:w="100"/>
            </w:tcMar>
            <w:vAlign w:val="center"/>
          </w:tcPr>
          <w:p>
            <w:pPr>
              <w:jc w:val="center"/>
            </w:pPr>
            <w:r>
              <w:rPr>
                <w:b w:val="false"/>
                <w:bCs w:val="false"/>
                <w:sz w:val="20"/>
                <w:szCs w:val="20"/>
              </w:rPr>
              <w:t xml:space="preserve">0.6495</w:t>
            </w:r>
          </w:p>
        </w:tc>
        <w:tc>
          <w:tcPr>
            <w:tcW w:type="dxa" w:w="1500"/>
            <w:shd w:fill="DDEBF7" w:val="clear"/>
            <w:tcMar>
              <w:top w:type="dxa" w:w="80"/>
              <w:left w:type="dxa" w:w="100"/>
              <w:bottom w:type="dxa" w:w="80"/>
              <w:right w:type="dxa" w:w="100"/>
            </w:tcMar>
            <w:vAlign w:val="center"/>
          </w:tcPr>
          <w:p>
            <w:pPr>
              <w:jc w:val="center"/>
            </w:pPr>
            <w:r>
              <w:rPr>
                <w:b w:val="false"/>
                <w:bCs w:val="false"/>
                <w:sz w:val="20"/>
                <w:szCs w:val="20"/>
              </w:rPr>
              <w:t xml:space="preserve">0.6775</w:t>
            </w:r>
          </w:p>
        </w:tc>
        <w:tc>
          <w:tcPr>
            <w:tcW w:type="dxa" w:w="1500"/>
            <w:shd w:fill="DDEBF7" w:val="clear"/>
            <w:tcMar>
              <w:top w:type="dxa" w:w="80"/>
              <w:left w:type="dxa" w:w="100"/>
              <w:bottom w:type="dxa" w:w="80"/>
              <w:right w:type="dxa" w:w="100"/>
            </w:tcMar>
            <w:vAlign w:val="center"/>
          </w:tcPr>
          <w:p>
            <w:pPr>
              <w:jc w:val="center"/>
            </w:pPr>
            <w:r>
              <w:rPr>
                <w:b w:val="false"/>
                <w:bCs w:val="false"/>
                <w:sz w:val="20"/>
                <w:szCs w:val="20"/>
              </w:rPr>
              <w:t xml:space="preserve">0.0315</w:t>
            </w:r>
          </w:p>
        </w:tc>
      </w:tr>
      <w:tr>
        <w:tc>
          <w:tcPr>
            <w:tcW w:type="dxa" w:w="2000"/>
            <w:shd w:fill="FFFFFF" w:val="clear"/>
            <w:tcMar>
              <w:top w:type="dxa" w:w="80"/>
              <w:left w:type="dxa" w:w="100"/>
              <w:bottom w:type="dxa" w:w="80"/>
              <w:right w:type="dxa" w:w="100"/>
            </w:tcMar>
            <w:vAlign w:val="center"/>
          </w:tcPr>
          <w:p>
            <w:pPr>
              <w:jc w:val="left"/>
            </w:pPr>
            <w:r>
              <w:rPr>
                <w:b/>
                <w:bCs/>
                <w:sz w:val="20"/>
                <w:szCs w:val="20"/>
              </w:rPr>
              <w:t xml:space="preserve">Random Forest</w:t>
            </w:r>
          </w:p>
        </w:tc>
        <w:tc>
          <w:tcPr>
            <w:tcW w:type="dxa" w:w="1100"/>
            <w:shd w:fill="FFFFFF" w:val="clear"/>
            <w:tcMar>
              <w:top w:type="dxa" w:w="80"/>
              <w:left w:type="dxa" w:w="100"/>
              <w:bottom w:type="dxa" w:w="80"/>
              <w:right w:type="dxa" w:w="100"/>
            </w:tcMar>
            <w:vAlign w:val="center"/>
          </w:tcPr>
          <w:p>
            <w:pPr>
              <w:jc w:val="center"/>
            </w:pPr>
            <w:r>
              <w:rPr>
                <w:b w:val="false"/>
                <w:bCs w:val="false"/>
                <w:sz w:val="20"/>
                <w:szCs w:val="20"/>
              </w:rPr>
              <w:t xml:space="preserve">4.4095</w:t>
            </w:r>
          </w:p>
        </w:tc>
        <w:tc>
          <w:tcPr>
            <w:tcW w:type="dxa" w:w="1100"/>
            <w:shd w:fill="FFFFFF" w:val="clear"/>
            <w:tcMar>
              <w:top w:type="dxa" w:w="80"/>
              <w:left w:type="dxa" w:w="100"/>
              <w:bottom w:type="dxa" w:w="80"/>
              <w:right w:type="dxa" w:w="100"/>
            </w:tcMar>
            <w:vAlign w:val="center"/>
          </w:tcPr>
          <w:p>
            <w:pPr>
              <w:jc w:val="center"/>
            </w:pPr>
            <w:r>
              <w:rPr>
                <w:b w:val="false"/>
                <w:bCs w:val="false"/>
                <w:sz w:val="20"/>
                <w:szCs w:val="20"/>
              </w:rPr>
              <w:t xml:space="preserve">29.5358</w:t>
            </w:r>
          </w:p>
        </w:tc>
        <w:tc>
          <w:tcPr>
            <w:tcW w:type="dxa" w:w="1100"/>
            <w:shd w:fill="FFFFFF" w:val="clear"/>
            <w:tcMar>
              <w:top w:type="dxa" w:w="80"/>
              <w:left w:type="dxa" w:w="100"/>
              <w:bottom w:type="dxa" w:w="80"/>
              <w:right w:type="dxa" w:w="100"/>
            </w:tcMar>
            <w:vAlign w:val="center"/>
          </w:tcPr>
          <w:p>
            <w:pPr>
              <w:jc w:val="center"/>
            </w:pPr>
            <w:r>
              <w:rPr>
                <w:b w:val="false"/>
                <w:bCs w:val="false"/>
                <w:sz w:val="20"/>
                <w:szCs w:val="20"/>
              </w:rPr>
              <w:t xml:space="preserve">5.4347</w:t>
            </w:r>
          </w:p>
        </w:tc>
        <w:tc>
          <w:tcPr>
            <w:tcW w:type="dxa" w:w="1100"/>
            <w:shd w:fill="FFFFFF" w:val="clear"/>
            <w:tcMar>
              <w:top w:type="dxa" w:w="80"/>
              <w:left w:type="dxa" w:w="100"/>
              <w:bottom w:type="dxa" w:w="80"/>
              <w:right w:type="dxa" w:w="100"/>
            </w:tcMar>
            <w:vAlign w:val="center"/>
          </w:tcPr>
          <w:p>
            <w:pPr>
              <w:jc w:val="center"/>
            </w:pPr>
            <w:r>
              <w:rPr>
                <w:b w:val="false"/>
                <w:bCs w:val="false"/>
                <w:sz w:val="20"/>
                <w:szCs w:val="20"/>
              </w:rPr>
              <w:t xml:space="preserve">0.6191</w:t>
            </w:r>
          </w:p>
        </w:tc>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0.6393</w:t>
            </w:r>
          </w:p>
        </w:tc>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0.0260</w:t>
            </w:r>
          </w:p>
        </w:tc>
      </w:tr>
      <w:tr>
        <w:tc>
          <w:tcPr>
            <w:tcW w:type="dxa" w:w="2000"/>
            <w:shd w:fill="DDEBF7" w:val="clear"/>
            <w:tcMar>
              <w:top w:type="dxa" w:w="80"/>
              <w:left w:type="dxa" w:w="100"/>
              <w:bottom w:type="dxa" w:w="80"/>
              <w:right w:type="dxa" w:w="100"/>
            </w:tcMar>
            <w:vAlign w:val="center"/>
          </w:tcPr>
          <w:p>
            <w:pPr>
              <w:jc w:val="left"/>
            </w:pPr>
            <w:r>
              <w:rPr>
                <w:b/>
                <w:bCs/>
                <w:sz w:val="20"/>
                <w:szCs w:val="20"/>
              </w:rPr>
              <w:t xml:space="preserve">Decision Tree</w:t>
            </w:r>
          </w:p>
        </w:tc>
        <w:tc>
          <w:tcPr>
            <w:tcW w:type="dxa" w:w="1100"/>
            <w:shd w:fill="DDEBF7" w:val="clear"/>
            <w:tcMar>
              <w:top w:type="dxa" w:w="80"/>
              <w:left w:type="dxa" w:w="100"/>
              <w:bottom w:type="dxa" w:w="80"/>
              <w:right w:type="dxa" w:w="100"/>
            </w:tcMar>
            <w:vAlign w:val="center"/>
          </w:tcPr>
          <w:p>
            <w:pPr>
              <w:jc w:val="center"/>
            </w:pPr>
            <w:r>
              <w:rPr>
                <w:b w:val="false"/>
                <w:bCs w:val="false"/>
                <w:sz w:val="20"/>
                <w:szCs w:val="20"/>
              </w:rPr>
              <w:t xml:space="preserve">5.2247</w:t>
            </w:r>
          </w:p>
        </w:tc>
        <w:tc>
          <w:tcPr>
            <w:tcW w:type="dxa" w:w="1100"/>
            <w:shd w:fill="DDEBF7" w:val="clear"/>
            <w:tcMar>
              <w:top w:type="dxa" w:w="80"/>
              <w:left w:type="dxa" w:w="100"/>
              <w:bottom w:type="dxa" w:w="80"/>
              <w:right w:type="dxa" w:w="100"/>
            </w:tcMar>
            <w:vAlign w:val="center"/>
          </w:tcPr>
          <w:p>
            <w:pPr>
              <w:jc w:val="center"/>
            </w:pPr>
            <w:r>
              <w:rPr>
                <w:b w:val="false"/>
                <w:bCs w:val="false"/>
                <w:sz w:val="20"/>
                <w:szCs w:val="20"/>
              </w:rPr>
              <w:t xml:space="preserve">41.5740</w:t>
            </w:r>
          </w:p>
        </w:tc>
        <w:tc>
          <w:tcPr>
            <w:tcW w:type="dxa" w:w="1100"/>
            <w:shd w:fill="DDEBF7" w:val="clear"/>
            <w:tcMar>
              <w:top w:type="dxa" w:w="80"/>
              <w:left w:type="dxa" w:w="100"/>
              <w:bottom w:type="dxa" w:w="80"/>
              <w:right w:type="dxa" w:w="100"/>
            </w:tcMar>
            <w:vAlign w:val="center"/>
          </w:tcPr>
          <w:p>
            <w:pPr>
              <w:jc w:val="center"/>
            </w:pPr>
            <w:r>
              <w:rPr>
                <w:b w:val="false"/>
                <w:bCs w:val="false"/>
                <w:sz w:val="20"/>
                <w:szCs w:val="20"/>
              </w:rPr>
              <w:t xml:space="preserve">6.4478</w:t>
            </w:r>
          </w:p>
        </w:tc>
        <w:tc>
          <w:tcPr>
            <w:tcW w:type="dxa" w:w="1100"/>
            <w:shd w:fill="DDEBF7" w:val="clear"/>
            <w:tcMar>
              <w:top w:type="dxa" w:w="80"/>
              <w:left w:type="dxa" w:w="100"/>
              <w:bottom w:type="dxa" w:w="80"/>
              <w:right w:type="dxa" w:w="100"/>
            </w:tcMar>
            <w:vAlign w:val="center"/>
          </w:tcPr>
          <w:p>
            <w:pPr>
              <w:jc w:val="center"/>
            </w:pPr>
            <w:r>
              <w:rPr>
                <w:b w:val="false"/>
                <w:bCs w:val="false"/>
                <w:sz w:val="20"/>
                <w:szCs w:val="20"/>
              </w:rPr>
              <w:t xml:space="preserve">0.4639</w:t>
            </w:r>
          </w:p>
        </w:tc>
        <w:tc>
          <w:tcPr>
            <w:tcW w:type="dxa" w:w="1500"/>
            <w:shd w:fill="DDEBF7" w:val="clear"/>
            <w:tcMar>
              <w:top w:type="dxa" w:w="80"/>
              <w:left w:type="dxa" w:w="100"/>
              <w:bottom w:type="dxa" w:w="80"/>
              <w:right w:type="dxa" w:w="100"/>
            </w:tcMar>
            <w:vAlign w:val="center"/>
          </w:tcPr>
          <w:p>
            <w:pPr>
              <w:jc w:val="center"/>
            </w:pPr>
            <w:r>
              <w:rPr>
                <w:b w:val="false"/>
                <w:bCs w:val="false"/>
                <w:sz w:val="20"/>
                <w:szCs w:val="20"/>
              </w:rPr>
              <w:t xml:space="preserve">0.4792</w:t>
            </w:r>
          </w:p>
        </w:tc>
        <w:tc>
          <w:tcPr>
            <w:tcW w:type="dxa" w:w="1500"/>
            <w:shd w:fill="DDEBF7" w:val="clear"/>
            <w:tcMar>
              <w:top w:type="dxa" w:w="80"/>
              <w:left w:type="dxa" w:w="100"/>
              <w:bottom w:type="dxa" w:w="80"/>
              <w:right w:type="dxa" w:w="100"/>
            </w:tcMar>
            <w:vAlign w:val="center"/>
          </w:tcPr>
          <w:p>
            <w:pPr>
              <w:jc w:val="center"/>
            </w:pPr>
            <w:r>
              <w:rPr>
                <w:b w:val="false"/>
                <w:bCs w:val="false"/>
                <w:sz w:val="20"/>
                <w:szCs w:val="20"/>
              </w:rPr>
              <w:t xml:space="preserve">0.0490</w:t>
            </w:r>
          </w:p>
        </w:tc>
      </w:tr>
    </w:tbl>
    <w:p>
      <w:pPr>
        <w:spacing w:after="200"/>
      </w:pPr>
    </w:p>
    <w:p>
      <w:pPr>
        <w:pStyle w:val="Heading2"/>
        <w:spacing w:after="140" w:before="280"/>
        <w:outlineLvl w:val="1"/>
      </w:pPr>
      <w:r>
        <w:t xml:space="preserve">11.1 Model Selection Justification</w:t>
      </w:r>
    </w:p>
    <w:p>
      <w:pPr>
        <w:spacing w:after="160" w:line="276"/>
        <w:jc w:val="both"/>
      </w:pPr>
      <w:r>
        <w:rPr>
          <w:sz w:val="22"/>
          <w:szCs w:val="22"/>
        </w:rPr>
        <w:t xml:space="preserve">Linear Regression achieved the highest test-set explanatory power (R² = 0.7348) and the lowest Root Mean Squared Error (RMSE = 4.5353), demonstrating superior generalization on unseen student data. Gradient Boosting demonstrated the highest cross-validation stability (CV R² = 0.6775 ± 0.0315), making it a strong alternative candidate where robustness across folds is prioritized over marginal holdout accuracy.</w:t>
      </w:r>
    </w:p>
    <w:p>
      <w:pPr>
        <w:pBdr>
          <w:bottom w:val="single" w:color="BFBFBF" w:sz="6" w:space="1"/>
        </w:pBdr>
        <w:spacing w:after="200"/>
      </w:pPr>
    </w:p>
    <w:p>
      <w:pPr>
        <w:pStyle w:val="Heading1"/>
        <w:spacing w:after="200" w:before="400"/>
        <w:outlineLvl w:val="0"/>
      </w:pPr>
      <w:r>
        <w:t xml:space="preserve">12. Technologies Used</w:t>
      </w:r>
    </w:p>
    <w:p>
      <w:pPr>
        <w:pStyle w:val="ListParagraph"/>
        <w:numPr>
          <w:ilvl w:val="0"/>
          <w:numId w:val="1"/>
        </w:numPr>
        <w:spacing w:after="100" w:line="276"/>
      </w:pPr>
      <w:r>
        <w:t xml:space="preserve">Programming Language: Python 3.12+ / 3.14</w:t>
      </w:r>
    </w:p>
    <w:p>
      <w:pPr>
        <w:pStyle w:val="ListParagraph"/>
        <w:numPr>
          <w:ilvl w:val="0"/>
          <w:numId w:val="1"/>
        </w:numPr>
        <w:spacing w:after="100" w:line="276"/>
      </w:pPr>
      <w:r>
        <w:t xml:space="preserve">Numerical &amp; Data Processing: numpy ≥ 1.26.0, pandas ≥ 2.1.0</w:t>
      </w:r>
    </w:p>
    <w:p>
      <w:pPr>
        <w:pStyle w:val="ListParagraph"/>
        <w:numPr>
          <w:ilvl w:val="0"/>
          <w:numId w:val="1"/>
        </w:numPr>
        <w:spacing w:after="100" w:line="276"/>
      </w:pPr>
      <w:r>
        <w:t xml:space="preserve">Machine Learning: scikit-learn ≥ 1.3.0</w:t>
      </w:r>
    </w:p>
    <w:p>
      <w:pPr>
        <w:pStyle w:val="ListParagraph"/>
        <w:numPr>
          <w:ilvl w:val="0"/>
          <w:numId w:val="1"/>
        </w:numPr>
        <w:spacing w:after="100" w:line="276"/>
      </w:pPr>
      <w:r>
        <w:t xml:space="preserve">Model Serialization: joblib ≥ 1.3.0</w:t>
      </w:r>
    </w:p>
    <w:p>
      <w:pPr>
        <w:pStyle w:val="ListParagraph"/>
        <w:numPr>
          <w:ilvl w:val="0"/>
          <w:numId w:val="1"/>
        </w:numPr>
        <w:spacing w:after="100" w:line="276"/>
      </w:pPr>
      <w:r>
        <w:t xml:space="preserve">Data Visualization: matplotlib ≥ 3.8.0, seaborn ≥ 0.13.0</w:t>
      </w:r>
    </w:p>
    <w:p>
      <w:pPr>
        <w:pStyle w:val="ListParagraph"/>
        <w:numPr>
          <w:ilvl w:val="0"/>
          <w:numId w:val="1"/>
        </w:numPr>
        <w:spacing w:after="100" w:line="276"/>
      </w:pPr>
      <w:r>
        <w:t xml:space="preserve">Testing Framework: pytest ≥ 7.4.0</w:t>
      </w:r>
    </w:p>
    <w:p>
      <w:pPr>
        <w:pStyle w:val="ListParagraph"/>
        <w:numPr>
          <w:ilvl w:val="0"/>
          <w:numId w:val="1"/>
        </w:numPr>
        <w:spacing w:after="100" w:line="276"/>
      </w:pPr>
      <w:r>
        <w:t xml:space="preserve">Notebook Management: nbformat ≥ 5.9.0</w:t>
      </w:r>
    </w:p>
    <w:p>
      <w:pPr>
        <w:pBdr>
          <w:bottom w:val="single" w:color="BFBFBF" w:sz="6" w:space="1"/>
        </w:pBdr>
        <w:spacing w:after="200"/>
      </w:pPr>
    </w:p>
    <w:p>
      <w:pPr>
        <w:pStyle w:val="Heading1"/>
        <w:spacing w:after="200" w:before="400"/>
        <w:outlineLvl w:val="0"/>
      </w:pPr>
      <w:r>
        <w:t xml:space="preserve">13. Implementation &amp; Usage</w:t>
      </w:r>
    </w:p>
    <w:p>
      <w:pPr>
        <w:pStyle w:val="Heading2"/>
        <w:spacing w:after="140" w:before="280"/>
        <w:outlineLvl w:val="1"/>
      </w:pPr>
      <w:r>
        <w:t xml:space="preserve">13.1 Installation</w:t>
      </w:r>
    </w:p>
    <w:p>
      <w:pPr>
        <w:spacing w:after="160" w:line="276"/>
        <w:jc w:val="both"/>
      </w:pPr>
      <w:r>
        <w:rPr>
          <w:sz w:val="22"/>
          <w:szCs w:val="22"/>
        </w:rPr>
        <w:t xml:space="preserve">Clone the repository and enter the project directory:</w:t>
      </w:r>
    </w:p>
    <w:p>
      <w:pPr>
        <w:shd w:fill="F2F2F2" w:val="clear"/>
        <w:spacing w:after="200"/>
      </w:pPr>
      <w:r>
        <w:rPr>
          <w:rFonts w:ascii="Consolas" w:cs="Consolas" w:eastAsia="Consolas" w:hAnsi="Consolas"/>
          <w:sz w:val="20"/>
          <w:szCs w:val="20"/>
        </w:rPr>
        <w:t xml:space="preserve">git clone &lt;repository_url&gt;</w:t>
      </w:r>
      <w:r>
        <w:rPr>
          <w:rFonts w:ascii="Consolas" w:cs="Consolas" w:eastAsia="Consolas" w:hAnsi="Consolas"/>
          <w:sz w:val="20"/>
          <w:szCs w:val="20"/>
        </w:rPr>
        <w:br/>
        <w:t xml:space="preserve">cd "student-performance-prediction"</w:t>
      </w:r>
    </w:p>
    <w:p>
      <w:pPr>
        <w:pStyle w:val="Heading2"/>
        <w:spacing w:after="140" w:before="280"/>
        <w:outlineLvl w:val="1"/>
      </w:pPr>
      <w:r>
        <w:t xml:space="preserve">13.2 Environment Setup</w:t>
      </w:r>
    </w:p>
    <w:p>
      <w:pPr>
        <w:spacing w:after="160" w:line="276"/>
        <w:jc w:val="both"/>
      </w:pPr>
      <w:r>
        <w:rPr>
          <w:sz w:val="22"/>
          <w:szCs w:val="22"/>
        </w:rPr>
        <w:t xml:space="preserve">A clean Python virtual environment is created and activated, after which the verified minimal dependencies are installed via requirements.txt (pip install -r requirements.txt). No API keys or environment variables are required.</w:t>
      </w:r>
    </w:p>
    <w:p>
      <w:pPr>
        <w:pStyle w:val="Heading2"/>
        <w:spacing w:after="140" w:before="280"/>
        <w:outlineLvl w:val="1"/>
      </w:pPr>
      <w:r>
        <w:t xml:space="preserve">13.3 Configuration</w:t>
      </w:r>
    </w:p>
    <w:p>
      <w:pPr>
        <w:spacing w:after="160" w:line="276"/>
        <w:jc w:val="both"/>
      </w:pPr>
      <w:r>
        <w:rPr>
          <w:sz w:val="22"/>
          <w:szCs w:val="22"/>
        </w:rPr>
        <w:t xml:space="preserve">All application settings (random seed, test split ratio, file paths) live in one place, src/utils.py, so the random seed (RANDOM_STATE = 42) and test split ratio (TEST_SIZE = 0.20) don't need to be hunted down across multiple files if they ever need to change.</w:t>
      </w:r>
    </w:p>
    <w:p>
      <w:pPr>
        <w:pStyle w:val="Heading2"/>
        <w:spacing w:after="140" w:before="280"/>
        <w:outlineLvl w:val="1"/>
      </w:pPr>
      <w:r>
        <w:t xml:space="preserve">13.4 Running the Application</w:t>
      </w:r>
    </w:p>
    <w:p>
      <w:pPr>
        <w:spacing w:after="160" w:line="276"/>
        <w:jc w:val="both"/>
      </w:pPr>
      <w:r>
        <w:rPr>
          <w:sz w:val="22"/>
          <w:szCs w:val="22"/>
        </w:rPr>
        <w:t xml:space="preserve">The interactive CLI system is launched with:</w:t>
      </w:r>
    </w:p>
    <w:p>
      <w:pPr>
        <w:shd w:fill="F2F2F2" w:val="clear"/>
        <w:spacing w:after="200"/>
      </w:pPr>
      <w:r>
        <w:rPr>
          <w:rFonts w:ascii="Consolas" w:cs="Consolas" w:eastAsia="Consolas" w:hAnsi="Consolas"/>
          <w:sz w:val="20"/>
          <w:szCs w:val="20"/>
        </w:rPr>
        <w:t xml:space="preserve">python main.py</w:t>
      </w:r>
    </w:p>
    <w:p>
      <w:pPr>
        <w:spacing w:after="160" w:line="276"/>
        <w:jc w:val="both"/>
      </w:pPr>
      <w:r>
        <w:rPr>
          <w:sz w:val="22"/>
          <w:szCs w:val="22"/>
        </w:rPr>
        <w:t xml:space="preserve">The user is presented with a six-option main menu: Train Models, Evaluate Models, Predict Student Performance, View Analytics, Generate Report, and Exit.</w:t>
      </w:r>
    </w:p>
    <w:p>
      <w:pPr>
        <w:pStyle w:val="Heading2"/>
        <w:spacing w:after="140" w:before="280"/>
        <w:outlineLvl w:val="1"/>
      </w:pPr>
      <w:r>
        <w:t xml:space="preserve">13.5 Training Models</w:t>
      </w:r>
    </w:p>
    <w:p>
      <w:pPr>
        <w:spacing w:after="160" w:line="276"/>
        <w:jc w:val="both"/>
      </w:pPr>
      <w:r>
        <w:rPr>
          <w:sz w:val="22"/>
          <w:szCs w:val="22"/>
        </w:rPr>
        <w:t xml:space="preserve">Models can be trained either through CLI Option 1 or directly via the modular training script (python src/model_training.py), which trains all four models, runs 5-fold cross-validation, saves evaluation metrics to outputs/metrics/, and serializes the production model to models/student_performance_model.joblib.</w:t>
      </w:r>
    </w:p>
    <w:p>
      <w:pPr>
        <w:pStyle w:val="Heading2"/>
        <w:spacing w:after="140" w:before="280"/>
        <w:outlineLvl w:val="1"/>
      </w:pPr>
      <w:r>
        <w:t xml:space="preserve">13.6 Making Predictions</w:t>
      </w:r>
    </w:p>
    <w:p>
      <w:pPr>
        <w:spacing w:after="160" w:line="276"/>
        <w:jc w:val="both"/>
      </w:pPr>
      <w:r>
        <w:rPr>
          <w:sz w:val="22"/>
          <w:szCs w:val="22"/>
        </w:rPr>
        <w:t xml:space="preserve">Predictions can be generated interactively via CLI Option 3, or programmatically by invoking predict_single_student() from src.prediction with a dictionary of the required student attributes, returning the predicted score and performance category.</w:t>
      </w:r>
    </w:p>
    <w:p>
      <w:pPr>
        <w:pStyle w:val="Heading2"/>
        <w:spacing w:after="140" w:before="280"/>
        <w:outlineLvl w:val="1"/>
      </w:pPr>
      <w:r>
        <w:t xml:space="preserve">13.7 Example Output</w:t>
      </w:r>
    </w:p>
    <w:p>
      <w:pPr>
        <w:shd w:fill="F2F2F2" w:val="clear"/>
        <w:spacing w:after="200"/>
      </w:pPr>
      <w:r>
        <w:rPr>
          <w:rFonts w:ascii="Consolas" w:cs="Consolas" w:eastAsia="Consolas" w:hAnsi="Consolas"/>
          <w:sz w:val="18"/>
          <w:szCs w:val="18"/>
        </w:rPr>
        <w:t xml:space="preserve">PREDICTION RESULT</w:t>
      </w:r>
      <w:r>
        <w:rPr>
          <w:rFonts w:ascii="Consolas" w:cs="Consolas" w:eastAsia="Consolas" w:hAnsi="Consolas"/>
          <w:sz w:val="18"/>
          <w:szCs w:val="18"/>
        </w:rPr>
        <w:br/>
        <w:t xml:space="preserve">Predicted Final Score : 78.30</w:t>
      </w:r>
      <w:r>
        <w:rPr>
          <w:rFonts w:ascii="Consolas" w:cs="Consolas" w:eastAsia="Consolas" w:hAnsi="Consolas"/>
          <w:sz w:val="18"/>
          <w:szCs w:val="18"/>
        </w:rPr>
        <w:br/>
        <w:t xml:space="preserve">Performance Category  : GOOD</w:t>
      </w:r>
      <w:r>
        <w:rPr>
          <w:rFonts w:ascii="Consolas" w:cs="Consolas" w:eastAsia="Consolas" w:hAnsi="Consolas"/>
          <w:sz w:val="18"/>
          <w:szCs w:val="18"/>
        </w:rPr>
        <w:br/>
        <w:t xml:space="preserve">Risk Tier             : Moderate / On Track</w:t>
      </w:r>
      <w:r>
        <w:rPr>
          <w:rFonts w:ascii="Consolas" w:cs="Consolas" w:eastAsia="Consolas" w:hAnsi="Consolas"/>
          <w:sz w:val="18"/>
          <w:szCs w:val="18"/>
        </w:rPr>
        <w:br/>
        <w:br/>
        <w:t xml:space="preserve">ACADEMIC ADVISORY &amp; RECOMMENDATIONS:</w:t>
      </w:r>
      <w:r>
        <w:rPr>
          <w:rFonts w:ascii="Consolas" w:cs="Consolas" w:eastAsia="Consolas" w:hAnsi="Consolas"/>
          <w:sz w:val="18"/>
          <w:szCs w:val="18"/>
        </w:rPr>
        <w:br/>
        <w:t xml:space="preserve"> 1. [Consistency Note] On-track trajectory. Maintain current study discipline and</w:t>
      </w:r>
      <w:r>
        <w:rPr>
          <w:rFonts w:ascii="Consolas" w:cs="Consolas" w:eastAsia="Consolas" w:hAnsi="Consolas"/>
          <w:sz w:val="18"/>
          <w:szCs w:val="18"/>
        </w:rPr>
        <w:br/>
        <w:t xml:space="preserve">    explore challenging supplementary problem sets to elevate performance into distinction.</w:t>
      </w:r>
    </w:p>
    <w:p>
      <w:pPr>
        <w:pBdr>
          <w:bottom w:val="single" w:color="BFBFBF" w:sz="6" w:space="1"/>
        </w:pBdr>
        <w:spacing w:after="200"/>
      </w:pPr>
    </w:p>
    <w:p>
      <w:pPr>
        <w:pStyle w:val="Heading1"/>
        <w:spacing w:after="200" w:before="400"/>
        <w:outlineLvl w:val="0"/>
      </w:pPr>
      <w:r>
        <w:t xml:space="preserve">14. Testing</w:t>
      </w:r>
    </w:p>
    <w:p>
      <w:pPr>
        <w:spacing w:after="160" w:line="276"/>
        <w:jc w:val="both"/>
      </w:pPr>
      <w:r>
        <w:rPr>
          <w:sz w:val="22"/>
          <w:szCs w:val="22"/>
        </w:rPr>
        <w:t xml:space="preserve">The project is validated by a comprehensive Pytest suite, executed via pytest -v, comprising 18 tests spanning data loading, preprocessing, model training, prediction guards, and advisory logic. This ensures each functional module behaves correctly in isolation and that defensive input validation reliably rejects malformed or out-of-bounds data.</w:t>
      </w:r>
    </w:p>
    <w:p>
      <w:pPr>
        <w:pBdr>
          <w:bottom w:val="single" w:color="BFBFBF" w:sz="6" w:space="1"/>
        </w:pBdr>
        <w:spacing w:after="200"/>
      </w:pPr>
    </w:p>
    <w:p>
      <w:pPr>
        <w:pStyle w:val="Heading1"/>
        <w:spacing w:after="200" w:before="400"/>
        <w:outlineLvl w:val="0"/>
      </w:pPr>
      <w:r>
        <w:t xml:space="preserve">15. Project Structure</w:t>
      </w:r>
    </w:p>
    <w:p>
      <w:pPr>
        <w:spacing w:after="160" w:line="276"/>
        <w:jc w:val="both"/>
      </w:pPr>
      <w:r>
        <w:rPr>
          <w:sz w:val="22"/>
          <w:szCs w:val="22"/>
        </w:rPr>
        <w:t xml:space="preserve">The codebase follows a modular, separation-of-concerns architecture, organized into dedicated directories for source code, data, trained models, tests, outputs, and documentation:</w:t>
      </w:r>
    </w:p>
    <w:p>
      <w:pPr>
        <w:pStyle w:val="ListParagraph"/>
        <w:numPr>
          <w:ilvl w:val="0"/>
          <w:numId w:val="1"/>
        </w:numPr>
        <w:spacing w:after="100" w:line="276"/>
      </w:pPr>
      <w:r>
        <w:t xml:space="preserve">data/: raw/ (student_performance_data.csv) and processed/ datasets</w:t>
      </w:r>
    </w:p>
    <w:p>
      <w:pPr>
        <w:pStyle w:val="ListParagraph"/>
        <w:numPr>
          <w:ilvl w:val="0"/>
          <w:numId w:val="1"/>
        </w:numPr>
        <w:spacing w:after="100" w:line="276"/>
      </w:pPr>
      <w:r>
        <w:t xml:space="preserve">models/: student_performance_model.joblib and model_metadata.json</w:t>
      </w:r>
    </w:p>
    <w:p>
      <w:pPr>
        <w:pStyle w:val="ListParagraph"/>
        <w:numPr>
          <w:ilvl w:val="0"/>
          <w:numId w:val="1"/>
        </w:numPr>
        <w:spacing w:after="100" w:line="276"/>
      </w:pPr>
      <w:r>
        <w:t xml:space="preserve">notebooks/: exploratory_analysis.ipynb</w:t>
      </w:r>
    </w:p>
    <w:p>
      <w:pPr>
        <w:pStyle w:val="ListParagraph"/>
        <w:numPr>
          <w:ilvl w:val="0"/>
          <w:numId w:val="1"/>
        </w:numPr>
        <w:spacing w:after="100" w:line="276"/>
      </w:pPr>
      <w:r>
        <w:t xml:space="preserve">src/: utils.py, data_loader.py, feature_engineering.py, preprocessing.py, model_training.py, model_evaluation.py, prediction.py, risk_analysis.py, recommendation_engine.py, analytics.py, reporting.py</w:t>
      </w:r>
    </w:p>
    <w:p>
      <w:pPr>
        <w:pStyle w:val="ListParagraph"/>
        <w:numPr>
          <w:ilvl w:val="0"/>
          <w:numId w:val="1"/>
        </w:numPr>
        <w:spacing w:after="100" w:line="276"/>
      </w:pPr>
      <w:r>
        <w:t xml:space="preserve">tests/: test_data_loader.py, test_preprocessing.py, test_model.py, test_prediction.py, test_recommendations.py</w:t>
      </w:r>
    </w:p>
    <w:p>
      <w:pPr>
        <w:pStyle w:val="ListParagraph"/>
        <w:numPr>
          <w:ilvl w:val="0"/>
          <w:numId w:val="1"/>
        </w:numPr>
        <w:spacing w:after="100" w:line="276"/>
      </w:pPr>
      <w:r>
        <w:t xml:space="preserve">outputs/plots/: feature distributions, correlation matrix, bivariate relationship plots, feature importance, residual analysis, model comparison</w:t>
      </w:r>
    </w:p>
    <w:p>
      <w:pPr>
        <w:pStyle w:val="ListParagraph"/>
        <w:numPr>
          <w:ilvl w:val="0"/>
          <w:numId w:val="1"/>
        </w:numPr>
        <w:spacing w:after="100" w:line="276"/>
      </w:pPr>
      <w:r>
        <w:t xml:space="preserve">outputs/metrics/: model_comparison.csv, evaluation_metrics.json</w:t>
      </w:r>
    </w:p>
    <w:p>
      <w:pPr>
        <w:pStyle w:val="ListParagraph"/>
        <w:numPr>
          <w:ilvl w:val="0"/>
          <w:numId w:val="1"/>
        </w:numPr>
        <w:spacing w:after="100" w:line="276"/>
      </w:pPr>
      <w:r>
        <w:t xml:space="preserve">outputs/reports/: project_report.md, project_summary.json</w:t>
      </w:r>
    </w:p>
    <w:p>
      <w:pPr>
        <w:pStyle w:val="ListParagraph"/>
        <w:numPr>
          <w:ilvl w:val="0"/>
          <w:numId w:val="1"/>
        </w:numPr>
        <w:spacing w:after="100" w:line="276"/>
      </w:pPr>
      <w:r>
        <w:t xml:space="preserve">docs/: architecture.md, workflow.md, use_case.md, sequence.md, component_class.md, data_storage_justification.md</w:t>
      </w:r>
    </w:p>
    <w:p>
      <w:pPr>
        <w:pStyle w:val="ListParagraph"/>
        <w:numPr>
          <w:ilvl w:val="0"/>
          <w:numId w:val="1"/>
        </w:numPr>
        <w:spacing w:after="100" w:line="276"/>
      </w:pPr>
      <w:r>
        <w:t xml:space="preserve">main.py, requirements.txt, README.md, statement.md, DATASET.md, PROJECT_PLAN.md, VITYARTHI_COMPLIANCE.md, .gitignore, LICENSE</w:t>
      </w:r>
    </w:p>
    <w:p>
      <w:pPr>
        <w:pBdr>
          <w:bottom w:val="single" w:color="BFBFBF" w:sz="6" w:space="1"/>
        </w:pBdr>
        <w:spacing w:after="200"/>
      </w:pPr>
    </w:p>
    <w:p>
      <w:pPr>
        <w:pStyle w:val="Heading1"/>
        <w:spacing w:after="200" w:before="400"/>
        <w:outlineLvl w:val="0"/>
      </w:pPr>
      <w:r>
        <w:t xml:space="preserve">16. Limitations</w:t>
      </w:r>
    </w:p>
    <w:p>
      <w:pPr>
        <w:pStyle w:val="ListParagraph"/>
        <w:numPr>
          <w:ilvl w:val="0"/>
          <w:numId w:val="4"/>
        </w:numPr>
        <w:spacing w:after="100" w:line="276"/>
      </w:pPr>
      <w:r>
        <w:t xml:space="preserve">Model scope: the predictive models assume a standard curriculum structure, so results may not directly generalize to unstructured adult-education programs.</w:t>
      </w:r>
    </w:p>
    <w:p>
      <w:pPr>
        <w:pStyle w:val="ListParagraph"/>
        <w:numPr>
          <w:ilvl w:val="0"/>
          <w:numId w:val="4"/>
        </w:numPr>
        <w:spacing w:after="100" w:line="276"/>
      </w:pPr>
      <w:r>
        <w:t xml:space="preserve">Tabular boundary: the system relies strictly on quantitative student records, so qualitative psychosocial stressors such as family emergencies or mental health are not captured.</w:t>
      </w:r>
    </w:p>
    <w:p>
      <w:pPr>
        <w:pStyle w:val="ListParagraph"/>
        <w:numPr>
          <w:ilvl w:val="0"/>
          <w:numId w:val="4"/>
        </w:numPr>
        <w:spacing w:after="100" w:line="276"/>
      </w:pPr>
      <w:r>
        <w:t xml:space="preserve">Correlation vs. causation: feature importance represents model associations only, so increasing study hours alone does not guarantee improved marks without effective study strategies.</w:t>
      </w:r>
    </w:p>
    <w:p>
      <w:pPr>
        <w:pBdr>
          <w:bottom w:val="single" w:color="BFBFBF" w:sz="6" w:space="1"/>
        </w:pBdr>
        <w:spacing w:after="200"/>
      </w:pPr>
    </w:p>
    <w:p>
      <w:pPr>
        <w:pStyle w:val="Heading1"/>
        <w:spacing w:after="200" w:before="400"/>
        <w:outlineLvl w:val="0"/>
      </w:pPr>
      <w:r>
        <w:t xml:space="preserve">17. Future Enhancements</w:t>
      </w:r>
    </w:p>
    <w:p>
      <w:pPr>
        <w:pStyle w:val="ListParagraph"/>
        <w:numPr>
          <w:ilvl w:val="0"/>
          <w:numId w:val="1"/>
        </w:numPr>
        <w:spacing w:after="100" w:line="276"/>
      </w:pPr>
      <w:r>
        <w:t xml:space="preserve">Web Dashboard: development of a lightweight Streamlit or FastAPI web user interface for faculty management.</w:t>
      </w:r>
    </w:p>
    <w:p>
      <w:pPr>
        <w:pStyle w:val="ListParagraph"/>
        <w:numPr>
          <w:ilvl w:val="0"/>
          <w:numId w:val="1"/>
        </w:numPr>
        <w:spacing w:after="100" w:line="276"/>
      </w:pPr>
      <w:r>
        <w:t xml:space="preserve">Time-Series Longitudinal Tracking: ingestion of multi-semester trajectories using recurrent models.</w:t>
      </w:r>
    </w:p>
    <w:p>
      <w:pPr>
        <w:pStyle w:val="ListParagraph"/>
        <w:numPr>
          <w:ilvl w:val="0"/>
          <w:numId w:val="1"/>
        </w:numPr>
        <w:spacing w:after="100" w:line="276"/>
      </w:pPr>
      <w:r>
        <w:t xml:space="preserve">Automated Early Warning Alerts: email and SMS notification triggers for faculty when a student's predicted score drops into the 'Needs Improvement' category.</w:t>
      </w:r>
    </w:p>
    <w:p>
      <w:pPr>
        <w:pBdr>
          <w:bottom w:val="single" w:color="BFBFBF" w:sz="6" w:space="1"/>
        </w:pBdr>
        <w:spacing w:after="200"/>
      </w:pPr>
    </w:p>
    <w:p>
      <w:pPr>
        <w:pStyle w:val="Heading1"/>
        <w:spacing w:after="200" w:before="400"/>
        <w:outlineLvl w:val="0"/>
      </w:pPr>
      <w:r>
        <w:t xml:space="preserve">18. Conclusion</w:t>
      </w:r>
    </w:p>
    <w:p>
      <w:pPr>
        <w:spacing w:after="160" w:line="276"/>
        <w:jc w:val="both"/>
      </w:pPr>
      <w:r>
        <w:rPr>
          <w:sz w:val="22"/>
          <w:szCs w:val="22"/>
        </w:rPr>
        <w:t xml:space="preserve">Overall, this project does what I set out to do: take formative data that colleges already collect and turn it into an early, actionable signal instead of a post-mortem. Linear Regression ended up being the best-performing model on the holdout set (R² of 0.7348, the lowest RMSE among the four), which was honestly a little surprising given how much attention tree-based ensembles usually get, but it makes sense here since most of the engineered features already have a fairly linear relationship with the final score. The pipeline stays leak-free throughout, the whole run is reproducible with a fixed seed, and the CLI plus the advisory engine make the output usable by someone who isn't going to read a confusion matrix. There's still a fair amount of room to grow it, which is what the future-enhancements section above is really about.</w:t>
      </w:r>
    </w:p>
    <w:p>
      <w:pPr>
        <w:pBdr>
          <w:bottom w:val="single" w:color="BFBFBF" w:sz="6" w:space="1"/>
        </w:pBdr>
        <w:spacing w:after="200"/>
      </w:pPr>
    </w:p>
    <w:p>
      <w:pPr>
        <w:pStyle w:val="Heading1"/>
        <w:spacing w:after="200" w:before="400"/>
        <w:outlineLvl w:val="0"/>
      </w:pPr>
      <w:r>
        <w:t xml:space="preserve">19. Reflections &amp; Learnings</w:t>
      </w:r>
    </w:p>
    <w:p>
      <w:pPr>
        <w:spacing w:after="160" w:line="276"/>
        <w:jc w:val="both"/>
      </w:pPr>
      <w:r>
        <w:rPr>
          <w:sz w:val="22"/>
          <w:szCs w:val="22"/>
        </w:rPr>
        <w:t xml:space="preserve">A few things stood out to me while building this. First, the cross-validation numbers for Linear Regression were genuinely confusing at first (a CV R² mean of 0.1885 with a standard deviation over 1.0, against a clean 0.7348 on the holdout test set). That gap is a good reminder that a single test split can be lucky or unlucky, and that cross-validation numbers, even when they look worse, are usually telling you something more honest about how a model will generalize. I've reported both sets of numbers as-is rather than hiding the inconsistency, because I think it's a more accurate picture of the model's real behavior.</w:t>
      </w:r>
    </w:p>
    <w:p>
      <w:pPr>
        <w:spacing w:after="160" w:line="276"/>
        <w:jc w:val="both"/>
      </w:pPr>
      <w:r>
        <w:rPr>
          <w:sz w:val="22"/>
          <w:szCs w:val="22"/>
        </w:rPr>
        <w:t xml:space="preserve">Second, feature engineering mattered more than I expected going in. Adding the Assessment Momentum and Study Efficiency Ratio features felt like a small step at the time, but they ended up being genuinely useful signals once I looked at feature importances from the Random Forest model. It made the case for domain knowledge over just throwing raw columns at an algorithm and hoping for the best.</w:t>
      </w:r>
    </w:p>
    <w:p>
      <w:pPr>
        <w:spacing w:after="160" w:line="276"/>
        <w:jc w:val="both"/>
      </w:pPr>
      <w:r>
        <w:rPr>
          <w:sz w:val="22"/>
          <w:szCs w:val="22"/>
        </w:rPr>
        <w:t xml:space="preserve">Finally, building the advisory engine as a separate rule-based layer (rather than trying to bake explanations into the model itself) turned out to be the right call for this kind of application. Academic advisors and students care less about the exact predicted score and more about what to actually do next, and keeping that logic simple and rule-based made it something I could reason about and test properly, instead of trusting a black box to phrase good advice.</w:t>
      </w:r>
    </w:p>
    <w:p>
      <w:pPr>
        <w:pBdr>
          <w:bottom w:val="single" w:color="BFBFBF" w:sz="6" w:space="1"/>
        </w:pBdr>
        <w:spacing w:after="200"/>
      </w:pPr>
    </w:p>
    <w:p>
      <w:pPr>
        <w:pStyle w:val="Heading1"/>
        <w:spacing w:after="200" w:before="400"/>
        <w:outlineLvl w:val="0"/>
      </w:pPr>
      <w:r>
        <w:t xml:space="preserve">20. References</w:t>
      </w:r>
    </w:p>
    <w:p>
      <w:pPr>
        <w:pStyle w:val="ListParagraph"/>
        <w:numPr>
          <w:ilvl w:val="0"/>
          <w:numId w:val="5"/>
        </w:numPr>
        <w:spacing w:after="100" w:line="276"/>
      </w:pPr>
      <w:r>
        <w:t xml:space="preserve">Cortez, P., &amp; Silva, A. M. G. (2008). Using data mining to predict secondary school student performance. EUROSIS-ETI.</w:t>
      </w:r>
    </w:p>
    <w:p>
      <w:pPr>
        <w:pStyle w:val="ListParagraph"/>
        <w:numPr>
          <w:ilvl w:val="0"/>
          <w:numId w:val="5"/>
        </w:numPr>
        <w:spacing w:after="100" w:line="276"/>
      </w:pPr>
      <w:r>
        <w:t xml:space="preserve">Romero, C., &amp; Ventura, S. (2010). Educational data mining: A review of the state of the art. IEEE Transactions on Systems, Man, and Cybernetics.</w:t>
      </w:r>
    </w:p>
    <w:p>
      <w:pPr>
        <w:pStyle w:val="ListParagraph"/>
        <w:numPr>
          <w:ilvl w:val="0"/>
          <w:numId w:val="5"/>
        </w:numPr>
        <w:spacing w:after="100" w:line="276"/>
      </w:pPr>
      <w:r>
        <w:t xml:space="preserve">Pedregosa, F., et al. (2011). Scikit-learn: Machine Learning in Python. Journal of Machine Learning Research, 12, 2825–2830.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Student Performance Prediction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200" w:before="400"/>
    </w:pPr>
    <w:rPr>
      <w:rFonts w:ascii="Calibri" w:cs="Calibri" w:eastAsia="Calibri" w:hAnsi="Calibri"/>
      <w:b/>
      <w:bCs/>
      <w:color w:val="1F4E79"/>
      <w:sz w:val="30"/>
      <w:szCs w:val="30"/>
    </w:rPr>
  </w:style>
  <w:style w:type="paragraph" w:styleId="Heading2">
    <w:name w:val="Heading 2"/>
    <w:basedOn w:val="Normal"/>
    <w:next w:val="Normal"/>
    <w:qFormat/>
    <w:pPr>
      <w:spacing w:after="140" w:before="28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i/>
      <w:i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2026-09-09T08:52:38.755Z</dcterms:created>
  <dcterms:modified xsi:type="dcterms:W3CDTF">2026-09-09T08:52:38.768Z</dcterms:modified>
</cp:coreProperties>
</file>

<file path=docProps/custom.xml><?xml version="1.0" encoding="utf-8"?>
<Properties xmlns="http://schemas.openxmlformats.org/officeDocument/2006/custom-properties" xmlns:vt="http://schemas.openxmlformats.org/officeDocument/2006/docPropsVTypes"/>
</file>