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5304" w14:textId="71B42E2F" w:rsidR="004B2F49" w:rsidRPr="00585B81" w:rsidRDefault="004B2F49" w:rsidP="00585B81">
      <w:pPr>
        <w:rPr>
          <w:b/>
          <w:bCs/>
          <w:sz w:val="32"/>
          <w:szCs w:val="32"/>
        </w:rPr>
      </w:pPr>
      <w:r w:rsidRPr="00585B81">
        <w:rPr>
          <w:b/>
          <w:bCs/>
          <w:sz w:val="32"/>
          <w:szCs w:val="32"/>
        </w:rPr>
        <w:t xml:space="preserve">Prognozowanie wolumenu HAVI </w:t>
      </w:r>
    </w:p>
    <w:p w14:paraId="07110DC2" w14:textId="18C50D10" w:rsidR="00585B81" w:rsidRDefault="00585B81" w:rsidP="00585B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585B81">
        <w:rPr>
          <w:b/>
          <w:bCs/>
          <w:sz w:val="28"/>
          <w:szCs w:val="28"/>
        </w:rPr>
        <w:t>odejście metodyczne i aktualny stan prac</w:t>
      </w:r>
    </w:p>
    <w:p w14:paraId="38967CB8" w14:textId="77777777" w:rsidR="00585B81" w:rsidRPr="00585B81" w:rsidRDefault="00585B81" w:rsidP="00585B81">
      <w:pPr>
        <w:rPr>
          <w:sz w:val="28"/>
          <w:szCs w:val="28"/>
        </w:rPr>
      </w:pPr>
    </w:p>
    <w:p w14:paraId="1C96F5DB" w14:textId="4805D051" w:rsidR="00585B81" w:rsidRPr="00585B81" w:rsidRDefault="00585B81" w:rsidP="00585B81">
      <w:r w:rsidRPr="00585B81">
        <w:t>Celem pracy jest opracowanie skalowalnego podejścia do prognozowania wolumenu sprzedaży dla wybranych produktów, z uwzględnieniem różnic pomiędzy krajami oraz specyfiki poszczególnych szeregów czasowych.</w:t>
      </w:r>
    </w:p>
    <w:p w14:paraId="66629219" w14:textId="77777777" w:rsidR="00585B81" w:rsidRPr="00585B81" w:rsidRDefault="00585B81" w:rsidP="00585B81">
      <w:r w:rsidRPr="00585B81">
        <w:t>Praca koncentruje się na analizie danych historycznych, doborze odpowiednich metod prognostycznych oraz przygotowaniu środowiska umożliwiającego dalszy rozwój modeli i ich ocenę w warunkach biznesowych.</w:t>
      </w:r>
    </w:p>
    <w:p w14:paraId="01AC049E" w14:textId="77777777" w:rsidR="00585B81" w:rsidRPr="00585B81" w:rsidRDefault="00585B81" w:rsidP="00585B81">
      <w:pPr>
        <w:rPr>
          <w:sz w:val="28"/>
          <w:szCs w:val="28"/>
        </w:rPr>
      </w:pPr>
    </w:p>
    <w:p w14:paraId="3198BF66" w14:textId="77777777" w:rsidR="00E53664" w:rsidRPr="00E53664" w:rsidRDefault="00E53664" w:rsidP="00585B81">
      <w:pPr>
        <w:rPr>
          <w:b/>
          <w:bCs/>
        </w:rPr>
      </w:pPr>
    </w:p>
    <w:p w14:paraId="32FC9280" w14:textId="59F68358" w:rsidR="004B2F49" w:rsidRPr="00E53664" w:rsidRDefault="004B2F49" w:rsidP="00585B81">
      <w:pPr>
        <w:pStyle w:val="Akapitzlist"/>
        <w:numPr>
          <w:ilvl w:val="0"/>
          <w:numId w:val="1"/>
        </w:numPr>
        <w:rPr>
          <w:sz w:val="28"/>
          <w:szCs w:val="28"/>
        </w:rPr>
      </w:pPr>
      <w:r w:rsidRPr="00E53664">
        <w:rPr>
          <w:sz w:val="28"/>
          <w:szCs w:val="28"/>
        </w:rPr>
        <w:t>Obraz sprzedaży na poziomie globalnym i krajowym</w:t>
      </w:r>
    </w:p>
    <w:p w14:paraId="57B51BC0" w14:textId="77777777" w:rsidR="00E53664" w:rsidRDefault="00E53664" w:rsidP="00585B81">
      <w:pPr>
        <w:pStyle w:val="Akapitzlist"/>
      </w:pPr>
    </w:p>
    <w:p w14:paraId="1E8D0E5F" w14:textId="1E949CD1" w:rsidR="004B2F49" w:rsidRDefault="00E53664" w:rsidP="00585B81">
      <w:r w:rsidRPr="00E53664">
        <w:rPr>
          <w:noProof/>
        </w:rPr>
        <w:drawing>
          <wp:inline distT="0" distB="0" distL="0" distR="0" wp14:anchorId="4650B78C" wp14:editId="162A756F">
            <wp:extent cx="6272525" cy="2800350"/>
            <wp:effectExtent l="0" t="0" r="0" b="0"/>
            <wp:docPr id="817497987" name="Obraz 1" descr="Obraz zawierający tekst, linia, Wykres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97987" name="Obraz 1" descr="Obraz zawierający tekst, linia, Wykres, zrzut ekranu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5490" cy="281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29A2" w14:textId="77777777" w:rsidR="00E53664" w:rsidRDefault="00E53664" w:rsidP="00585B81"/>
    <w:p w14:paraId="246D0C22" w14:textId="7048A39A" w:rsidR="004B2F49" w:rsidRDefault="004B2F49" w:rsidP="00585B81">
      <w:r>
        <w:t xml:space="preserve">Analiza danych z lat 2019–2025 (dla Niemiec od 2022 r.) pokazuje wyraźny wzrost łącznego wolumenu w czasie. Oprócz trendu wzrostowego widoczne są pojedyncze, bardzo wysokie piki popytu, które istotnie odstają od typowych poziomów sprzedaży. </w:t>
      </w:r>
    </w:p>
    <w:p w14:paraId="50742C05" w14:textId="77777777" w:rsidR="00E53664" w:rsidRDefault="00E53664" w:rsidP="00585B81"/>
    <w:p w14:paraId="067741FB" w14:textId="5E92E62B" w:rsidR="004B2F49" w:rsidRDefault="00E53664" w:rsidP="00585B81">
      <w:r w:rsidRPr="00E53664">
        <w:rPr>
          <w:noProof/>
        </w:rPr>
        <w:drawing>
          <wp:inline distT="0" distB="0" distL="0" distR="0" wp14:anchorId="4494DB7C" wp14:editId="50C259DE">
            <wp:extent cx="6332855" cy="3238500"/>
            <wp:effectExtent l="0" t="0" r="0" b="0"/>
            <wp:docPr id="458565062" name="Obraz 1" descr="Obraz zawierający tekst, zrzut ekranu, Wykres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65062" name="Obraz 1" descr="Obraz zawierający tekst, zrzut ekranu, Wykres, lini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4807" cy="323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36E9" w14:textId="77777777" w:rsidR="00E53664" w:rsidRDefault="00E53664" w:rsidP="00585B81"/>
    <w:p w14:paraId="282AF48E" w14:textId="45EF0AAD" w:rsidR="004B2F49" w:rsidRDefault="004B2F49" w:rsidP="00585B81">
      <w:r>
        <w:t>Między krajami występują trwałe różnice zarówno w skali wolumenu, jak i w dynamice zmian. Niemcy generują najwyższy średni wolumen tygodniowy, następnie Polska i Portugalia. Rumunia i Hiszpania pozostają rynkami o najmniejszej skali.</w:t>
      </w:r>
    </w:p>
    <w:p w14:paraId="381498FB" w14:textId="77777777" w:rsidR="00E53664" w:rsidRDefault="00E53664" w:rsidP="00585B81"/>
    <w:p w14:paraId="36685ADE" w14:textId="28080241" w:rsidR="004B2F49" w:rsidRDefault="004B2F49" w:rsidP="00585B81">
      <w:r w:rsidRPr="004B2F49">
        <w:rPr>
          <w:noProof/>
        </w:rPr>
        <w:drawing>
          <wp:inline distT="0" distB="0" distL="0" distR="0" wp14:anchorId="564B52A6" wp14:editId="529D5B4C">
            <wp:extent cx="2813050" cy="1894840"/>
            <wp:effectExtent l="0" t="0" r="6350" b="0"/>
            <wp:docPr id="1927195163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95163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4363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B22C" w14:textId="77777777" w:rsidR="004B2F49" w:rsidRDefault="004B2F49" w:rsidP="00585B81"/>
    <w:p w14:paraId="5063F981" w14:textId="77777777" w:rsidR="004B2F49" w:rsidRDefault="004B2F49" w:rsidP="00585B81">
      <w:r>
        <w:t>Z uwagi na różne zakresy czasowe danych dla poszczególnych krajów, porównania oparte są przede wszystkim na średnich tygodniowych, a nie na sumach historycznych.</w:t>
      </w:r>
    </w:p>
    <w:p w14:paraId="2667BA8F" w14:textId="77777777" w:rsidR="004B2F49" w:rsidRDefault="004B2F49" w:rsidP="00585B81"/>
    <w:p w14:paraId="0A4021DC" w14:textId="2DE32AA6" w:rsidR="004B2F49" w:rsidRPr="001E0A59" w:rsidRDefault="004B2F49" w:rsidP="00585B81">
      <w:pPr>
        <w:rPr>
          <w:sz w:val="28"/>
          <w:szCs w:val="28"/>
        </w:rPr>
      </w:pPr>
      <w:r w:rsidRPr="00E53664">
        <w:rPr>
          <w:sz w:val="28"/>
          <w:szCs w:val="28"/>
        </w:rPr>
        <w:t>2. Sezonowość popytu</w:t>
      </w:r>
    </w:p>
    <w:p w14:paraId="0AB040E1" w14:textId="731676D6" w:rsidR="004B2F49" w:rsidRDefault="004B2F49" w:rsidP="004A434F">
      <w:r>
        <w:t>Dla całego zbioru danych zaobserwowano</w:t>
      </w:r>
      <w:r w:rsidR="004A434F">
        <w:t xml:space="preserve"> wyraźne r</w:t>
      </w:r>
      <w:r>
        <w:t>óżnice sezonowe pomiędzy produktam</w:t>
      </w:r>
      <w:r w:rsidR="001E0A59">
        <w:t>i</w:t>
      </w:r>
    </w:p>
    <w:p w14:paraId="4228268D" w14:textId="549E54DD" w:rsidR="00B931B6" w:rsidRDefault="00B931B6" w:rsidP="00585B81">
      <w:r w:rsidRPr="00B931B6">
        <w:rPr>
          <w:noProof/>
        </w:rPr>
        <w:drawing>
          <wp:inline distT="0" distB="0" distL="0" distR="0" wp14:anchorId="592A78E7" wp14:editId="0226387B">
            <wp:extent cx="5967095" cy="2597150"/>
            <wp:effectExtent l="0" t="0" r="0" b="0"/>
            <wp:docPr id="1103834019" name="Obraz 1" descr="Obraz zawierający tekst, linia, Wykres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34019" name="Obraz 1" descr="Obraz zawierający tekst, linia, Wykres, zrzut ekranu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4470" cy="260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B063" w14:textId="77777777" w:rsidR="004B2F49" w:rsidRDefault="004B2F49" w:rsidP="00585B81"/>
    <w:p w14:paraId="46424410" w14:textId="7A94A0C9" w:rsidR="004B2F49" w:rsidRDefault="004B2F49" w:rsidP="00585B81">
      <w:r>
        <w:t xml:space="preserve">Najwyższe średnie wolumeny występują w okresach letnich, co jest zgodne z charakterem części asortymentu (napoje, lody). </w:t>
      </w:r>
    </w:p>
    <w:p w14:paraId="36CF9A9D" w14:textId="77777777" w:rsidR="00B931B6" w:rsidRDefault="00B931B6" w:rsidP="00585B81"/>
    <w:p w14:paraId="02D83B47" w14:textId="556B4875" w:rsidR="004B2F49" w:rsidRPr="00B931B6" w:rsidRDefault="004B2F49" w:rsidP="00585B81">
      <w:pPr>
        <w:rPr>
          <w:sz w:val="28"/>
          <w:szCs w:val="28"/>
        </w:rPr>
      </w:pPr>
      <w:r w:rsidRPr="00B931B6">
        <w:rPr>
          <w:sz w:val="28"/>
          <w:szCs w:val="28"/>
        </w:rPr>
        <w:t>3. Struktura sprzedaży – produkty i centra logistyczne</w:t>
      </w:r>
    </w:p>
    <w:p w14:paraId="4EF089CF" w14:textId="0FC79F07" w:rsidR="004B2F49" w:rsidRDefault="004B2F49" w:rsidP="00585B81">
      <w:r>
        <w:t>Sprzedaż jest silnie skoncentrowana:</w:t>
      </w:r>
    </w:p>
    <w:p w14:paraId="4335CF86" w14:textId="56D9147D" w:rsidR="004B2F49" w:rsidRDefault="004B2F49" w:rsidP="00585B81">
      <w:pPr>
        <w:pStyle w:val="Akapitzlist"/>
        <w:numPr>
          <w:ilvl w:val="0"/>
          <w:numId w:val="4"/>
        </w:numPr>
      </w:pPr>
      <w:r>
        <w:t>kilka SKU odpowiada za bardzo dużą część całkowitego wolumenu,</w:t>
      </w:r>
    </w:p>
    <w:p w14:paraId="5FFBED34" w14:textId="02914A2F" w:rsidR="0075530D" w:rsidRDefault="0075530D" w:rsidP="00585B81">
      <w:pPr>
        <w:pStyle w:val="Akapitzlist"/>
      </w:pPr>
      <w:r w:rsidRPr="0075530D">
        <w:rPr>
          <w:noProof/>
        </w:rPr>
        <w:drawing>
          <wp:inline distT="0" distB="0" distL="0" distR="0" wp14:anchorId="1AD79A7C" wp14:editId="1296AE79">
            <wp:extent cx="2518136" cy="2279650"/>
            <wp:effectExtent l="0" t="0" r="0" b="6350"/>
            <wp:docPr id="662483052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83052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2271" cy="229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B0D3" w14:textId="77777777" w:rsidR="00B931B6" w:rsidRDefault="00B931B6" w:rsidP="00585B81">
      <w:pPr>
        <w:pStyle w:val="Akapitzlist"/>
      </w:pPr>
    </w:p>
    <w:p w14:paraId="4A251D2F" w14:textId="77777777" w:rsidR="00B931B6" w:rsidRDefault="00B931B6" w:rsidP="00585B81">
      <w:pPr>
        <w:pStyle w:val="Akapitzlist"/>
      </w:pPr>
    </w:p>
    <w:p w14:paraId="02670D71" w14:textId="01D6F2AC" w:rsidR="004B2F49" w:rsidRDefault="004B2F49" w:rsidP="00585B81">
      <w:pPr>
        <w:pStyle w:val="Akapitzlist"/>
        <w:numPr>
          <w:ilvl w:val="0"/>
          <w:numId w:val="4"/>
        </w:numPr>
      </w:pPr>
      <w:r>
        <w:t>podobna koncentracja widoczna jest również na poziomie wybranych centrów dystrybucyjnych (DC).</w:t>
      </w:r>
    </w:p>
    <w:p w14:paraId="467B5FA6" w14:textId="0FA82ED9" w:rsidR="004B2F49" w:rsidRDefault="0075530D" w:rsidP="00585B81">
      <w:pPr>
        <w:pStyle w:val="Akapitzlist"/>
      </w:pPr>
      <w:r w:rsidRPr="0075530D">
        <w:rPr>
          <w:noProof/>
        </w:rPr>
        <w:drawing>
          <wp:inline distT="0" distB="0" distL="0" distR="0" wp14:anchorId="1920FE48" wp14:editId="39A525CE">
            <wp:extent cx="2660650" cy="2445725"/>
            <wp:effectExtent l="0" t="0" r="6350" b="0"/>
            <wp:docPr id="530502457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02457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1263" cy="246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3735" w14:textId="730199C9" w:rsidR="004B2F49" w:rsidRDefault="004B2F49" w:rsidP="00585B81"/>
    <w:p w14:paraId="08CDBB88" w14:textId="77777777" w:rsidR="004B2F49" w:rsidRPr="00B931B6" w:rsidRDefault="004B2F49" w:rsidP="00585B81">
      <w:pPr>
        <w:rPr>
          <w:sz w:val="28"/>
          <w:szCs w:val="28"/>
        </w:rPr>
      </w:pPr>
      <w:r w:rsidRPr="00B931B6">
        <w:rPr>
          <w:sz w:val="28"/>
          <w:szCs w:val="28"/>
        </w:rPr>
        <w:t>4. Charakter dynamiki popytu</w:t>
      </w:r>
    </w:p>
    <w:p w14:paraId="57A00AA0" w14:textId="77777777" w:rsidR="004B2F49" w:rsidRDefault="004B2F49" w:rsidP="00585B81"/>
    <w:p w14:paraId="59B4AD7A" w14:textId="066C6A6D" w:rsidR="004B2F49" w:rsidRDefault="004B2F49" w:rsidP="00585B81">
      <w:r>
        <w:t>Analiza zależności między kolejnymi tygodniami pokazuje bardzo silną autokorelację wolumenu. Oznacza to, że:</w:t>
      </w:r>
    </w:p>
    <w:p w14:paraId="7D531F69" w14:textId="0921C1E9" w:rsidR="004B2F49" w:rsidRDefault="004B2F49" w:rsidP="00585B81">
      <w:pPr>
        <w:pStyle w:val="Akapitzlist"/>
        <w:numPr>
          <w:ilvl w:val="0"/>
          <w:numId w:val="5"/>
        </w:numPr>
      </w:pPr>
      <w:r>
        <w:t>bieżąca sprzedaż jest w dużym stopniu determinowana przez sprzedaż z poprzednich tygodni,</w:t>
      </w:r>
    </w:p>
    <w:p w14:paraId="1F509738" w14:textId="6138231C" w:rsidR="004B2F49" w:rsidRDefault="004B2F49" w:rsidP="00585B81">
      <w:pPr>
        <w:pStyle w:val="Akapitzlist"/>
        <w:numPr>
          <w:ilvl w:val="0"/>
          <w:numId w:val="5"/>
        </w:numPr>
      </w:pPr>
      <w:r>
        <w:t>informacje o opóźnieniach czasowych i średnich kroczących są kluczowe dla jakości prognoz.</w:t>
      </w:r>
    </w:p>
    <w:p w14:paraId="71C60819" w14:textId="2F4E3340" w:rsidR="004B2F49" w:rsidRDefault="004B2F49" w:rsidP="00585B81">
      <w:r>
        <w:t xml:space="preserve">Dodatkowo obecne są obserwacje odstające </w:t>
      </w:r>
      <w:proofErr w:type="spellStart"/>
      <w:r w:rsidR="00B931B6">
        <w:t>outliery</w:t>
      </w:r>
      <w:proofErr w:type="spellEnd"/>
      <w:r>
        <w:t>, które będą wymagały specjalnego podejścia w modelowaniu.</w:t>
      </w:r>
    </w:p>
    <w:p w14:paraId="55318F3B" w14:textId="77777777" w:rsidR="004B2F49" w:rsidRDefault="004B2F49" w:rsidP="00585B81"/>
    <w:p w14:paraId="6950B6DA" w14:textId="77777777" w:rsidR="004B2F49" w:rsidRPr="00E92385" w:rsidRDefault="004B2F49" w:rsidP="00585B81">
      <w:pPr>
        <w:rPr>
          <w:sz w:val="28"/>
          <w:szCs w:val="28"/>
        </w:rPr>
      </w:pPr>
      <w:r w:rsidRPr="00E92385">
        <w:rPr>
          <w:sz w:val="28"/>
          <w:szCs w:val="28"/>
        </w:rPr>
        <w:t>5. Zakres i architektura planowanego prognozowania</w:t>
      </w:r>
    </w:p>
    <w:p w14:paraId="5883C307" w14:textId="77777777" w:rsidR="004B2F49" w:rsidRDefault="004B2F49" w:rsidP="00585B81"/>
    <w:p w14:paraId="44B6D341" w14:textId="6BC473D3" w:rsidR="004B2F49" w:rsidRDefault="004B2F49" w:rsidP="00585B81">
      <w:r>
        <w:t>Prognozy będą budowane w układzie tygodniowym:</w:t>
      </w:r>
    </w:p>
    <w:p w14:paraId="264C429C" w14:textId="30B14D79" w:rsidR="004B2F49" w:rsidRDefault="004B2F49" w:rsidP="00585B81">
      <w:pPr>
        <w:pStyle w:val="Akapitzlist"/>
        <w:numPr>
          <w:ilvl w:val="0"/>
          <w:numId w:val="3"/>
        </w:numPr>
      </w:pPr>
      <w:r>
        <w:t>na poziomie kraju,</w:t>
      </w:r>
    </w:p>
    <w:p w14:paraId="706EC613" w14:textId="339D84C3" w:rsidR="004B2F49" w:rsidRDefault="004B2F49" w:rsidP="00585B81">
      <w:pPr>
        <w:pStyle w:val="Akapitzlist"/>
        <w:numPr>
          <w:ilvl w:val="0"/>
          <w:numId w:val="3"/>
        </w:numPr>
      </w:pPr>
      <w:r>
        <w:t>centrum dystrybucyjnego (DC),</w:t>
      </w:r>
    </w:p>
    <w:p w14:paraId="127830D6" w14:textId="2A07FBFD" w:rsidR="004B2F49" w:rsidRDefault="004B2F49" w:rsidP="00585B81">
      <w:pPr>
        <w:pStyle w:val="Akapitzlist"/>
        <w:numPr>
          <w:ilvl w:val="0"/>
          <w:numId w:val="3"/>
        </w:numPr>
      </w:pPr>
      <w:r>
        <w:t>produktu (SKU).</w:t>
      </w:r>
    </w:p>
    <w:p w14:paraId="2BA6940B" w14:textId="62589A80" w:rsidR="004B2F49" w:rsidRDefault="004B2F49" w:rsidP="00585B81">
      <w:r>
        <w:t>Docelowy horyzont prognozy: od kilku do kilkunastu tygodni w przód.</w:t>
      </w:r>
    </w:p>
    <w:p w14:paraId="40933A5C" w14:textId="7C2C0B0B" w:rsidR="004B2F49" w:rsidRDefault="004B2F49" w:rsidP="00585B81">
      <w:r>
        <w:t>Planowane jest podejście hybrydowe:</w:t>
      </w:r>
    </w:p>
    <w:p w14:paraId="10A05CB3" w14:textId="23AE77F3" w:rsidR="004B2F49" w:rsidRDefault="004B2F49" w:rsidP="00585B81">
      <w:pPr>
        <w:pStyle w:val="Akapitzlist"/>
        <w:numPr>
          <w:ilvl w:val="0"/>
          <w:numId w:val="7"/>
        </w:numPr>
      </w:pPr>
      <w:r>
        <w:t>modele klasyczne szeregów czasowych (ARIMA / SARIMA) jako punkt porównawczy dla stabilnych serii,</w:t>
      </w:r>
    </w:p>
    <w:p w14:paraId="6DFA3C19" w14:textId="5758E491" w:rsidR="004B2F49" w:rsidRDefault="004B2F49" w:rsidP="00585B81">
      <w:pPr>
        <w:pStyle w:val="Akapitzlist"/>
        <w:numPr>
          <w:ilvl w:val="0"/>
          <w:numId w:val="7"/>
        </w:numPr>
      </w:pPr>
      <w:r>
        <w:t>modele regresyjne z cechami czasowymi,</w:t>
      </w:r>
    </w:p>
    <w:p w14:paraId="4863403B" w14:textId="520FBEF7" w:rsidR="004B2F49" w:rsidRDefault="004B2F49" w:rsidP="00585B81">
      <w:pPr>
        <w:pStyle w:val="Akapitzlist"/>
        <w:numPr>
          <w:ilvl w:val="0"/>
          <w:numId w:val="7"/>
        </w:numPr>
      </w:pPr>
      <w:r>
        <w:t>jeden globalny model uczenia maszynowego, wspólny dla wszystkich krajów i produktów,</w:t>
      </w:r>
    </w:p>
    <w:p w14:paraId="22A3FD30" w14:textId="77777777" w:rsidR="004B2F49" w:rsidRDefault="004B2F49" w:rsidP="00585B81">
      <w:pPr>
        <w:pStyle w:val="Akapitzlist"/>
        <w:numPr>
          <w:ilvl w:val="0"/>
          <w:numId w:val="7"/>
        </w:numPr>
      </w:pPr>
      <w:r>
        <w:t>opcjonalnie – model sieci neuronowej do szeregów czasowych w późniejszym etapie.</w:t>
      </w:r>
    </w:p>
    <w:p w14:paraId="0834E78B" w14:textId="77777777" w:rsidR="004B2F49" w:rsidRDefault="004B2F49" w:rsidP="00585B81"/>
    <w:p w14:paraId="70A36F73" w14:textId="77777777" w:rsidR="004B2F49" w:rsidRDefault="004B2F49" w:rsidP="00585B81">
      <w:r>
        <w:t>Celem jest uzyskanie jednego spójnego mechanizmu predykcyjnego, który skaluje się na wszystkie rynki.</w:t>
      </w:r>
    </w:p>
    <w:p w14:paraId="48F77235" w14:textId="77777777" w:rsidR="004B2F49" w:rsidRDefault="004B2F49" w:rsidP="00585B81"/>
    <w:p w14:paraId="0F6C28CF" w14:textId="08DE671F" w:rsidR="004B2F49" w:rsidRPr="0075530D" w:rsidRDefault="004B2F49" w:rsidP="00585B81">
      <w:pPr>
        <w:rPr>
          <w:sz w:val="28"/>
          <w:szCs w:val="28"/>
        </w:rPr>
      </w:pPr>
      <w:r w:rsidRPr="0075530D">
        <w:rPr>
          <w:sz w:val="28"/>
          <w:szCs w:val="28"/>
        </w:rPr>
        <w:t>6. Ocena jakości prognoz</w:t>
      </w:r>
    </w:p>
    <w:p w14:paraId="48F4EFBE" w14:textId="5C0A52A5" w:rsidR="004B2F49" w:rsidRDefault="004B2F49" w:rsidP="00585B81">
      <w:r>
        <w:t>Jakość prognoz będzie oceniana w walidacji czasowej przy użyciu standardowych miar błędu:</w:t>
      </w:r>
      <w:r w:rsidR="00E92385">
        <w:t xml:space="preserve"> </w:t>
      </w:r>
      <w:r>
        <w:t>MAPE,</w:t>
      </w:r>
      <w:r w:rsidR="00E92385">
        <w:t xml:space="preserve"> </w:t>
      </w:r>
      <w:r>
        <w:t>MAE,</w:t>
      </w:r>
      <w:r w:rsidR="00E92385">
        <w:t xml:space="preserve"> </w:t>
      </w:r>
      <w:r>
        <w:t>RMSE.</w:t>
      </w:r>
    </w:p>
    <w:p w14:paraId="207AA2F6" w14:textId="77777777" w:rsidR="0075530D" w:rsidRDefault="0075530D" w:rsidP="00585B81"/>
    <w:p w14:paraId="31AE966E" w14:textId="5505E807" w:rsidR="00FE74C1" w:rsidRDefault="00585B81" w:rsidP="00585B81">
      <w:pPr>
        <w:rPr>
          <w:b/>
          <w:bCs/>
          <w:sz w:val="28"/>
          <w:szCs w:val="28"/>
        </w:rPr>
      </w:pPr>
      <w:r w:rsidRPr="00585B81">
        <w:rPr>
          <w:b/>
          <w:bCs/>
          <w:sz w:val="28"/>
          <w:szCs w:val="28"/>
        </w:rPr>
        <w:t>Aktualny plan prac</w:t>
      </w:r>
    </w:p>
    <w:p w14:paraId="3F2E3B52" w14:textId="08A94755" w:rsidR="00EE604D" w:rsidRDefault="00EE604D" w:rsidP="00EE604D">
      <w:pPr>
        <w:rPr>
          <w:sz w:val="28"/>
          <w:szCs w:val="28"/>
        </w:rPr>
      </w:pPr>
      <w:r>
        <w:rPr>
          <w:sz w:val="28"/>
          <w:szCs w:val="28"/>
        </w:rPr>
        <w:t xml:space="preserve">Analizowane </w:t>
      </w:r>
      <w:r w:rsidRPr="00EE604D">
        <w:rPr>
          <w:sz w:val="28"/>
          <w:szCs w:val="28"/>
        </w:rPr>
        <w:t xml:space="preserve">są różne klasy modeli prognostycznych, od metod bazowych po bardziej zaawansowane podejścia statystyczne i uczenia maszynowego, dobierane w zależności od charakterystyki i długości dostępnej historii danych. Strategia podziału danych na zbiory uczące i testowe jest dostosowywana indywidualnie do poszczególnych produktów, z docelowym horyzontem prognozy obejmującym pełny rok 2026. W pierwszej kolejności prognozy budowane są na poziomie produktu w danym kraju, z możliwością dalszej dekompozycji na poziom centrów dystrybucyjnych. Równolegle została przygotowana interaktywna aplikacja analityczna oparta o </w:t>
      </w:r>
      <w:proofErr w:type="spellStart"/>
      <w:r w:rsidRPr="00EE604D">
        <w:rPr>
          <w:sz w:val="28"/>
          <w:szCs w:val="28"/>
        </w:rPr>
        <w:t>Streamlit</w:t>
      </w:r>
      <w:proofErr w:type="spellEnd"/>
      <w:r w:rsidRPr="00EE604D">
        <w:rPr>
          <w:sz w:val="28"/>
          <w:szCs w:val="28"/>
        </w:rPr>
        <w:t>, umożliwiająca przegląd i eksplorację danych, która w kolejnych etapach będzie rozszerzana o prognozy, metryki jakości modeli oraz funkcje eksportu wyników.</w:t>
      </w:r>
    </w:p>
    <w:p w14:paraId="7729BC4D" w14:textId="77777777" w:rsidR="00EE604D" w:rsidRDefault="00EE604D" w:rsidP="00EE604D">
      <w:pPr>
        <w:rPr>
          <w:sz w:val="28"/>
          <w:szCs w:val="28"/>
        </w:rPr>
      </w:pPr>
    </w:p>
    <w:p w14:paraId="3BADE872" w14:textId="083C5488" w:rsidR="00EE604D" w:rsidRPr="00EE604D" w:rsidRDefault="00EE604D" w:rsidP="00EE604D">
      <w:pPr>
        <w:pStyle w:val="Akapitzlist"/>
        <w:numPr>
          <w:ilvl w:val="0"/>
          <w:numId w:val="8"/>
        </w:numPr>
        <w:rPr>
          <w:sz w:val="28"/>
          <w:szCs w:val="28"/>
        </w:rPr>
      </w:pPr>
      <w:r w:rsidRPr="00EE604D">
        <w:rPr>
          <w:sz w:val="28"/>
          <w:szCs w:val="28"/>
        </w:rPr>
        <w:t>Widok ogólny aplikacji prezentujący podstawowe statystyki po zastosowaniu filtrów, w tym liczbę obserwacji, zakres dat oraz dostępne kraje, produkty i centra dystrybucyjne.</w:t>
      </w:r>
    </w:p>
    <w:p w14:paraId="3794F5ED" w14:textId="12DE7DEC" w:rsidR="00EE604D" w:rsidRDefault="00EE604D" w:rsidP="00EE604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9176FC" wp14:editId="4B41191A">
            <wp:extent cx="7108190" cy="3609892"/>
            <wp:effectExtent l="0" t="0" r="0" b="0"/>
            <wp:docPr id="161323264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3264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5289" cy="362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6CF6" w14:textId="77777777" w:rsidR="00EE604D" w:rsidRDefault="00EE604D" w:rsidP="00EE604D">
      <w:pPr>
        <w:rPr>
          <w:sz w:val="28"/>
          <w:szCs w:val="28"/>
        </w:rPr>
      </w:pPr>
    </w:p>
    <w:p w14:paraId="7D071B83" w14:textId="7C9B4F1F" w:rsidR="00EE604D" w:rsidRDefault="00EE604D" w:rsidP="00EE604D">
      <w:pPr>
        <w:pStyle w:val="Akapitzlist"/>
        <w:numPr>
          <w:ilvl w:val="0"/>
          <w:numId w:val="8"/>
        </w:numPr>
        <w:rPr>
          <w:sz w:val="28"/>
          <w:szCs w:val="28"/>
        </w:rPr>
      </w:pPr>
      <w:r w:rsidRPr="00EE604D">
        <w:rPr>
          <w:sz w:val="28"/>
          <w:szCs w:val="28"/>
        </w:rPr>
        <w:t>Przykładowa wizualizacja szeregu czasowego popytu dla wybranego produktu, umożliwiająca szybką ocenę sezonowości oraz zmienności sprzedaży w czasie.</w:t>
      </w:r>
    </w:p>
    <w:p w14:paraId="3C623620" w14:textId="41149F87" w:rsidR="00EE604D" w:rsidRDefault="00EE604D" w:rsidP="00EE604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F38D4BC" wp14:editId="1C8D530C">
            <wp:extent cx="7173418" cy="2790908"/>
            <wp:effectExtent l="0" t="0" r="8890" b="0"/>
            <wp:docPr id="295611258" name="Obraz 2" descr="Obraz zawierający tekst, Czcionka, diagram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11258" name="Obraz 2" descr="Obraz zawierający tekst, Czcionka, diagram, Wykres&#10;&#10;Zawartość wygenerowana przez AI może być niepoprawna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717" cy="281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D8E6" w14:textId="77777777" w:rsidR="00EE604D" w:rsidRDefault="00EE604D" w:rsidP="00EE604D">
      <w:pPr>
        <w:rPr>
          <w:sz w:val="28"/>
          <w:szCs w:val="28"/>
        </w:rPr>
      </w:pPr>
    </w:p>
    <w:p w14:paraId="4D7CCDDA" w14:textId="21E90CFC" w:rsidR="00EE604D" w:rsidRDefault="00EE604D" w:rsidP="00EE604D">
      <w:pPr>
        <w:pStyle w:val="Akapitzlist"/>
        <w:numPr>
          <w:ilvl w:val="0"/>
          <w:numId w:val="8"/>
        </w:numPr>
        <w:rPr>
          <w:sz w:val="28"/>
          <w:szCs w:val="28"/>
        </w:rPr>
      </w:pPr>
      <w:r w:rsidRPr="00EE604D">
        <w:rPr>
          <w:sz w:val="28"/>
          <w:szCs w:val="28"/>
        </w:rPr>
        <w:t>Ranking produktów oraz centrów dystrybucyjnych według łącznego wolumenu sprzedaży w wybranym zakresie danych.</w:t>
      </w:r>
    </w:p>
    <w:p w14:paraId="0CAB8859" w14:textId="4E77F37A" w:rsidR="00EE604D" w:rsidRDefault="00EE604D" w:rsidP="00EE604D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C465DC" wp14:editId="5CBB67E3">
            <wp:extent cx="7031177" cy="2861342"/>
            <wp:effectExtent l="0" t="0" r="0" b="0"/>
            <wp:docPr id="1698715050" name="Obraz 3" descr="Obraz zawierający tekst, zrzut ekranu, diagram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15050" name="Obraz 3" descr="Obraz zawierający tekst, zrzut ekranu, diagram, Wykres&#10;&#10;Zawartość wygenerowana przez AI może być niepoprawna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6223" cy="287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E9BB" w14:textId="77777777" w:rsidR="00EE604D" w:rsidRDefault="00EE604D" w:rsidP="00EE604D">
      <w:pPr>
        <w:ind w:left="360"/>
        <w:rPr>
          <w:sz w:val="28"/>
          <w:szCs w:val="28"/>
        </w:rPr>
      </w:pPr>
    </w:p>
    <w:p w14:paraId="2C5A6669" w14:textId="632D03CF" w:rsidR="00EE604D" w:rsidRDefault="00EE604D" w:rsidP="00EE604D">
      <w:pPr>
        <w:pStyle w:val="Akapitzlist"/>
        <w:numPr>
          <w:ilvl w:val="0"/>
          <w:numId w:val="8"/>
        </w:numPr>
        <w:rPr>
          <w:sz w:val="28"/>
          <w:szCs w:val="28"/>
        </w:rPr>
      </w:pPr>
      <w:r w:rsidRPr="00EE604D">
        <w:rPr>
          <w:sz w:val="28"/>
          <w:szCs w:val="28"/>
        </w:rPr>
        <w:t xml:space="preserve">Szczegółowy widok danych źródłowych umożliwiający ich </w:t>
      </w:r>
      <w:r>
        <w:rPr>
          <w:sz w:val="28"/>
          <w:szCs w:val="28"/>
        </w:rPr>
        <w:t xml:space="preserve">przegląd </w:t>
      </w:r>
      <w:r w:rsidRPr="00EE604D">
        <w:rPr>
          <w:sz w:val="28"/>
          <w:szCs w:val="28"/>
        </w:rPr>
        <w:t>oraz weryfikację poprawności po zastosowaniu filtrów.</w:t>
      </w:r>
    </w:p>
    <w:p w14:paraId="58D9936D" w14:textId="5F3D69DF" w:rsidR="00EE604D" w:rsidRPr="00EE604D" w:rsidRDefault="00EE604D" w:rsidP="00EE604D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1383B3" wp14:editId="7A384BA8">
            <wp:extent cx="7045327" cy="2890486"/>
            <wp:effectExtent l="0" t="0" r="3175" b="5715"/>
            <wp:docPr id="286301579" name="Obraz 4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01579" name="Obraz 4" descr="Obraz zawierający tekst, zrzut ekranu, numer, Czcionka&#10;&#10;Zawartość wygenerowana przez AI może być niepoprawna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3441" cy="289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4F65" w14:textId="77777777" w:rsidR="00585B81" w:rsidRPr="00585B81" w:rsidRDefault="00585B81" w:rsidP="00585B81">
      <w:pPr>
        <w:rPr>
          <w:b/>
          <w:bCs/>
          <w:sz w:val="28"/>
          <w:szCs w:val="28"/>
        </w:rPr>
      </w:pPr>
    </w:p>
    <w:sectPr w:rsidR="00585B81" w:rsidRPr="00585B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7C81"/>
    <w:multiLevelType w:val="hybridMultilevel"/>
    <w:tmpl w:val="D89C6E9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24D01"/>
    <w:multiLevelType w:val="hybridMultilevel"/>
    <w:tmpl w:val="72860F14"/>
    <w:lvl w:ilvl="0" w:tplc="A16E8E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F16D17"/>
    <w:multiLevelType w:val="hybridMultilevel"/>
    <w:tmpl w:val="D78CA6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D4222E"/>
    <w:multiLevelType w:val="hybridMultilevel"/>
    <w:tmpl w:val="6740718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1F7E85"/>
    <w:multiLevelType w:val="hybridMultilevel"/>
    <w:tmpl w:val="2788F3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1C6F71"/>
    <w:multiLevelType w:val="hybridMultilevel"/>
    <w:tmpl w:val="670EDD8A"/>
    <w:lvl w:ilvl="0" w:tplc="A16E8E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182FD0"/>
    <w:multiLevelType w:val="hybridMultilevel"/>
    <w:tmpl w:val="B0EE2CB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83591F"/>
    <w:multiLevelType w:val="hybridMultilevel"/>
    <w:tmpl w:val="6FCC7D3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144229">
    <w:abstractNumId w:val="6"/>
  </w:num>
  <w:num w:numId="2" w16cid:durableId="1670988596">
    <w:abstractNumId w:val="4"/>
  </w:num>
  <w:num w:numId="3" w16cid:durableId="369838399">
    <w:abstractNumId w:val="2"/>
  </w:num>
  <w:num w:numId="4" w16cid:durableId="405108886">
    <w:abstractNumId w:val="3"/>
  </w:num>
  <w:num w:numId="5" w16cid:durableId="634070921">
    <w:abstractNumId w:val="7"/>
  </w:num>
  <w:num w:numId="6" w16cid:durableId="1441335027">
    <w:abstractNumId w:val="1"/>
  </w:num>
  <w:num w:numId="7" w16cid:durableId="1513640539">
    <w:abstractNumId w:val="5"/>
  </w:num>
  <w:num w:numId="8" w16cid:durableId="138536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07"/>
    <w:rsid w:val="000D3932"/>
    <w:rsid w:val="00103F07"/>
    <w:rsid w:val="001E0A59"/>
    <w:rsid w:val="002A327D"/>
    <w:rsid w:val="004A434F"/>
    <w:rsid w:val="004B2F49"/>
    <w:rsid w:val="00585B81"/>
    <w:rsid w:val="0075530D"/>
    <w:rsid w:val="008D42F7"/>
    <w:rsid w:val="00B931B6"/>
    <w:rsid w:val="00E53664"/>
    <w:rsid w:val="00E92385"/>
    <w:rsid w:val="00EE604D"/>
    <w:rsid w:val="00FC6D95"/>
    <w:rsid w:val="00FD7F39"/>
    <w:rsid w:val="00FE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D1C74"/>
  <w15:chartTrackingRefBased/>
  <w15:docId w15:val="{D0DB82F1-D500-42DD-8902-FF8A70455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03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03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03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03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03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03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03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03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03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03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03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03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03F0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03F0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03F0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03F0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03F0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03F0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03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03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03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03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03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03F0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03F0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03F0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03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03F0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03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610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Eunika  Niedźwiecka</dc:creator>
  <cp:keywords/>
  <dc:description/>
  <cp:lastModifiedBy>Eunika  Niedźwiecka</cp:lastModifiedBy>
  <cp:revision>4</cp:revision>
  <dcterms:created xsi:type="dcterms:W3CDTF">2025-12-10T09:49:00Z</dcterms:created>
  <dcterms:modified xsi:type="dcterms:W3CDTF">2026-01-10T14:05:00Z</dcterms:modified>
</cp:coreProperties>
</file>