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napToGrid w:val="false"/>
        <w:spacing w:before="0" w:after="0"/>
        <w:jc w:val="center"/>
        <w:textAlignment w:val="top"/>
        <w:rPr>
          <w:rFonts w:ascii="Times New Roman" w:hAnsi="Times New Roman" w:cs="Times New Roman"/>
          <w:b/>
          <w:bCs/>
          <w:sz w:val="28"/>
          <w:szCs w:val="20"/>
          <w:lang w:eastAsia="zh-HK"/>
        </w:rPr>
      </w:pPr>
      <w:r>
        <w:rPr>
          <w:rFonts w:cs="Times New Roman" w:ascii="Times New Roman" w:hAnsi="Times New Roman"/>
          <w:b/>
          <w:bCs/>
          <w:sz w:val="28"/>
          <w:szCs w:val="20"/>
          <w:lang w:eastAsia="zh-HK"/>
        </w:rPr>
        <w:t>Asymmetric Responses of Public Employment Service Spending to Rising and Falling Unemployment: Evidence from OECD Countries</w:t>
      </w:r>
      <w:r>
        <w:rPr>
          <w:rFonts w:cs="Times New Roman" w:ascii="Times New Roman" w:hAnsi="Times New Roman"/>
          <w:b/>
          <w:bCs/>
          <w:sz w:val="28"/>
          <w:szCs w:val="20"/>
          <w:lang w:eastAsia="zh-HK"/>
        </w:rPr>
      </w:r>
    </w:p>
    <w:p>
      <w:pPr>
        <w:pStyle w:val="NormalWeb"/>
        <w:snapToGrid w:val="false"/>
        <w:spacing w:before="0" w:after="0"/>
        <w:jc w:val="center"/>
        <w:textAlignment w:val="top"/>
        <w:rPr>
          <w:rFonts w:ascii="Times New Roman" w:hAnsi="Times New Roman" w:cs="Times New Roman"/>
          <w:b/>
          <w:bCs/>
          <w:sz w:val="28"/>
          <w:szCs w:val="27"/>
          <w:lang w:eastAsia="zh-HK"/>
        </w:rPr>
      </w:pPr>
      <w:r>
        <w:rPr>
          <w:rFonts w:cs="Times New Roman" w:ascii="Times New Roman" w:hAnsi="Times New Roman"/>
          <w:b/>
          <w:bCs/>
          <w:sz w:val="28"/>
          <w:szCs w:val="27"/>
          <w:lang w:eastAsia="zh-HK"/>
        </w:rPr>
      </w:r>
    </w:p>
    <w:p>
      <w:pPr>
        <w:pStyle w:val="NormalWeb"/>
        <w:snapToGrid w:val="false"/>
        <w:spacing w:before="0" w:after="0"/>
        <w:jc w:val="center"/>
        <w:textAlignment w:val="top"/>
        <w:rPr>
          <w:rFonts w:ascii="Times New Roman" w:hAnsi="Times New Roman" w:cs="Times New Roman"/>
          <w:szCs w:val="27"/>
          <w:lang w:eastAsia="zh-HK"/>
        </w:rPr>
      </w:pPr>
      <w:r>
        <w:rPr>
          <w:rFonts w:cs="Times New Roman" w:ascii="Times New Roman" w:hAnsi="Times New Roman"/>
          <w:szCs w:val="27"/>
          <w:lang w:eastAsia="zh-HK"/>
        </w:rPr>
      </w:r>
    </w:p>
    <w:p>
      <w:pPr>
        <w:pStyle w:val="NormalWeb"/>
        <w:snapToGrid w:val="false"/>
        <w:spacing w:before="0" w:after="0"/>
        <w:jc w:val="center"/>
        <w:textAlignment w:val="top"/>
        <w:rPr>
          <w:rFonts w:ascii="Times New Roman" w:hAnsi="Times New Roman" w:cs="Times New Roman"/>
          <w:iCs/>
          <w:szCs w:val="20"/>
        </w:rPr>
      </w:pPr>
      <w:r>
        <w:rPr>
          <w:rFonts w:cs="Times New Roman" w:ascii="Times New Roman" w:hAnsi="Times New Roman"/>
          <w:iCs/>
          <w:szCs w:val="20"/>
          <w:lang w:eastAsia="zh-HK"/>
        </w:rPr>
        <w:t>First Author</w:t>
      </w:r>
      <w:r>
        <w:rPr>
          <w:rFonts w:cs="Times New Roman" w:ascii="Times New Roman" w:hAnsi="Times New Roman"/>
          <w:iCs/>
          <w:szCs w:val="20"/>
          <w:lang w:eastAsia="zh-HK"/>
        </w:rPr>
        <w:t>’</w:t>
      </w:r>
      <w:r>
        <w:rPr>
          <w:rFonts w:cs="Times New Roman" w:ascii="Times New Roman" w:hAnsi="Times New Roman"/>
          <w:iCs/>
          <w:szCs w:val="20"/>
          <w:lang w:eastAsia="zh-HK"/>
        </w:rPr>
        <w:t>s Name</w:t>
      </w:r>
    </w:p>
    <w:p>
      <w:pPr>
        <w:pStyle w:val="NormalWeb"/>
        <w:snapToGrid w:val="false"/>
        <w:spacing w:before="0" w:after="0"/>
        <w:jc w:val="center"/>
        <w:textAlignment w:val="top"/>
        <w:rPr/>
      </w:pPr>
      <w:r>
        <w:rPr>
          <w:rFonts w:cs="Times New Roman" w:ascii="Times New Roman" w:hAnsi="Times New Roman"/>
          <w:iCs/>
          <w:szCs w:val="20"/>
          <w:lang w:eastAsia="zh-HK"/>
        </w:rPr>
        <w:t>First Author</w:t>
      </w:r>
      <w:r>
        <w:rPr>
          <w:rFonts w:cs="Times New Roman" w:ascii="Times New Roman" w:hAnsi="Times New Roman"/>
          <w:iCs/>
          <w:szCs w:val="20"/>
          <w:lang w:eastAsia="zh-HK"/>
        </w:rPr>
        <w:t>’</w:t>
      </w:r>
      <w:r>
        <w:rPr>
          <w:rFonts w:cs="Times New Roman" w:ascii="Times New Roman" w:hAnsi="Times New Roman"/>
          <w:iCs/>
          <w:szCs w:val="20"/>
          <w:lang w:eastAsia="zh-HK"/>
        </w:rPr>
        <w:t>s Affiliation</w:t>
      </w:r>
      <w:r>
        <w:rPr>
          <w:rFonts w:cs="Times New Roman" w:ascii="Times New Roman" w:hAnsi="Times New Roman"/>
          <w:iCs/>
          <w:szCs w:val="20"/>
        </w:rPr>
        <w:t xml:space="preserve"> </w:t>
      </w:r>
    </w:p>
    <w:p>
      <w:pPr>
        <w:pStyle w:val="NormalWeb"/>
        <w:snapToGrid w:val="false"/>
        <w:spacing w:before="0" w:after="0"/>
        <w:jc w:val="center"/>
        <w:textAlignment w:val="top"/>
        <w:rPr>
          <w:rFonts w:ascii="Times New Roman" w:hAnsi="Times New Roman" w:cs="Times New Roman"/>
          <w:iCs/>
          <w:szCs w:val="20"/>
          <w:lang w:eastAsia="zh-HK"/>
        </w:rPr>
      </w:pPr>
      <w:r>
        <w:rPr>
          <w:rFonts w:cs="Times New Roman" w:ascii="Times New Roman" w:hAnsi="Times New Roman"/>
          <w:iCs/>
          <w:szCs w:val="20"/>
          <w:lang w:eastAsia="zh-HK"/>
        </w:rPr>
        <w:t>First Author</w:t>
      </w:r>
      <w:r>
        <w:rPr>
          <w:rFonts w:cs="Times New Roman" w:ascii="Times New Roman" w:hAnsi="Times New Roman"/>
          <w:iCs/>
          <w:szCs w:val="20"/>
          <w:lang w:eastAsia="zh-HK"/>
        </w:rPr>
        <w:t>’</w:t>
      </w:r>
      <w:r>
        <w:rPr>
          <w:rFonts w:cs="Times New Roman" w:ascii="Times New Roman" w:hAnsi="Times New Roman"/>
          <w:iCs/>
          <w:szCs w:val="20"/>
          <w:lang w:eastAsia="zh-HK"/>
        </w:rPr>
        <w:t>s email address</w:t>
      </w:r>
    </w:p>
    <w:p>
      <w:pPr>
        <w:pStyle w:val="NormalWeb"/>
        <w:snapToGrid w:val="false"/>
        <w:spacing w:before="0" w:after="0"/>
        <w:jc w:val="center"/>
        <w:textAlignment w:val="top"/>
        <w:rPr>
          <w:rFonts w:ascii="Times New Roman" w:hAnsi="Times New Roman" w:cs="Times New Roman"/>
          <w:iCs/>
          <w:szCs w:val="20"/>
          <w:lang w:eastAsia="zh-HK"/>
        </w:rPr>
      </w:pPr>
      <w:r>
        <w:rPr>
          <w:rFonts w:cs="Times New Roman" w:ascii="Times New Roman" w:hAnsi="Times New Roman"/>
          <w:iCs/>
          <w:szCs w:val="20"/>
          <w:lang w:eastAsia="zh-HK"/>
        </w:rPr>
      </w:r>
    </w:p>
    <w:p>
      <w:pPr>
        <w:pStyle w:val="NormalWeb"/>
        <w:snapToGrid w:val="false"/>
        <w:spacing w:before="0" w:after="0"/>
        <w:jc w:val="center"/>
        <w:textAlignment w:val="top"/>
        <w:rPr>
          <w:rFonts w:ascii="Times New Roman" w:hAnsi="Times New Roman" w:cs="Times New Roman"/>
          <w:iCs/>
          <w:szCs w:val="20"/>
        </w:rPr>
      </w:pPr>
      <w:r>
        <w:rPr>
          <w:rFonts w:cs="Times New Roman" w:ascii="Times New Roman" w:hAnsi="Times New Roman"/>
          <w:iCs/>
          <w:szCs w:val="20"/>
          <w:lang w:eastAsia="zh-HK"/>
        </w:rPr>
        <w:t>Second Author</w:t>
      </w:r>
      <w:r>
        <w:rPr>
          <w:rFonts w:cs="Times New Roman" w:ascii="Times New Roman" w:hAnsi="Times New Roman"/>
          <w:iCs/>
          <w:szCs w:val="20"/>
          <w:lang w:eastAsia="zh-HK"/>
        </w:rPr>
        <w:t>’</w:t>
      </w:r>
      <w:r>
        <w:rPr>
          <w:rFonts w:cs="Times New Roman" w:ascii="Times New Roman" w:hAnsi="Times New Roman"/>
          <w:iCs/>
          <w:szCs w:val="20"/>
          <w:lang w:eastAsia="zh-HK"/>
        </w:rPr>
        <w:t>s Name</w:t>
      </w:r>
    </w:p>
    <w:p>
      <w:pPr>
        <w:pStyle w:val="NormalWeb"/>
        <w:snapToGrid w:val="false"/>
        <w:spacing w:before="0" w:after="0"/>
        <w:jc w:val="center"/>
        <w:textAlignment w:val="top"/>
        <w:rPr/>
      </w:pPr>
      <w:r>
        <w:rPr>
          <w:rFonts w:cs="Times New Roman" w:ascii="Times New Roman" w:hAnsi="Times New Roman"/>
          <w:iCs/>
          <w:szCs w:val="20"/>
          <w:lang w:eastAsia="zh-HK"/>
        </w:rPr>
        <w:t>Second Author</w:t>
      </w:r>
      <w:r>
        <w:rPr>
          <w:rFonts w:cs="Times New Roman" w:ascii="Times New Roman" w:hAnsi="Times New Roman"/>
          <w:iCs/>
          <w:szCs w:val="20"/>
          <w:lang w:eastAsia="zh-HK"/>
        </w:rPr>
        <w:t>’</w:t>
      </w:r>
      <w:r>
        <w:rPr>
          <w:rFonts w:cs="Times New Roman" w:ascii="Times New Roman" w:hAnsi="Times New Roman"/>
          <w:iCs/>
          <w:szCs w:val="20"/>
          <w:lang w:eastAsia="zh-HK"/>
        </w:rPr>
        <w:t>s Affiliation</w:t>
      </w:r>
      <w:r>
        <w:rPr>
          <w:rFonts w:cs="Times New Roman" w:ascii="Times New Roman" w:hAnsi="Times New Roman"/>
          <w:iCs/>
          <w:szCs w:val="20"/>
        </w:rPr>
        <w:t xml:space="preserve"> </w:t>
      </w:r>
    </w:p>
    <w:p>
      <w:pPr>
        <w:pStyle w:val="NormalWeb"/>
        <w:snapToGrid w:val="false"/>
        <w:spacing w:before="0" w:after="0"/>
        <w:jc w:val="center"/>
        <w:textAlignment w:val="top"/>
        <w:rPr>
          <w:rFonts w:ascii="Times New Roman" w:hAnsi="Times New Roman" w:cs="Times New Roman"/>
          <w:iCs/>
          <w:szCs w:val="20"/>
          <w:lang w:eastAsia="zh-HK"/>
        </w:rPr>
      </w:pPr>
      <w:r>
        <w:rPr>
          <w:rFonts w:cs="Times New Roman" w:ascii="Times New Roman" w:hAnsi="Times New Roman"/>
          <w:iCs/>
          <w:szCs w:val="20"/>
          <w:lang w:eastAsia="zh-HK"/>
        </w:rPr>
        <w:t>Second Author</w:t>
      </w:r>
      <w:r>
        <w:rPr>
          <w:rFonts w:cs="Times New Roman" w:ascii="Times New Roman" w:hAnsi="Times New Roman"/>
          <w:iCs/>
          <w:szCs w:val="20"/>
          <w:lang w:eastAsia="zh-HK"/>
        </w:rPr>
        <w:t>’</w:t>
      </w:r>
      <w:r>
        <w:rPr>
          <w:rFonts w:cs="Times New Roman" w:ascii="Times New Roman" w:hAnsi="Times New Roman"/>
          <w:iCs/>
          <w:szCs w:val="20"/>
          <w:lang w:eastAsia="zh-HK"/>
        </w:rPr>
        <w:t>s email address</w:t>
      </w:r>
    </w:p>
    <w:p>
      <w:pPr>
        <w:pStyle w:val="NormalWeb"/>
        <w:snapToGrid w:val="false"/>
        <w:spacing w:before="0" w:after="0"/>
        <w:jc w:val="center"/>
        <w:textAlignment w:val="top"/>
        <w:rPr>
          <w:rFonts w:ascii="Times New Roman" w:hAnsi="Times New Roman" w:cs="Times New Roman"/>
          <w:iCs/>
          <w:szCs w:val="20"/>
          <w:lang w:eastAsia="zh-HK"/>
        </w:rPr>
      </w:pPr>
      <w:r>
        <w:rPr>
          <w:rFonts w:cs="Times New Roman" w:ascii="Times New Roman" w:hAnsi="Times New Roman"/>
          <w:iCs/>
          <w:szCs w:val="20"/>
          <w:lang w:eastAsia="zh-HK"/>
        </w:rPr>
      </w:r>
    </w:p>
    <w:p>
      <w:pPr>
        <w:pStyle w:val="NormalWeb"/>
        <w:snapToGrid w:val="false"/>
        <w:spacing w:before="0" w:after="0"/>
        <w:jc w:val="center"/>
        <w:textAlignment w:val="top"/>
        <w:rPr>
          <w:rFonts w:ascii="Times New Roman" w:hAnsi="Times New Roman" w:cs="Times New Roman"/>
          <w:szCs w:val="27"/>
          <w:lang w:eastAsia="zh-HK"/>
        </w:rPr>
      </w:pPr>
      <w:r>
        <w:rPr>
          <w:rFonts w:cs="Times New Roman" w:ascii="Times New Roman" w:hAnsi="Times New Roman"/>
          <w:iCs/>
          <w:szCs w:val="20"/>
          <w:lang w:eastAsia="zh-HK"/>
        </w:rPr>
        <w:t>(Corresponding Author indicated by an asterisk *)</w:t>
      </w:r>
    </w:p>
    <w:p>
      <w:pPr>
        <w:pStyle w:val="NormalWeb"/>
        <w:snapToGrid w:val="false"/>
        <w:spacing w:before="0" w:after="0"/>
        <w:jc w:val="center"/>
        <w:textAlignment w:val="top"/>
        <w:rPr>
          <w:rFonts w:ascii="Times New Roman" w:hAnsi="Times New Roman" w:cs="Times New Roman"/>
          <w:szCs w:val="27"/>
          <w:lang w:eastAsia="zh-HK"/>
        </w:rPr>
      </w:pPr>
      <w:r>
        <w:rPr>
          <w:rFonts w:cs="Times New Roman" w:ascii="Times New Roman" w:hAnsi="Times New Roman"/>
          <w:szCs w:val="27"/>
          <w:lang w:eastAsia="zh-HK"/>
        </w:rPr>
      </w:r>
    </w:p>
    <w:p>
      <w:pPr>
        <w:pStyle w:val="NormalWeb"/>
        <w:snapToGrid w:val="false"/>
        <w:spacing w:before="0" w:after="0"/>
        <w:jc w:val="center"/>
        <w:textAlignment w:val="top"/>
        <w:rPr/>
      </w:pPr>
      <w:bookmarkStart w:id="0" w:name="_Hlk167825887"/>
      <w:bookmarkEnd w:id="0"/>
      <w:r>
        <w:rPr>
          <w:rFonts w:cs="Times New Roman" w:ascii="Times New Roman" w:hAnsi="Times New Roman"/>
          <w:bCs/>
          <w:i/>
          <w:szCs w:val="27"/>
          <w:lang w:eastAsia="zh-HK"/>
        </w:rPr>
        <w:t>Presented at: SIBR 20</w:t>
      </w:r>
      <w:r>
        <w:rPr>
          <w:rFonts w:cs="Times New Roman" w:ascii="Times New Roman" w:hAnsi="Times New Roman"/>
          <w:bCs/>
          <w:i/>
          <w:szCs w:val="27"/>
          <w:lang w:eastAsia="zh-HK"/>
        </w:rPr>
        <w:t>27</w:t>
      </w:r>
      <w:r>
        <w:rPr>
          <w:rFonts w:cs="Times New Roman" w:ascii="Times New Roman" w:hAnsi="Times New Roman"/>
          <w:bCs/>
          <w:i/>
          <w:szCs w:val="27"/>
          <w:lang w:eastAsia="zh-HK"/>
        </w:rPr>
        <w:t xml:space="preserve"> (Tokyo) Conference on Interdisciplinary </w:t>
      </w:r>
    </w:p>
    <w:p>
      <w:pPr>
        <w:pStyle w:val="NormalWeb"/>
        <w:snapToGrid w:val="false"/>
        <w:spacing w:before="0" w:after="0"/>
        <w:jc w:val="center"/>
        <w:textAlignment w:val="top"/>
        <w:rPr>
          <w:rFonts w:ascii="Times New Roman" w:hAnsi="Times New Roman" w:cs="Times New Roman"/>
          <w:bCs/>
          <w:szCs w:val="27"/>
          <w:lang w:eastAsia="zh-HK"/>
        </w:rPr>
      </w:pPr>
      <w:r>
        <w:rPr>
          <w:rFonts w:cs="Times New Roman" w:ascii="Times New Roman" w:hAnsi="Times New Roman"/>
          <w:bCs/>
          <w:i/>
          <w:szCs w:val="27"/>
          <w:lang w:eastAsia="zh-HK"/>
        </w:rPr>
        <w:t xml:space="preserve">Business and Economics Research, </w:t>
      </w:r>
      <w:r>
        <w:rPr>
          <w:rFonts w:cs="Times New Roman" w:ascii="Times New Roman" w:hAnsi="Times New Roman"/>
          <w:bCs/>
          <w:i/>
          <w:szCs w:val="27"/>
          <w:lang w:eastAsia="zh-HK"/>
        </w:rPr>
        <w:t xml:space="preserve">12th-14h January </w:t>
      </w:r>
      <w:r>
        <w:rPr>
          <w:rFonts w:cs="Times New Roman" w:ascii="Times New Roman" w:hAnsi="Times New Roman"/>
          <w:bCs/>
          <w:i/>
          <w:szCs w:val="27"/>
          <w:lang w:eastAsia="zh-HK"/>
        </w:rPr>
        <w:t>20</w:t>
      </w:r>
      <w:r>
        <w:rPr>
          <w:rFonts w:cs="Times New Roman" w:ascii="Times New Roman" w:hAnsi="Times New Roman"/>
          <w:bCs/>
          <w:i/>
          <w:szCs w:val="27"/>
          <w:lang w:eastAsia="zh-HK"/>
        </w:rPr>
        <w:t>27,</w:t>
      </w:r>
      <w:r>
        <w:rPr>
          <w:rFonts w:cs="Times New Roman" w:ascii="Times New Roman" w:hAnsi="Times New Roman"/>
          <w:bCs/>
          <w:i/>
          <w:szCs w:val="27"/>
          <w:lang w:eastAsia="zh-HK"/>
        </w:rPr>
        <w:t xml:space="preserve"> </w:t>
      </w:r>
      <w:r>
        <w:rPr>
          <w:rFonts w:cs="Times New Roman" w:ascii="Times New Roman" w:hAnsi="Times New Roman"/>
          <w:bCs/>
          <w:i/>
          <w:szCs w:val="27"/>
          <w:lang w:eastAsia="zh-HK"/>
        </w:rPr>
        <w:t>Tokyo, Japan</w:t>
      </w:r>
    </w:p>
    <w:p>
      <w:pPr>
        <w:pStyle w:val="NormalWeb"/>
        <w:snapToGrid w:val="false"/>
        <w:spacing w:before="0" w:after="0"/>
        <w:jc w:val="center"/>
        <w:textAlignment w:val="top"/>
        <w:rPr>
          <w:rFonts w:ascii="Times New Roman" w:hAnsi="Times New Roman" w:cs="Times New Roman"/>
          <w:b/>
          <w:bCs/>
          <w:szCs w:val="27"/>
          <w:lang w:eastAsia="zh-HK"/>
        </w:rPr>
      </w:pPr>
      <w:r>
        <w:rPr>
          <w:rFonts w:cs="Times New Roman" w:ascii="Times New Roman" w:hAnsi="Times New Roman"/>
          <w:b/>
          <w:bCs/>
          <w:szCs w:val="27"/>
          <w:lang w:eastAsia="zh-HK"/>
        </w:rPr>
      </w:r>
      <w:bookmarkStart w:id="1" w:name="_Hlk167825887"/>
      <w:bookmarkStart w:id="2" w:name="_Hlk167825887"/>
      <w:bookmarkEnd w:id="2"/>
    </w:p>
    <w:p>
      <w:pPr>
        <w:pStyle w:val="NormalWeb"/>
        <w:snapToGrid w:val="false"/>
        <w:spacing w:before="0" w:after="0"/>
        <w:jc w:val="center"/>
        <w:textAlignment w:val="top"/>
        <w:rPr>
          <w:rFonts w:ascii="Times New Roman" w:hAnsi="Times New Roman" w:cs="Times New Roman"/>
          <w:b/>
          <w:bCs/>
          <w:szCs w:val="27"/>
          <w:lang w:eastAsia="zh-HK"/>
        </w:rPr>
      </w:pPr>
      <w:r>
        <w:rPr>
          <w:rFonts w:cs="Times New Roman" w:ascii="Times New Roman" w:hAnsi="Times New Roman"/>
          <w:b/>
          <w:bCs/>
          <w:szCs w:val="27"/>
          <w:lang w:eastAsia="zh-HK"/>
        </w:rPr>
      </w:r>
    </w:p>
    <w:p>
      <w:pPr>
        <w:pStyle w:val="NormalWeb"/>
        <w:snapToGrid w:val="false"/>
        <w:spacing w:before="0" w:after="0"/>
        <w:jc w:val="center"/>
        <w:textAlignment w:val="top"/>
        <w:rPr>
          <w:rFonts w:ascii="Times New Roman" w:hAnsi="Times New Roman" w:cs="Times New Roman"/>
          <w:b/>
          <w:bCs/>
          <w:szCs w:val="27"/>
          <w:lang w:eastAsia="zh-HK"/>
        </w:rPr>
      </w:pPr>
      <w:r>
        <w:rPr>
          <w:rFonts w:cs="Times New Roman" w:ascii="Times New Roman" w:hAnsi="Times New Roman"/>
          <w:b/>
          <w:bCs/>
          <w:szCs w:val="27"/>
        </w:rPr>
        <w:t>A</w:t>
      </w:r>
      <w:r>
        <w:rPr>
          <w:rFonts w:cs="Times New Roman" w:ascii="Times New Roman" w:hAnsi="Times New Roman"/>
          <w:b/>
          <w:bCs/>
          <w:szCs w:val="27"/>
          <w:lang w:eastAsia="zh-HK"/>
        </w:rPr>
        <w:t>BSTRACT</w:t>
      </w:r>
    </w:p>
    <w:p>
      <w:pPr>
        <w:pStyle w:val="NormalWeb"/>
        <w:snapToGrid w:val="false"/>
        <w:spacing w:before="0" w:after="0"/>
        <w:jc w:val="both"/>
        <w:textAlignment w:val="top"/>
        <w:rPr/>
      </w:pPr>
      <w:r>
        <w:rPr>
          <w:rFonts w:cs="Times New Roman" w:ascii="Times New Roman" w:hAnsi="Times New Roman"/>
          <w:szCs w:val="20"/>
          <w:lang w:eastAsia="zh-HK"/>
        </w:rPr>
        <w:t>This study examines whether changes in public employment service (PES) spending shares respond asymmetrically to rising and falling unemployment. Using an unbalanced panel of 292 country-year observations from 21 OECD countries over 2011–2024, we decompose annual changes in the unemployment rate into increases and decreases and estimate their relationship with same-year annual changes in PES and administration spending as a share of GDP. The OLS models control for changes in economic and fiscal conditions and for year effects, with standard errors clustered by country. Neither the coefficient on unemployment increases nor that on decreases is individually significant; however, the hypothesis that the two coefficients are equal is rejected (p = 0.0180). Symmetry is also rejected under alternative estimation methods and for the common period 2011–2023, supporting the possibility of an asymmetric relationship, although it is not rejected in some supplementary analyses, indicating sensitivity to analytical conditions. These results represent statistical associations conditional on observed economic and fiscal conditions rather than causal effects of unemployment changes. Moreover, spending as a share of GDP alone cannot indicate whether actual budgets increased or decreased or whether funding was adequate. Within these limitations, the study contributes to the literature on labour market policy financing by highlighting the need for PES budgeting that accounts for differences in service demand and operations between periods of rising and falling unemployment.</w:t>
      </w:r>
      <w:r>
        <w:rPr>
          <w:rFonts w:cs="Times New Roman" w:ascii="Times New Roman" w:hAnsi="Times New Roman"/>
          <w:szCs w:val="20"/>
        </w:rPr>
      </w:r>
      <w:r>
        <w:rPr>
          <w:rFonts w:cs="Times New Roman" w:ascii="Times New Roman" w:hAnsi="Times New Roman"/>
          <w:szCs w:val="20"/>
          <w:lang w:eastAsia="zh-HK"/>
        </w:rPr>
      </w:r>
      <w:r>
        <w:rPr>
          <w:rFonts w:cs="Times New Roman" w:ascii="Times New Roman" w:hAnsi="Times New Roman"/>
          <w:szCs w:val="20"/>
        </w:rPr>
      </w:r>
      <w:r>
        <w:rPr>
          <w:rFonts w:cs="Times New Roman" w:ascii="Times New Roman" w:hAnsi="Times New Roman"/>
          <w:szCs w:val="20"/>
          <w:lang w:eastAsia="zh-HK"/>
        </w:rPr>
      </w:r>
      <w:r>
        <w:rPr>
          <w:rFonts w:cs="Times New Roman" w:ascii="Times New Roman" w:hAnsi="Times New Roman"/>
          <w:szCs w:val="20"/>
          <w:lang w:eastAsia="zh-HK"/>
        </w:rPr>
      </w:r>
      <w:r>
        <w:rPr>
          <w:rFonts w:cs="Times New Roman" w:ascii="Times New Roman" w:hAnsi="Times New Roman"/>
          <w:szCs w:val="20"/>
        </w:rPr>
      </w:r>
      <w:r>
        <w:rPr>
          <w:rFonts w:cs="Times New Roman" w:ascii="Times New Roman" w:hAnsi="Times New Roman"/>
          <w:szCs w:val="20"/>
          <w:lang w:eastAsia="zh-HK"/>
        </w:rPr>
      </w:r>
      <w:r>
        <w:rPr>
          <w:rFonts w:cs="Times New Roman" w:ascii="Times New Roman" w:hAnsi="Times New Roman"/>
          <w:szCs w:val="20"/>
          <w:lang w:eastAsia="zh-HK"/>
        </w:rPr>
      </w:r>
      <w:r>
        <w:rPr>
          <w:rFonts w:cs="Times New Roman" w:ascii="Times New Roman" w:hAnsi="Times New Roman"/>
          <w:szCs w:val="20"/>
          <w:lang w:eastAsia="zh-HK"/>
        </w:rPr>
      </w:r>
      <w:r>
        <w:rPr>
          <w:rFonts w:cs="Times New Roman" w:ascii="Times New Roman" w:hAnsi="Times New Roman"/>
          <w:szCs w:val="20"/>
          <w:lang w:eastAsia="zh-HK"/>
        </w:rPr>
      </w:r>
      <w:r>
        <w:rPr>
          <w:rFonts w:cs="Times New Roman" w:ascii="Times New Roman" w:hAnsi="Times New Roman"/>
          <w:szCs w:val="20"/>
          <w:u w:val="single"/>
          <w:lang w:eastAsia="zh-HK"/>
        </w:rPr>
      </w:r>
      <w:r>
        <w:rPr>
          <w:rFonts w:cs="Times New Roman" w:ascii="Times New Roman" w:hAnsi="Times New Roman"/>
          <w:u w:val="single"/>
        </w:rPr>
      </w:r>
      <w:r>
        <w:rPr>
          <w:rFonts w:cs="Times New Roman" w:ascii="Times New Roman" w:hAnsi="Times New Roman"/>
          <w:u w:val="single"/>
          <w:lang w:eastAsia="zh-HK"/>
        </w:rPr>
      </w:r>
      <w:r>
        <w:rPr>
          <w:rFonts w:cs="Times New Roman" w:ascii="Times New Roman" w:hAnsi="Times New Roman"/>
          <w:u w:val="single"/>
          <w:lang w:eastAsia="zh-HK"/>
        </w:rPr>
      </w:r>
      <w:r>
        <w:rPr>
          <w:rFonts w:cs="Times New Roman" w:ascii="Times New Roman" w:hAnsi="Times New Roman"/>
          <w:u w:val="single"/>
          <w:lang w:eastAsia="zh-HK"/>
        </w:rPr>
      </w:r>
      <w:r>
        <w:rPr>
          <w:rFonts w:cs="Times New Roman" w:ascii="Times New Roman" w:hAnsi="Times New Roman"/>
          <w:u w:val="single"/>
        </w:rPr>
      </w:r>
      <w:r>
        <w:rPr>
          <w:rFonts w:cs="Times New Roman" w:ascii="Times New Roman" w:hAnsi="Times New Roman"/>
          <w:u w:val="single"/>
          <w:lang w:eastAsia="zh-HK"/>
        </w:rPr>
      </w:r>
      <w:r>
        <w:rPr>
          <w:rFonts w:cs="Times New Roman" w:ascii="Times New Roman" w:hAnsi="Times New Roman"/>
          <w:u w:val="single"/>
          <w:lang w:eastAsia="zh-HK"/>
        </w:rPr>
      </w:r>
      <w:r>
        <w:rPr>
          <w:rFonts w:cs="Times New Roman" w:ascii="Times New Roman" w:hAnsi="Times New Roman"/>
          <w:u w:val="single"/>
          <w:lang w:eastAsia="zh-HK"/>
        </w:rPr>
      </w:r>
      <w:r>
        <w:rPr>
          <w:rFonts w:cs="Times New Roman" w:ascii="Times New Roman" w:hAnsi="Times New Roman"/>
          <w:u w:val="single"/>
        </w:rPr>
      </w:r>
      <w:r>
        <w:rPr>
          <w:rFonts w:cs="Times New Roman" w:ascii="Times New Roman" w:hAnsi="Times New Roman"/>
          <w:u w:val="single"/>
          <w:lang w:eastAsia="zh-HK"/>
        </w:rPr>
      </w:r>
      <w:r>
        <w:rPr>
          <w:rFonts w:cs="Times New Roman" w:ascii="Times New Roman" w:hAnsi="Times New Roman"/>
          <w:u w:val="single"/>
          <w:lang w:eastAsia="zh-HK"/>
        </w:rPr>
      </w:r>
      <w:r>
        <w:rPr>
          <w:rFonts w:cs="Times New Roman" w:ascii="Times New Roman" w:hAnsi="Times New Roman"/>
          <w:u w:val="single"/>
        </w:rPr>
      </w:r>
      <w:r>
        <w:rPr>
          <w:rFonts w:cs="Times New Roman" w:ascii="Times New Roman" w:hAnsi="Times New Roman"/>
          <w:lang w:eastAsia="zh-HK"/>
        </w:rPr>
      </w:r>
      <w:r>
        <w:rPr>
          <w:rFonts w:cs="Times New Roman" w:ascii="Times New Roman" w:hAnsi="Times New Roman"/>
          <w:szCs w:val="20"/>
        </w:rPr>
      </w:r>
      <w:r>
        <w:rPr>
          <w:rFonts w:cs="Times New Roman" w:ascii="Times New Roman" w:hAnsi="Times New Roman"/>
          <w:szCs w:val="20"/>
          <w:lang w:eastAsia="zh-HK"/>
        </w:rPr>
      </w:r>
      <w:r>
        <w:rPr>
          <w:rFonts w:cs="Times New Roman" w:ascii="Times New Roman" w:hAnsi="Times New Roman"/>
          <w:szCs w:val="20"/>
        </w:rPr>
      </w:r>
      <w:r>
        <w:rPr>
          <w:rFonts w:cs="Times New Roman" w:ascii="Times New Roman" w:hAnsi="Times New Roman"/>
          <w:szCs w:val="20"/>
          <w:lang w:eastAsia="zh-HK"/>
        </w:rPr>
      </w:r>
    </w:p>
    <w:p>
      <w:pPr>
        <w:pStyle w:val="NormalWeb"/>
        <w:snapToGrid w:val="false"/>
        <w:spacing w:before="0" w:after="0"/>
        <w:jc w:val="both"/>
        <w:textAlignment w:val="top"/>
        <w:rPr>
          <w:rFonts w:ascii="Times New Roman" w:hAnsi="Times New Roman" w:cs="Times New Roman"/>
          <w:szCs w:val="20"/>
          <w:lang w:eastAsia="zh-HK"/>
        </w:rPr>
      </w:pPr>
      <w:r>
        <w:rPr>
          <w:rFonts w:cs="Times New Roman" w:ascii="Times New Roman" w:hAnsi="Times New Roman"/>
          <w:szCs w:val="20"/>
          <w:lang w:eastAsia="zh-HK"/>
        </w:rPr>
      </w:r>
    </w:p>
    <w:p>
      <w:pPr>
        <w:pStyle w:val="NormalWeb"/>
        <w:snapToGrid w:val="false"/>
        <w:spacing w:before="0" w:after="0"/>
        <w:jc w:val="both"/>
        <w:textAlignment w:val="top"/>
        <w:rPr>
          <w:rFonts w:ascii="Times New Roman" w:hAnsi="Times New Roman" w:cs="Times New Roman"/>
          <w:szCs w:val="20"/>
          <w:lang w:eastAsia="zh-HK"/>
        </w:rPr>
      </w:pPr>
      <w:r>
        <w:rPr>
          <w:rFonts w:cs="Times New Roman" w:ascii="Times New Roman" w:hAnsi="Times New Roman"/>
          <w:szCs w:val="20"/>
        </w:rPr>
        <w:t>Keyword</w:t>
      </w:r>
      <w:r>
        <w:rPr>
          <w:rFonts w:cs="Times New Roman" w:ascii="Times New Roman" w:hAnsi="Times New Roman"/>
          <w:szCs w:val="20"/>
          <w:lang w:eastAsia="zh-HK"/>
        </w:rPr>
        <w:t>s</w:t>
      </w:r>
      <w:r>
        <w:rPr>
          <w:rFonts w:cs="Times New Roman" w:ascii="Times New Roman" w:hAnsi="Times New Roman"/>
          <w:szCs w:val="20"/>
        </w:rPr>
        <w:t xml:space="preserve">: </w:t>
      </w:r>
      <w:r>
        <w:rPr>
          <w:rFonts w:cs="Times New Roman" w:ascii="Times New Roman" w:hAnsi="Times New Roman"/>
          <w:szCs w:val="20"/>
          <w:lang w:eastAsia="zh-HK"/>
        </w:rPr>
        <w:t>Public employment services; unemployment rate changes; asymmetry; OECD panel data.</w:t>
      </w:r>
    </w:p>
    <w:p>
      <w:pPr>
        <w:pStyle w:val="NormalWeb"/>
        <w:snapToGrid w:val="false"/>
        <w:spacing w:before="0" w:after="0"/>
        <w:jc w:val="both"/>
        <w:textAlignment w:val="top"/>
        <w:rPr>
          <w:rFonts w:ascii="Times New Roman" w:hAnsi="Times New Roman" w:cs="Times New Roman"/>
          <w:szCs w:val="27"/>
          <w:lang w:eastAsia="zh-HK"/>
        </w:rPr>
      </w:pPr>
      <w:r>
        <w:rPr>
          <w:rFonts w:cs="Times New Roman" w:ascii="Times New Roman" w:hAnsi="Times New Roman"/>
          <w:szCs w:val="27"/>
          <w:lang w:eastAsia="zh-HK"/>
        </w:rPr>
      </w:r>
    </w:p>
    <w:p>
      <w:pPr>
        <w:pStyle w:val="NormalWeb"/>
        <w:snapToGrid w:val="false"/>
        <w:spacing w:before="0" w:after="0"/>
        <w:jc w:val="center"/>
        <w:textAlignment w:val="top"/>
        <w:rPr>
          <w:rFonts w:ascii="Times New Roman" w:hAnsi="Times New Roman" w:cs="Times New Roman"/>
          <w:b/>
          <w:bCs/>
          <w:szCs w:val="20"/>
          <w:lang w:eastAsia="zh-HK"/>
        </w:rPr>
      </w:pPr>
      <w:r>
        <w:rPr>
          <w:rFonts w:cs="Times New Roman" w:ascii="Times New Roman" w:hAnsi="Times New Roman"/>
          <w:b/>
          <w:bCs/>
          <w:szCs w:val="20"/>
        </w:rPr>
        <w:t>REFERENCES</w:t>
      </w:r>
    </w:p>
    <w:p>
      <w:pPr>
        <w:pStyle w:val="NormalWeb"/>
        <w:snapToGrid w:val="false"/>
        <w:spacing w:before="0" w:after="0"/>
        <w:textAlignment w:val="top"/>
        <w:rPr/>
      </w:pPr>
      <w:r>
        <w:rPr>
          <w:rFonts w:cs="Times New Roman" w:ascii="Times New Roman" w:hAnsi="Times New Roman"/>
        </w:rPr>
        <w:t>[Insert references in alphabetical order, e.g., OECD (2025). Public expenditure and participant stocks on LMP. OECD Data Explorer.]</w:t>
      </w:r>
      <w:r>
        <w:rPr>
          <w:rFonts w:cs="Times New Roman" w:ascii="Times New Roman" w:hAnsi="Times New Roman"/>
          <w:lang w:eastAsia="zh-HK"/>
        </w:rPr>
      </w:r>
      <w:r>
        <w:rPr>
          <w:rFonts w:cs="Times New Roman" w:ascii="Times New Roman" w:hAnsi="Times New Roman"/>
        </w:rPr>
      </w:r>
    </w:p>
    <w:sectPr>
      <w:footerReference w:type="default" r:id="rId2"/>
      <w:type w:val="nextPage"/>
      <w:pgSz w:w="11906" w:h="16838"/>
      <w:pgMar w:left="1800" w:right="1800" w:gutter="0" w:header="0" w:top="1440" w:footer="992" w:bottom="1440"/>
      <w:pgNumType w:fmt="decimal"/>
      <w:formProt w:val="false"/>
      <w:textDirection w:val="lrTb"/>
      <w:docGrid w:type="lines"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Verdana">
    <w:charset w:val="00" w:characterSet="windows-1252"/>
    <w:family w:val="swiss"/>
    <w:pitch w:val="variable"/>
  </w:font>
  <w:font w:name="Liberation Sans">
    <w:altName w:val="Arial"/>
    <w:charset w:val="00" w:characterSet="iso-8859-1"/>
    <w:family w:val="swiss"/>
    <w:pitch w:val="variable"/>
  </w:font>
  <w:font w:name="Arial Unicode MS">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1</w:t>
    </w:r>
    <w:r>
      <w:rPr/>
      <w:fldChar w:fldCharType="end"/>
    </w:r>
  </w:p>
  <w:p>
    <w:pPr>
      <w:pStyle w:val="Footer"/>
      <w:rPr>
        <w:lang w:eastAsia="zh-HK"/>
      </w:rPr>
    </w:pPr>
    <w:r>
      <w:rPr>
        <w:lang w:eastAsia="zh-HK"/>
      </w:rPr>
    </w:r>
  </w:p>
</w:ftr>
</file>

<file path=word/settings.xml><?xml version="1.0" encoding="utf-8"?>
<w:settings xmlns:w="http://schemas.openxmlformats.org/wordprocessingml/2006/main">
  <w:zoom w:percent="100"/>
  <w:defaultTabStop w:val="476"/>
  <w:autoHyphenation w:val="true"/>
  <w:compat>
    <w:noLeading/>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Times New Roman" w:hAnsi="Times New Roman" w:eastAsia="PMingLiU" w:cs="Times New Roman"/>
      <w:color w:val="auto"/>
      <w:kern w:val="2"/>
      <w:sz w:val="24"/>
      <w:szCs w:val="24"/>
      <w:lang w:val="en-US" w:eastAsia="zh-TW" w:bidi="ar-SA"/>
    </w:rPr>
  </w:style>
  <w:style w:type="character" w:styleId="DefaultParagraphFont">
    <w:name w:val="Default Paragraph Font"/>
    <w:qFormat/>
    <w:rPr/>
  </w:style>
  <w:style w:type="character" w:styleId="Hyperlink">
    <w:name w:val="Hyperlink"/>
    <w:rPr>
      <w:rFonts w:ascii="Verdana" w:hAnsi="Verdana" w:cs="Verdana"/>
      <w:color w:val="000033"/>
      <w:sz w:val="20"/>
      <w:szCs w:val="20"/>
      <w:u w:val="single"/>
    </w:rPr>
  </w:style>
  <w:style w:type="character" w:styleId="FollowedHyperlink">
    <w:name w:val="FollowedHyperlink"/>
    <w:rPr>
      <w:color w:val="800080"/>
      <w:u w:val="single"/>
    </w:rPr>
  </w:style>
  <w:style w:type="character" w:styleId="Strong">
    <w:name w:val="Strong"/>
    <w:qFormat/>
    <w:rPr>
      <w:b/>
      <w:bCs/>
    </w:rPr>
  </w:style>
  <w:style w:type="character" w:styleId="HeaderChar">
    <w:name w:val="Header Char"/>
    <w:qFormat/>
    <w:rPr>
      <w:kern w:val="2"/>
    </w:rPr>
  </w:style>
  <w:style w:type="character" w:styleId="FooterChar">
    <w:name w:val="Footer Char"/>
    <w:qFormat/>
    <w:rPr>
      <w:kern w:val="2"/>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Web">
    <w:name w:val="Normal (Web)"/>
    <w:basedOn w:val="Normal"/>
    <w:qFormat/>
    <w:pPr>
      <w:widowControl/>
      <w:spacing w:before="280" w:after="280"/>
    </w:pPr>
    <w:rPr>
      <w:rFonts w:ascii="Arial Unicode MS" w:hAnsi="Arial Unicode MS" w:eastAsia="Arial Unicode MS" w:cs="Arial Unicode MS"/>
      <w:kern w:val="0"/>
    </w:rPr>
  </w:style>
  <w:style w:type="paragraph" w:styleId="HeaderandFooter">
    <w:name w:val="Header and Footer"/>
    <w:basedOn w:val="Normal"/>
    <w:qFormat/>
    <w:pPr>
      <w:suppressLineNumbers/>
      <w:tabs>
        <w:tab w:val="clear" w:pos="476"/>
        <w:tab w:val="center" w:pos="4819" w:leader="none"/>
        <w:tab w:val="right" w:pos="9638" w:leader="none"/>
      </w:tabs>
    </w:pPr>
    <w:rPr/>
  </w:style>
  <w:style w:type="paragraph" w:styleId="Footer">
    <w:name w:val="Footer"/>
    <w:basedOn w:val="Normal"/>
    <w:pPr>
      <w:tabs>
        <w:tab w:val="clear" w:pos="476"/>
        <w:tab w:val="center" w:pos="4153" w:leader="none"/>
        <w:tab w:val="right" w:pos="8306" w:leader="none"/>
      </w:tabs>
      <w:snapToGrid w:val="false"/>
    </w:pPr>
    <w:rPr>
      <w:sz w:val="20"/>
      <w:szCs w:val="20"/>
    </w:rPr>
  </w:style>
  <w:style w:type="paragraph" w:styleId="Header">
    <w:name w:val="Header"/>
    <w:basedOn w:val="Normal"/>
    <w:pPr>
      <w:tabs>
        <w:tab w:val="clear" w:pos="476"/>
        <w:tab w:val="center" w:pos="4153" w:leader="none"/>
        <w:tab w:val="right" w:pos="8306" w:leader="none"/>
      </w:tabs>
      <w:snapToGrid w:val="false"/>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2026-04-10T13:10:00Z</dcterms:created>
  <dc:creator>User</dc:creator>
  <dc:description/>
  <cp:keywords/>
  <dc:language>en-US</dc:language>
  <cp:lastModifiedBy>Fung, Mike King-fai [AF]</cp:lastModifiedBy>
  <dcterms:modified xsi:type="dcterms:W3CDTF">2026-04-10T13:11:00Z</dcterms:modified>
  <cp:revision>3</cp:revision>
  <dc:subject/>
  <dc:title>FINAL SUBMISSION FORMAT INSTRUCTIONS FOR PROCEEDINGS OF BUSINESS AND INFORMATION: PLEASE READ CAREFULLY</dc:title>
</cp:coreProperties>
</file>