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2937"/>
          <w:sz w:val="40"/>
          <w:szCs w:val="40"/>
        </w:rPr>
        <w:t xml:space="preserve">개인용 데이터 설계 툴 — 기능정의서</w:t>
      </w:r>
    </w:p>
    <w:p>
      <w:pPr>
        <w:spacing w:after="20"/>
      </w:pPr>
      <w:r>
        <w:rPr>
          <w:b/>
          <w:bCs/>
          <w:color w:val="2563EB"/>
          <w:sz w:val="24"/>
          <w:szCs w:val="24"/>
        </w:rPr>
        <w:t xml:space="preserve">프리랜서 데이터 아키텍트(DA) 1인 사용 기준 범위 확정판 v1.0</w:t>
      </w:r>
    </w:p>
    <w:p>
      <w:pPr>
        <w:pBdr>
          <w:bottom w:val="single" w:color="2563EB" w:sz="18" w:space="8"/>
        </w:pBdr>
        <w:spacing w:after="240"/>
      </w:pPr>
      <w:r>
        <w:rPr>
          <w:color w:val="6B7280"/>
          <w:sz w:val="18"/>
          <w:szCs w:val="18"/>
        </w:rPr>
        <w:t xml:space="preserve">작성일: 2026-07-30 · 원본: 데이터 표준화 및 세이프 배포 관리 플랫폼 PRD v4.0 기반 재구성</w:t>
      </w:r>
    </w:p>
    <w:p>
      <w:pPr>
        <w:pStyle w:val="Heading1"/>
        <w:pBdr>
          <w:bottom w:val="single" w:color="2563EB" w:sz="12" w:space="4"/>
        </w:pBdr>
        <w:spacing w:after="160" w:before="320"/>
      </w:pPr>
      <w:r>
        <w:rPr>
          <w:b/>
          <w:bCs/>
          <w:color w:val="1F2937"/>
          <w:sz w:val="30"/>
          <w:szCs w:val="30"/>
        </w:rPr>
        <w:t xml:space="preserve">1. 배경 및 범위 재정의</w:t>
      </w:r>
    </w:p>
    <w:p>
      <w:pPr>
        <w:spacing w:after="130" w:line="300"/>
      </w:pPr>
      <w:r>
        <w:rPr>
          <w:sz w:val="21"/>
          <w:szCs w:val="21"/>
        </w:rPr>
        <w:t xml:space="preserve">기존 PRD v4.0은 여러 개발팀이 함께 사용하는 상용 로컬 거버넌스 플랫폼을 전제로 설계되었다. 본 문서는 이를 '프리랜서 데이터 아키텍트(DA) 1인이 여러 클라이언트 프로젝트에 투입될 때 사용하는 개인용 로컬 툴'로 범위를 재정의하여, 실제로 필요한 기능만 남기고 팀 협업 전제의 기능을 걷어낸 것이다.</w:t>
      </w:r>
    </w:p>
    <w:p>
      <w:pPr>
        <w:pStyle w:val="Heading2"/>
        <w:spacing w:after="120" w:before="260"/>
      </w:pPr>
      <w:r>
        <w:rPr>
          <w:b/>
          <w:bCs/>
          <w:color w:val="2563EB"/>
          <w:sz w:val="24"/>
          <w:szCs w:val="24"/>
        </w:rPr>
        <w:t xml:space="preserve">재정의 기준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① 여러 개발자 간 정합성을 실시간으로 '강제'하는 기능(커밋 차단, 3-way 병합 등)은 협업 대상이 없는 1인 사용 환경에서는 적용 대상 자체가 없으므로 제외 대상으로 분류한다.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② 클라이언트에게 실제로 전달되는 산출물(정의서, 표준화된 DDL/코드)은 프리랜서 업무의 존재 이유이므로 최우선 필수로 분류한다.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③ 인프라 부담이 크거나(온디바이스 LLM, 다중 사용자 배포 체계) 프로젝트 성격에 따라 필요 여부가 갈리는 기능은 '있으면 좋지만 없어도 서비스가 성립'하는 선택 기능으로 분류한다.</w:t>
      </w:r>
    </w:p>
    <w:p>
      <w:pPr>
        <w:pStyle w:val="Heading1"/>
        <w:pBdr>
          <w:bottom w:val="single" w:color="2563EB" w:sz="12" w:space="4"/>
        </w:pBdr>
        <w:spacing w:after="160" w:before="320"/>
      </w:pPr>
      <w:r>
        <w:rPr>
          <w:b/>
          <w:bCs/>
          <w:color w:val="1F2937"/>
          <w:sz w:val="30"/>
          <w:szCs w:val="30"/>
        </w:rPr>
        <w:t xml:space="preserve">2. 기능 정의 — MODULE 01. 데이터 표준화 및 코드 추출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900"/>
        <w:gridCol w:w="4500"/>
      </w:tblGrid>
      <w:tr>
        <w:trPr>
          <w:tblHeader/>
        </w:trPr>
        <w:tc>
          <w:tcPr>
            <w:tcW w:type="dxa" w:w="11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9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4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1인 사용 기준 재정의 사유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F-101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행정정보표준 기반 단어/도메인 사전 내장</w:t>
            </w:r>
          </w:p>
        </w:tc>
        <w:tc>
          <w:tcPr>
            <w:tcW w:type="dxa" w:w="900"/>
            <w:shd w:fill="1580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필수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표준 명명 산출물의 기반 데이터. 이게 없으면 REQ-103 용어합성 자체가 불가능.</w:t>
            </w:r>
          </w:p>
        </w:tc>
      </w:tr>
      <w:tr>
        <w:tc>
          <w:tcPr>
            <w:tcW w:type="dxa" w:w="11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F-102</w:t>
            </w:r>
          </w:p>
        </w:tc>
        <w:tc>
          <w:tcPr>
            <w:tcW w:type="dxa" w:w="26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엑셀 스크랩북 (Grid Copy &amp; Paste)</w:t>
            </w:r>
          </w:p>
        </w:tc>
        <w:tc>
          <w:tcPr>
            <w:tcW w:type="dxa" w:w="900"/>
            <w:shd w:fill="1580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필수</w:t>
            </w:r>
          </w:p>
        </w:tc>
        <w:tc>
          <w:tcPr>
            <w:tcW w:type="dxa" w:w="4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클라이언트에게 요구사항을 엑셀/노션으로 받는 실무 진입점. 프리랜서 업무의 실제 시작 지점.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F-103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한글 논리명 → 물리명 자동 합성 + 실시간 린터</w:t>
            </w:r>
          </w:p>
        </w:tc>
        <w:tc>
          <w:tcPr>
            <w:tcW w:type="dxa" w:w="900"/>
            <w:shd w:fill="1580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필수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본 툴의 핵심 차별 가치. 다만 형태소 분석기(KoNLPy/Mecab) 없이 사전 매칭 기반 경량 버전으로 먼저 구현 가능.</w:t>
            </w:r>
          </w:p>
        </w:tc>
      </w:tr>
      <w:tr>
        <w:tc>
          <w:tcPr>
            <w:tcW w:type="dxa" w:w="11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F-104a</w:t>
            </w:r>
          </w:p>
        </w:tc>
        <w:tc>
          <w:tcPr>
            <w:tcW w:type="dxa" w:w="26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대리키 전환 + JPA 코드 추출 (단일 테이블 범위)</w:t>
            </w:r>
          </w:p>
        </w:tc>
        <w:tc>
          <w:tcPr>
            <w:tcW w:type="dxa" w:w="900"/>
            <w:shd w:fill="1580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필수</w:t>
            </w:r>
          </w:p>
        </w:tc>
        <w:tc>
          <w:tcPr>
            <w:tcW w:type="dxa" w:w="4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실제 납품 코드/DDL 산출물의 핵심. 단일 테이블 전환만으로도 실무 가치 충분.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F-104b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FK 연쇄 리팩토링 자동화 (다중 테이블)</w:t>
            </w:r>
          </w:p>
        </w:tc>
        <w:tc>
          <w:tcPr>
            <w:tcW w:type="dxa" w:w="900"/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선택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혼자 작업 시 참조 테이블 수가 적어 수동 처리로도 충분히 통제 가능. 자동화 없이도 서비스 성립.</w:t>
            </w:r>
          </w:p>
        </w:tc>
      </w:tr>
      <w:tr>
        <w:tc>
          <w:tcPr>
            <w:tcW w:type="dxa" w:w="11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F-105</w:t>
            </w:r>
          </w:p>
        </w:tc>
        <w:tc>
          <w:tcPr>
            <w:tcW w:type="dxa" w:w="26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레거시 DDL 역엔지니어링 + 파싱 실패 폴백 UI</w:t>
            </w:r>
          </w:p>
        </w:tc>
        <w:tc>
          <w:tcPr>
            <w:tcW w:type="dxa" w:w="900"/>
            <w:shd w:fill="1580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필수</w:t>
            </w:r>
          </w:p>
        </w:tc>
        <w:tc>
          <w:tcPr>
            <w:tcW w:type="dxa" w:w="4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프리랜서 DA 업무의 상당수가 기존 시스템 진단/개선 건이므로 핵심 기능.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F-106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고객사별 커스텀 전사 사전 가져오기</w:t>
            </w:r>
          </w:p>
        </w:tc>
        <w:tc>
          <w:tcPr>
            <w:tcW w:type="dxa" w:w="900"/>
            <w:shd w:fill="1580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필수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매 프로젝트마다 고객사 표준 용어가 다르므로, 프로젝트 전환 시 필수.</w:t>
            </w:r>
          </w:p>
        </w:tc>
      </w:tr>
    </w:tbl>
    <w:p>
      <w:pPr>
        <w:pStyle w:val="Heading1"/>
        <w:pBdr>
          <w:bottom w:val="single" w:color="2563EB" w:sz="12" w:space="4"/>
        </w:pBdr>
        <w:spacing w:after="160" w:before="320"/>
      </w:pPr>
      <w:r>
        <w:rPr>
          <w:b/>
          <w:bCs/>
          <w:color w:val="1F2937"/>
          <w:sz w:val="30"/>
          <w:szCs w:val="30"/>
        </w:rPr>
        <w:t xml:space="preserve">3. 기능 정의 — MODULE 02. 성능 최적화 및 세이프가드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900"/>
        <w:gridCol w:w="4500"/>
      </w:tblGrid>
      <w:tr>
        <w:trPr>
          <w:tblHeader/>
        </w:trPr>
        <w:tc>
          <w:tcPr>
            <w:tcW w:type="dxa" w:w="11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9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4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1인 사용 기준 재정의 사유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F-201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암호화 대상 자동 감지 + 알고리즘별 길이 계산</w:t>
            </w:r>
          </w:p>
        </w:tc>
        <w:tc>
          <w:tcPr>
            <w:tcW w:type="dxa" w:w="900"/>
            <w:shd w:fill="1580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필수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보안 준수 설계는 DA 산출물의 신뢰도를 좌우. 룩업 테이블 수준의 경량 구현으로도 충분.</w:t>
            </w:r>
          </w:p>
        </w:tc>
      </w:tr>
      <w:tr>
        <w:tc>
          <w:tcPr>
            <w:tcW w:type="dxa" w:w="11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F-202</w:t>
            </w:r>
          </w:p>
        </w:tc>
        <w:tc>
          <w:tcPr>
            <w:tcW w:type="dxa" w:w="26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ORM 암호화 컨버터 코드 자동 주입</w:t>
            </w:r>
          </w:p>
        </w:tc>
        <w:tc>
          <w:tcPr>
            <w:tcW w:type="dxa" w:w="900"/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선택</w:t>
            </w:r>
          </w:p>
        </w:tc>
        <w:tc>
          <w:tcPr>
            <w:tcW w:type="dxa" w:w="4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코드까지 납품하는 계약 건에만 필요. 설계 문서만 납품하는 건에는 불필요.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F-203a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DBMS×버전×작업유형 락 방지 가이드 (핵심 케이스)</w:t>
            </w:r>
          </w:p>
        </w:tc>
        <w:tc>
          <w:tcPr>
            <w:tcW w:type="dxa" w:w="900"/>
            <w:shd w:fill="1580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필수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대용량 운영 조언은 프리랜서 DA의 전문성을 보여주는 핵심 산출물.</w:t>
            </w:r>
          </w:p>
        </w:tc>
      </w:tr>
      <w:tr>
        <w:tc>
          <w:tcPr>
            <w:tcW w:type="dxa" w:w="11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F-203b</w:t>
            </w:r>
          </w:p>
        </w:tc>
        <w:tc>
          <w:tcPr>
            <w:tcW w:type="dxa" w:w="26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매트릭스 에어갭(Air-gapped) 원격 업데이트 배포 체계</w:t>
            </w:r>
          </w:p>
        </w:tc>
        <w:tc>
          <w:tcPr>
            <w:tcW w:type="dxa" w:w="900"/>
            <w:shd w:fill="991B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제외</w:t>
            </w:r>
          </w:p>
        </w:tc>
        <w:tc>
          <w:tcPr>
            <w:tcW w:type="dxa" w:w="4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다수 사용자에게 망분리 환경으로 업데이트를 배포하는 인프라. 1인 로컬 사용에는 불필요 — 툴 자체를 업데이트할 때 같이 갱신하면 됨.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F-204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파티셔닝 마법사 + 라이선스 전제조건 안내</w:t>
            </w:r>
          </w:p>
        </w:tc>
        <w:tc>
          <w:tcPr>
            <w:tcW w:type="dxa" w:w="900"/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선택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대용량 이력 테이블 설계가 포함된 프로젝트에서만 필요. 컨설팅 범위에 따라 선택적으로 사용.</w:t>
            </w:r>
          </w:p>
        </w:tc>
      </w:tr>
      <w:tr>
        <w:tc>
          <w:tcPr>
            <w:tcW w:type="dxa" w:w="11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F-205</w:t>
            </w:r>
          </w:p>
        </w:tc>
        <w:tc>
          <w:tcPr>
            <w:tcW w:type="dxa" w:w="26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온디바이스 LLM 연동 레거시 표준화 추천</w:t>
            </w:r>
          </w:p>
        </w:tc>
        <w:tc>
          <w:tcPr>
            <w:tcW w:type="dxa" w:w="900"/>
            <w:shd w:fill="991B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제외</w:t>
            </w:r>
          </w:p>
        </w:tc>
        <w:tc>
          <w:tcPr>
            <w:tcW w:type="dxa" w:w="4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GPU/RAM 등 인프라 부담이 크고, 1인 사용 스케일에서는 수동 검토가 더 빠름. 추후 관심 있으면 별도 버전으로 검토.</w:t>
            </w:r>
          </w:p>
        </w:tc>
      </w:tr>
    </w:tbl>
    <w:p>
      <w:pPr>
        <w:pStyle w:val="Heading1"/>
        <w:pBdr>
          <w:bottom w:val="single" w:color="2563EB" w:sz="12" w:space="4"/>
        </w:pBdr>
        <w:spacing w:after="160" w:before="320"/>
      </w:pPr>
      <w:r>
        <w:rPr>
          <w:b/>
          <w:bCs/>
          <w:color w:val="1F2937"/>
          <w:sz w:val="30"/>
          <w:szCs w:val="30"/>
        </w:rPr>
        <w:t xml:space="preserve">4. 기능 정의 — MODULE 03. 산출물 자동화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900"/>
        <w:gridCol w:w="4500"/>
      </w:tblGrid>
      <w:tr>
        <w:trPr>
          <w:tblHeader/>
        </w:trPr>
        <w:tc>
          <w:tcPr>
            <w:tcW w:type="dxa" w:w="11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9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4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1인 사용 기준 재정의 사유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F-301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4대 산출물(테이블/속성/인덱스/파티션 정의서) Excel·PDF 출력</w:t>
            </w:r>
          </w:p>
        </w:tc>
        <w:tc>
          <w:tcPr>
            <w:tcW w:type="dxa" w:w="900"/>
            <w:shd w:fill="1580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필수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프리랜서 DA의 실제 납품물(Deliverable) 그 자체. 전체 기능 중 최우선 순위.</w:t>
            </w:r>
          </w:p>
        </w:tc>
      </w:tr>
      <w:tr>
        <w:tc>
          <w:tcPr>
            <w:tcW w:type="dxa" w:w="11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F-302</w:t>
            </w:r>
          </w:p>
        </w:tc>
        <w:tc>
          <w:tcPr>
            <w:tcW w:type="dxa" w:w="26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 Pre-commit Hook 소스-모델 싱크 인스펙터</w:t>
            </w:r>
          </w:p>
        </w:tc>
        <w:tc>
          <w:tcPr>
            <w:tcW w:type="dxa" w:w="900"/>
            <w:shd w:fill="991B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제외</w:t>
            </w:r>
          </w:p>
        </w:tc>
        <w:tc>
          <w:tcPr>
            <w:tcW w:type="dxa" w:w="4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여러 개발자의 코드 변경을 실시간으로 감시·차단하는 팀 통제 기능. 혼자 작업하는 프리랜서에게는 적용 대상(타인의 커밋)이 없음.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F-303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설계 버전 Diff + 마이그레이션 스크립트 자동 생성</w:t>
            </w:r>
          </w:p>
        </w:tc>
        <w:tc>
          <w:tcPr>
            <w:tcW w:type="dxa" w:w="900"/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선택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장기 프로젝트에서 설계 변경 이력을 관리할 때 유용하나, 단기 컨설팅 건에는 필수 아님.</w:t>
            </w:r>
          </w:p>
        </w:tc>
      </w:tr>
      <w:tr>
        <w:tc>
          <w:tcPr>
            <w:tcW w:type="dxa" w:w="11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F-304</w:t>
            </w:r>
          </w:p>
        </w:tc>
        <w:tc>
          <w:tcPr>
            <w:tcW w:type="dxa" w:w="26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 스키마 인식 3-Way 병합 도구</w:t>
            </w:r>
          </w:p>
        </w:tc>
        <w:tc>
          <w:tcPr>
            <w:tcW w:type="dxa" w:w="900"/>
            <w:shd w:fill="991B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제외</w:t>
            </w:r>
          </w:p>
        </w:tc>
        <w:tc>
          <w:tcPr>
            <w:tcW w:type="dxa" w:w="4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동시 편집 충돌 해결 도구. 협업자가 없는 1인 사용 환경에서는 발생하지 않는 문제.</w:t>
            </w:r>
          </w:p>
        </w:tc>
      </w:tr>
    </w:tbl>
    <w:p>
      <w:pPr>
        <w:pStyle w:val="Heading1"/>
        <w:pBdr>
          <w:bottom w:val="single" w:color="2563EB" w:sz="12" w:space="4"/>
        </w:pBdr>
        <w:spacing w:after="160" w:before="320"/>
      </w:pPr>
      <w:r>
        <w:rPr>
          <w:b/>
          <w:bCs/>
          <w:color w:val="1F2937"/>
          <w:sz w:val="30"/>
          <w:szCs w:val="30"/>
        </w:rPr>
        <w:t xml:space="preserve">5. 요약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500"/>
      </w:tblGrid>
      <w:tr>
        <w:trPr>
          <w:tblHeader/>
        </w:trPr>
        <w:tc>
          <w:tcPr>
            <w:tcW w:type="dxa" w:w="18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18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포함 항목 수</w:t>
            </w:r>
          </w:p>
        </w:tc>
        <w:tc>
          <w:tcPr>
            <w:tcW w:type="dxa" w:w="5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필수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9개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F-101, 102, 103, 104a, 105, 106, 201, 203a, 301 — 이 9개만으로도 '요구사항 정리 → 표준 명명 → DDL/코드 추출 → 산출물 문서화'까지 실무 한 사이클이 완성됨</w:t>
            </w:r>
          </w:p>
        </w:tc>
      </w:tr>
      <w:tr>
        <w:tc>
          <w:tcPr>
            <w:tcW w:type="dxa" w:w="18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선택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4개</w:t>
            </w:r>
          </w:p>
        </w:tc>
        <w:tc>
          <w:tcPr>
            <w:tcW w:type="dxa" w:w="5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F-104b, 202, 204, 303 — 프로젝트 성격(대용량 컨설팅, 코드 납품 여부, 장기 프로젝트 여부)에 따라 추가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991B1B"/>
                <w:sz w:val="19"/>
                <w:szCs w:val="19"/>
              </w:rPr>
              <w:t xml:space="preserve">제외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4개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F-203b, 205, 302, 304 — 다인 협업/대규모 배포 인프라 전제 기능. 향후 팀 단위로 확장할 경우에만 재검토</w:t>
            </w:r>
          </w:p>
        </w:tc>
      </w:tr>
    </w:tbl>
    <w:p>
      <w:pPr>
        <w:pStyle w:val="Heading1"/>
        <w:pBdr>
          <w:bottom w:val="single" w:color="2563EB" w:sz="12" w:space="4"/>
        </w:pBdr>
        <w:spacing w:after="160" w:before="320"/>
      </w:pPr>
      <w:r>
        <w:rPr>
          <w:b/>
          <w:bCs/>
          <w:color w:val="1F2937"/>
          <w:sz w:val="30"/>
          <w:szCs w:val="30"/>
        </w:rPr>
        <w:t xml:space="preserve">6. 필수(9개) 우선 구현 순서 제안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5100"/>
      </w:tblGrid>
      <w:tr>
        <w:trPr>
          <w:tblHeader/>
        </w:trPr>
        <w:tc>
          <w:tcPr>
            <w:tcW w:type="dxa" w:w="7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순서</w:t>
            </w:r>
          </w:p>
        </w:tc>
        <w:tc>
          <w:tcPr>
            <w:tcW w:type="dxa" w:w="33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51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로컬 데이터 기반: SQLite/YAML 모델 포맷, 표준 사전 임포트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이후 모든 필수 기능이 이 위에서 동작</w:t>
            </w:r>
          </w:p>
        </w:tc>
      </w:tr>
      <w:tr>
        <w:tc>
          <w:tcPr>
            <w:tcW w:type="dxa" w:w="7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3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F-101 / F-106: 표준 사전 + 고객사 커스텀 사전</w:t>
            </w:r>
          </w:p>
        </w:tc>
        <w:tc>
          <w:tcPr>
            <w:tcW w:type="dxa" w:w="51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F-103 용어 합성의 입력 데이터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F-102: 엑셀/노션 Copy &amp; Paste 파싱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실무 진입점이자 F-103 테스트 데이터 확보 경로</w:t>
            </w:r>
          </w:p>
        </w:tc>
      </w:tr>
      <w:tr>
        <w:tc>
          <w:tcPr>
            <w:tcW w:type="dxa" w:w="7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3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F-103: 물리명 자동 합성 + 실시간 린터 (경량 사전 매칭 버전)</w:t>
            </w:r>
          </w:p>
        </w:tc>
        <w:tc>
          <w:tcPr>
            <w:tcW w:type="dxa" w:w="51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핵심 가치. 형태소 분석기 없이도 우선 동작 가능한 범위로 시작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F-104a: 단일 테이블 대리키 전환 + JPA 코드 추출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설계 결과물을 실제 코드/DDL로 변환하는 단계</w:t>
            </w:r>
          </w:p>
        </w:tc>
      </w:tr>
      <w:tr>
        <w:tc>
          <w:tcPr>
            <w:tcW w:type="dxa" w:w="7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3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F-105: 레거시 DDL 역엔지니어링 + 폴백 UI</w:t>
            </w:r>
          </w:p>
        </w:tc>
        <w:tc>
          <w:tcPr>
            <w:tcW w:type="dxa" w:w="51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기존 시스템 진단 컨설팅 건에 바로 활용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F-201: 암호화 대상 감지 + 길이 계산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보안 설계 조언 산출물의 신뢰도 확보</w:t>
            </w:r>
          </w:p>
        </w:tc>
      </w:tr>
      <w:tr>
        <w:tc>
          <w:tcPr>
            <w:tcW w:type="dxa" w:w="7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33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F-203a: DBMS별 락 방지 핵심 가이드</w:t>
            </w:r>
          </w:p>
        </w:tc>
        <w:tc>
          <w:tcPr>
            <w:tcW w:type="dxa" w:w="51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대용량 운영 조언 — 전문성 어필 포인트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F-301: Excel/PDF 산출물 자동 출력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0~7단계 결과물을 실제 납품 문서로 완성하는 마지막 단계</w:t>
            </w:r>
          </w:p>
        </w:tc>
      </w:tr>
    </w:tbl>
    <w:p>
      <w:pPr>
        <w:spacing w:after="130" w:line="300"/>
      </w:pPr>
      <w:r>
        <w:rPr>
          <w:i/>
          <w:iCs/>
          <w:color w:val="6B7280"/>
          <w:sz w:val="21"/>
          <w:szCs w:val="21"/>
        </w:rPr>
        <w:t xml:space="preserve">F-301(산출물 출력)을 마지막에 배치한 이유는, 그 전 단계에서 확정된 데이터 모델 스펙을 그대로 문서화하는 기능이라 선행 기능 의존도가 낮고, 동시에 앞선 기능들이 어느 정도 갖춰진 뒤에 출력 포맷을 잡아야 재작업이 적기 때문이다. 선택 기능(F-104b, 202, 204, 303)은 위 9단계가 안정화된 이후, 실제 프로젝트에서 필요성이 확인될 때 추가하는 것을 권장한다.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2026-07-30T05:22:20.019Z</dcterms:created>
  <dcterms:modified xsi:type="dcterms:W3CDTF">2026-07-30T05:22:20.041Z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