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937"/>
          <w:sz w:val="40"/>
          <w:szCs w:val="40"/>
        </w:rPr>
        <w:t xml:space="preserve">검토 보고서</w:t>
      </w:r>
    </w:p>
    <w:p>
      <w:pPr>
        <w:spacing w:after="40"/>
      </w:pPr>
      <w:r>
        <w:rPr>
          <w:color w:val="6B7280"/>
          <w:sz w:val="22"/>
          <w:szCs w:val="22"/>
        </w:rPr>
        <w:t xml:space="preserve">데이터 표준화 및 세이프 배포 관리 플랫폼 — PRD 실현가능성 · 효용성 검토</w:t>
      </w:r>
    </w:p>
    <w:p>
      <w:pPr>
        <w:pBdr>
          <w:bottom w:val="single" w:color="2563EB" w:sz="18" w:space="8"/>
        </w:pBdr>
        <w:spacing w:after="200"/>
      </w:pPr>
      <w:r>
        <w:rPr>
          <w:color w:val="6B7280"/>
          <w:sz w:val="18"/>
          <w:szCs w:val="18"/>
        </w:rPr>
        <w:t xml:space="preserve">작성일: 2026-07-09</w:t>
      </w:r>
    </w:p>
    <w:p>
      <w:pPr>
        <w:pStyle w:val="Heading1"/>
        <w:pBdr>
          <w:bottom w:val="single" w:color="2563EB" w:sz="12" w:space="4"/>
        </w:pBdr>
        <w:spacing w:after="160" w:before="320"/>
      </w:pPr>
      <w:r>
        <w:rPr>
          <w:b/>
          <w:bCs/>
          <w:color w:val="1F2937"/>
          <w:sz w:val="30"/>
          <w:szCs w:val="30"/>
        </w:rPr>
        <w:t xml:space="preserve">1. 총평</w:t>
      </w:r>
    </w:p>
    <w:p>
      <w:pPr>
        <w:spacing w:after="140" w:line="300"/>
      </w:pPr>
      <w:r>
        <w:rPr>
          <w:sz w:val="21"/>
          <w:szCs w:val="21"/>
        </w:rPr>
        <w:t xml:space="preserve">전체적으로 컨셉과 타겟팅은 탄탄하나, 세부 기술 요구사항 중 상당수가 실제 구현 난이도를 과소평가하고 있습니다. "로컬 퍼스트 + Git 동기화" 아키텍처는 한국 엔터프라이즈/공공기관의 망분리 규제 현실과 잘 맞아떨어지는 실질적 차별화 포인트이며, DA/DBA 부재 조직을 타겟으로 한 문제 정의도 명확합니다.</w:t>
      </w:r>
    </w:p>
    <w:p>
      <w:pPr>
        <w:spacing w:after="140" w:line="300"/>
      </w:pPr>
      <w:r>
        <w:rPr>
          <w:sz w:val="21"/>
          <w:szCs w:val="21"/>
        </w:rPr>
        <w:t xml:space="preserve">다만 문서 전반에 걸쳐 "완벽하게", "완전무결하게", "충돌이 발생하지 않도록" 등 절대적 표현이 반복적으로 사용되고 있으며, 이러한 표현들이 대부분 아래에서 지적하는 보완 필요 항목과 겹칩니다. 요구사항 문서는 검증 가능한(verifiable) 형태로 작성되어야 하므로, 절대적 표현을 실제 동작 범위와 조건으로 구체화하는 작업이 우선적으로 필요합니다.</w:t>
      </w:r>
    </w:p>
    <w:p>
      <w:pPr>
        <w:pStyle w:val="Heading1"/>
        <w:pBdr>
          <w:bottom w:val="single" w:color="2563EB" w:sz="12" w:space="4"/>
        </w:pBdr>
        <w:spacing w:after="160" w:before="320"/>
      </w:pPr>
      <w:r>
        <w:rPr>
          <w:b/>
          <w:bCs/>
          <w:color w:val="1F2937"/>
          <w:sz w:val="30"/>
          <w:szCs w:val="30"/>
        </w:rPr>
        <w:t xml:space="preserve">2. 모듈별 세부 검토</w:t>
      </w:r>
    </w:p>
    <w:p>
      <w:pPr>
        <w:pStyle w:val="Heading2"/>
        <w:spacing w:after="120" w:before="260"/>
      </w:pPr>
      <w:r>
        <w:rPr>
          <w:b/>
          <w:bCs/>
          <w:color w:val="2563EB"/>
          <w:sz w:val="24"/>
          <w:szCs w:val="24"/>
        </w:rPr>
        <w:t xml:space="preserve">MODULE 01 — 데이터 표준화 및 멀티 ORM 코드 추출</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400"/>
        <w:gridCol w:w="3200"/>
      </w:tblGrid>
      <w:tr>
        <w:trPr>
          <w:tblHeader/>
        </w:trPr>
        <w:tc>
          <w:tcPr>
            <w:tcW w:type="dxa" w:w="1300"/>
            <w:shd w:fill="1F2937" w:val="clear"/>
            <w:tcMar>
              <w:top w:type="dxa" w:w="80"/>
              <w:left w:type="dxa" w:w="100"/>
              <w:bottom w:type="dxa" w:w="80"/>
              <w:right w:type="dxa" w:w="100"/>
            </w:tcMar>
          </w:tcPr>
          <w:p>
            <w:pPr>
              <w:jc w:val="left"/>
            </w:pPr>
            <w:r>
              <w:rPr>
                <w:b/>
                <w:bCs/>
                <w:color w:val="FFFFFF"/>
                <w:sz w:val="19"/>
                <w:szCs w:val="19"/>
              </w:rPr>
              <w:t xml:space="preserve">항목</w:t>
            </w:r>
          </w:p>
        </w:tc>
        <w:tc>
          <w:tcPr>
            <w:tcW w:type="dxa" w:w="3200"/>
            <w:shd w:fill="1F2937" w:val="clear"/>
            <w:tcMar>
              <w:top w:type="dxa" w:w="80"/>
              <w:left w:type="dxa" w:w="100"/>
              <w:bottom w:type="dxa" w:w="80"/>
              <w:right w:type="dxa" w:w="100"/>
            </w:tcMar>
          </w:tcPr>
          <w:p>
            <w:pPr>
              <w:jc w:val="left"/>
            </w:pPr>
            <w:r>
              <w:rPr>
                <w:b/>
                <w:bCs/>
                <w:color w:val="FFFFFF"/>
                <w:sz w:val="19"/>
                <w:szCs w:val="19"/>
              </w:rPr>
              <w:t xml:space="preserve">핵심 이슈</w:t>
            </w:r>
          </w:p>
        </w:tc>
        <w:tc>
          <w:tcPr>
            <w:tcW w:type="dxa" w:w="1400"/>
            <w:shd w:fill="1F2937" w:val="clear"/>
            <w:tcMar>
              <w:top w:type="dxa" w:w="80"/>
              <w:left w:type="dxa" w:w="100"/>
              <w:bottom w:type="dxa" w:w="80"/>
              <w:right w:type="dxa" w:w="100"/>
            </w:tcMar>
          </w:tcPr>
          <w:p>
            <w:pPr>
              <w:jc w:val="left"/>
            </w:pPr>
            <w:r>
              <w:rPr>
                <w:b/>
                <w:bCs/>
                <w:color w:val="FFFFFF"/>
                <w:sz w:val="19"/>
                <w:szCs w:val="19"/>
              </w:rPr>
              <w:t xml:space="preserve">위험도</w:t>
            </w:r>
          </w:p>
        </w:tc>
        <w:tc>
          <w:tcPr>
            <w:tcW w:type="dxa" w:w="3200"/>
            <w:shd w:fill="1F2937" w:val="clear"/>
            <w:tcMar>
              <w:top w:type="dxa" w:w="80"/>
              <w:left w:type="dxa" w:w="100"/>
              <w:bottom w:type="dxa" w:w="80"/>
              <w:right w:type="dxa" w:w="100"/>
            </w:tcMar>
          </w:tcPr>
          <w:p>
            <w:pPr>
              <w:jc w:val="left"/>
            </w:pPr>
            <w:r>
              <w:rPr>
                <w:b/>
                <w:bCs/>
                <w:color w:val="FFFFFF"/>
                <w:sz w:val="19"/>
                <w:szCs w:val="19"/>
              </w:rPr>
              <w:t xml:space="preserve">보완 방향</w:t>
            </w:r>
          </w:p>
        </w:tc>
      </w:tr>
      <w:tr>
        <w:tc>
          <w:tcPr>
            <w:tcW w:type="dxa" w:w="1300"/>
            <w:tcMar>
              <w:top w:type="dxa" w:w="80"/>
              <w:left w:type="dxa" w:w="100"/>
              <w:bottom w:type="dxa" w:w="80"/>
              <w:right w:type="dxa" w:w="100"/>
            </w:tcMar>
          </w:tcPr>
          <w:p>
            <w:pPr>
              <w:jc w:val="left"/>
            </w:pPr>
            <w:r>
              <w:rPr>
                <w:b/>
                <w:bCs/>
                <w:color w:val="000000"/>
                <w:sz w:val="19"/>
                <w:szCs w:val="19"/>
              </w:rPr>
              <w:t xml:space="preserve">REQ-103</w:t>
            </w:r>
          </w:p>
        </w:tc>
        <w:tc>
          <w:tcPr>
            <w:tcW w:type="dxa" w:w="3200"/>
            <w:tcMar>
              <w:top w:type="dxa" w:w="80"/>
              <w:left w:type="dxa" w:w="100"/>
              <w:bottom w:type="dxa" w:w="80"/>
              <w:right w:type="dxa" w:w="100"/>
            </w:tcMar>
          </w:tcPr>
          <w:p>
            <w:pPr>
              <w:jc w:val="left"/>
            </w:pPr>
            <w:r>
              <w:rPr>
                <w:b w:val="false"/>
                <w:bCs w:val="false"/>
                <w:color w:val="000000"/>
                <w:sz w:val="19"/>
                <w:szCs w:val="19"/>
              </w:rPr>
              <w:t xml:space="preserve">한글 논리명 → 물리명 합성을 "순수 파이썬 알고리즘"으로 명시. 실제로는 형태소 분석기(Mecab/KoNLPy 등) 의존이 사실상 필수이며, 동일 논리명도 문맥에 따라 복수 해석 가능</w:t>
            </w:r>
          </w:p>
        </w:tc>
        <w:tc>
          <w:tcPr>
            <w:tcW w:type="dxa" w:w="1400"/>
            <w:tcMar>
              <w:top w:type="dxa" w:w="80"/>
              <w:left w:type="dxa" w:w="100"/>
              <w:bottom w:type="dxa" w:w="80"/>
              <w:right w:type="dxa" w:w="100"/>
            </w:tcMar>
          </w:tcPr>
          <w:p>
            <w:pPr>
              <w:jc w:val="left"/>
            </w:pPr>
            <w:r>
              <w:rPr>
                <w:b/>
                <w:bCs/>
                <w:color w:val="B45309"/>
                <w:sz w:val="19"/>
                <w:szCs w:val="19"/>
              </w:rPr>
              <w:t xml:space="preserve">중요</w:t>
            </w:r>
          </w:p>
        </w:tc>
        <w:tc>
          <w:tcPr>
            <w:tcW w:type="dxa" w:w="3200"/>
            <w:tcMar>
              <w:top w:type="dxa" w:w="80"/>
              <w:left w:type="dxa" w:w="100"/>
              <w:bottom w:type="dxa" w:w="80"/>
              <w:right w:type="dxa" w:w="100"/>
            </w:tcMar>
          </w:tcPr>
          <w:p>
            <w:pPr>
              <w:jc w:val="left"/>
            </w:pPr>
            <w:r>
              <w:rPr>
                <w:b w:val="false"/>
                <w:bCs w:val="false"/>
                <w:color w:val="000000"/>
                <w:sz w:val="19"/>
                <w:szCs w:val="19"/>
              </w:rPr>
              <w:t xml:space="preserve">"완전 자동 합성" 대신 "자동 추천 + 사용자 확정" 구조로 재정의. 형태소 분석 의존성을 아키텍처 문서에 명기</w:t>
            </w:r>
          </w:p>
        </w:tc>
      </w:tr>
      <w:tr>
        <w:tc>
          <w:tcPr>
            <w:tcW w:type="dxa" w:w="1300"/>
            <w:shd w:fill="F3F4F6" w:val="clear"/>
            <w:tcMar>
              <w:top w:type="dxa" w:w="80"/>
              <w:left w:type="dxa" w:w="100"/>
              <w:bottom w:type="dxa" w:w="80"/>
              <w:right w:type="dxa" w:w="100"/>
            </w:tcMar>
          </w:tcPr>
          <w:p>
            <w:pPr>
              <w:jc w:val="left"/>
            </w:pPr>
            <w:r>
              <w:rPr>
                <w:b/>
                <w:bCs/>
                <w:color w:val="000000"/>
                <w:sz w:val="19"/>
                <w:szCs w:val="19"/>
              </w:rPr>
              <w:t xml:space="preserve">REQ-104</w:t>
            </w:r>
          </w:p>
        </w:tc>
        <w:tc>
          <w:tcPr>
            <w:tcW w:type="dxa" w:w="3200"/>
            <w:shd w:fill="F3F4F6" w:val="clear"/>
            <w:tcMar>
              <w:top w:type="dxa" w:w="80"/>
              <w:left w:type="dxa" w:w="100"/>
              <w:bottom w:type="dxa" w:w="80"/>
              <w:right w:type="dxa" w:w="100"/>
            </w:tcMar>
          </w:tcPr>
          <w:p>
            <w:pPr>
              <w:jc w:val="left"/>
            </w:pPr>
            <w:r>
              <w:rPr>
                <w:b w:val="false"/>
                <w:bCs w:val="false"/>
                <w:color w:val="000000"/>
                <w:sz w:val="19"/>
                <w:szCs w:val="19"/>
              </w:rPr>
              <w:t xml:space="preserve">대리키 전환 시 기존 FK 참조 테이블까지의 연쇄 리팩토링 범위 미기술. JPA/Prisma/TypeORM 3종 동시 지원은 MVP 범위 초과</w:t>
            </w:r>
          </w:p>
        </w:tc>
        <w:tc>
          <w:tcPr>
            <w:tcW w:type="dxa" w:w="1400"/>
            <w:shd w:fill="F3F4F6" w:val="clear"/>
            <w:tcMar>
              <w:top w:type="dxa" w:w="80"/>
              <w:left w:type="dxa" w:w="100"/>
              <w:bottom w:type="dxa" w:w="80"/>
              <w:right w:type="dxa" w:w="100"/>
            </w:tcMar>
          </w:tcPr>
          <w:p>
            <w:pPr>
              <w:jc w:val="left"/>
            </w:pPr>
            <w:r>
              <w:rPr>
                <w:b/>
                <w:bCs/>
                <w:color w:val="B45309"/>
                <w:sz w:val="19"/>
                <w:szCs w:val="19"/>
              </w:rPr>
              <w:t xml:space="preserve">중요</w:t>
            </w:r>
          </w:p>
        </w:tc>
        <w:tc>
          <w:tcPr>
            <w:tcW w:type="dxa" w:w="3200"/>
            <w:shd w:fill="F3F4F6" w:val="clear"/>
            <w:tcMar>
              <w:top w:type="dxa" w:w="80"/>
              <w:left w:type="dxa" w:w="100"/>
              <w:bottom w:type="dxa" w:w="80"/>
              <w:right w:type="dxa" w:w="100"/>
            </w:tcMar>
          </w:tcPr>
          <w:p>
            <w:pPr>
              <w:jc w:val="left"/>
            </w:pPr>
            <w:r>
              <w:rPr>
                <w:b w:val="false"/>
                <w:bCs w:val="false"/>
                <w:color w:val="000000"/>
                <w:sz w:val="19"/>
                <w:szCs w:val="19"/>
              </w:rPr>
              <w:t xml:space="preserve">1개 프레임워크(예: JPA)로 MVP 범위 축소 후 순차 확장. FK 연쇄 반영 시나리오를 요구사항에 추가</w:t>
            </w:r>
          </w:p>
        </w:tc>
      </w:tr>
      <w:tr>
        <w:tc>
          <w:tcPr>
            <w:tcW w:type="dxa" w:w="1300"/>
            <w:tcMar>
              <w:top w:type="dxa" w:w="80"/>
              <w:left w:type="dxa" w:w="100"/>
              <w:bottom w:type="dxa" w:w="80"/>
              <w:right w:type="dxa" w:w="100"/>
            </w:tcMar>
          </w:tcPr>
          <w:p>
            <w:pPr>
              <w:jc w:val="left"/>
            </w:pPr>
            <w:r>
              <w:rPr>
                <w:b/>
                <w:bCs/>
                <w:color w:val="000000"/>
                <w:sz w:val="19"/>
                <w:szCs w:val="19"/>
              </w:rPr>
              <w:t xml:space="preserve">REQ-105</w:t>
            </w:r>
          </w:p>
        </w:tc>
        <w:tc>
          <w:tcPr>
            <w:tcW w:type="dxa" w:w="3200"/>
            <w:tcMar>
              <w:top w:type="dxa" w:w="80"/>
              <w:left w:type="dxa" w:w="100"/>
              <w:bottom w:type="dxa" w:w="80"/>
              <w:right w:type="dxa" w:w="100"/>
            </w:tcMar>
          </w:tcPr>
          <w:p>
            <w:pPr>
              <w:jc w:val="left"/>
            </w:pPr>
            <w:r>
              <w:rPr>
                <w:b w:val="false"/>
                <w:bCs w:val="false"/>
                <w:color w:val="000000"/>
                <w:sz w:val="19"/>
                <w:szCs w:val="19"/>
              </w:rPr>
              <w:t xml:space="preserve">실제 레거시 DDL은 벤더 방언·프로시저 혼재로 파싱 실패율이 높은 영역이나, 파싱 실패 시 폴백 전략이 없음</w:t>
            </w:r>
          </w:p>
        </w:tc>
        <w:tc>
          <w:tcPr>
            <w:tcW w:type="dxa" w:w="1400"/>
            <w:tcMar>
              <w:top w:type="dxa" w:w="80"/>
              <w:left w:type="dxa" w:w="100"/>
              <w:bottom w:type="dxa" w:w="80"/>
              <w:right w:type="dxa" w:w="100"/>
            </w:tcMar>
          </w:tcPr>
          <w:p>
            <w:pPr>
              <w:jc w:val="left"/>
            </w:pPr>
            <w:r>
              <w:rPr>
                <w:b/>
                <w:bCs/>
                <w:color w:val="6B7280"/>
                <w:sz w:val="19"/>
                <w:szCs w:val="19"/>
              </w:rPr>
              <w:t xml:space="preserve">권장</w:t>
            </w:r>
          </w:p>
        </w:tc>
        <w:tc>
          <w:tcPr>
            <w:tcW w:type="dxa" w:w="3200"/>
            <w:tcMar>
              <w:top w:type="dxa" w:w="80"/>
              <w:left w:type="dxa" w:w="100"/>
              <w:bottom w:type="dxa" w:w="80"/>
              <w:right w:type="dxa" w:w="100"/>
            </w:tcMar>
          </w:tcPr>
          <w:p>
            <w:pPr>
              <w:jc w:val="left"/>
            </w:pPr>
            <w:r>
              <w:rPr>
                <w:b w:val="false"/>
                <w:bCs w:val="false"/>
                <w:color w:val="000000"/>
                <w:sz w:val="19"/>
                <w:szCs w:val="19"/>
              </w:rPr>
              <w:t xml:space="preserve">부분 파싱 + 수동 보정 UI 등 실패 시나리오에 대한 폴백 경로를 요구사항화</w:t>
            </w:r>
          </w:p>
        </w:tc>
      </w:tr>
    </w:tbl>
    <w:p>
      <w:pPr>
        <w:pStyle w:val="Heading2"/>
        <w:spacing w:after="120" w:before="260"/>
      </w:pPr>
      <w:r>
        <w:rPr>
          <w:b/>
          <w:bCs/>
          <w:color w:val="2563EB"/>
          <w:sz w:val="24"/>
          <w:szCs w:val="24"/>
        </w:rPr>
        <w:t xml:space="preserve">MODULE 02 — 대용량 성능 최적화 및 로컬 세이프가드</w:t>
      </w:r>
    </w:p>
    <w:p>
      <w:pPr>
        <w:spacing w:after="120" w:before="100"/>
      </w:pPr>
      <w:r>
        <w:rPr>
          <w:i/>
          <w:iCs/>
          <w:color w:val="6B7280"/>
          <w:sz w:val="20"/>
          <w:szCs w:val="20"/>
        </w:rPr>
        <w:t xml:space="preserve">3개 모듈 중 기술적 정확성 리스크가 가장 큰 영역입니다.</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400"/>
        <w:gridCol w:w="3200"/>
      </w:tblGrid>
      <w:tr>
        <w:trPr>
          <w:tblHeader/>
        </w:trPr>
        <w:tc>
          <w:tcPr>
            <w:tcW w:type="dxa" w:w="1300"/>
            <w:shd w:fill="1F2937" w:val="clear"/>
            <w:tcMar>
              <w:top w:type="dxa" w:w="80"/>
              <w:left w:type="dxa" w:w="100"/>
              <w:bottom w:type="dxa" w:w="80"/>
              <w:right w:type="dxa" w:w="100"/>
            </w:tcMar>
          </w:tcPr>
          <w:p>
            <w:pPr>
              <w:jc w:val="left"/>
            </w:pPr>
            <w:r>
              <w:rPr>
                <w:b/>
                <w:bCs/>
                <w:color w:val="FFFFFF"/>
                <w:sz w:val="19"/>
                <w:szCs w:val="19"/>
              </w:rPr>
              <w:t xml:space="preserve">항목</w:t>
            </w:r>
          </w:p>
        </w:tc>
        <w:tc>
          <w:tcPr>
            <w:tcW w:type="dxa" w:w="3200"/>
            <w:shd w:fill="1F2937" w:val="clear"/>
            <w:tcMar>
              <w:top w:type="dxa" w:w="80"/>
              <w:left w:type="dxa" w:w="100"/>
              <w:bottom w:type="dxa" w:w="80"/>
              <w:right w:type="dxa" w:w="100"/>
            </w:tcMar>
          </w:tcPr>
          <w:p>
            <w:pPr>
              <w:jc w:val="left"/>
            </w:pPr>
            <w:r>
              <w:rPr>
                <w:b/>
                <w:bCs/>
                <w:color w:val="FFFFFF"/>
                <w:sz w:val="19"/>
                <w:szCs w:val="19"/>
              </w:rPr>
              <w:t xml:space="preserve">핵심 이슈</w:t>
            </w:r>
          </w:p>
        </w:tc>
        <w:tc>
          <w:tcPr>
            <w:tcW w:type="dxa" w:w="1400"/>
            <w:shd w:fill="1F2937" w:val="clear"/>
            <w:tcMar>
              <w:top w:type="dxa" w:w="80"/>
              <w:left w:type="dxa" w:w="100"/>
              <w:bottom w:type="dxa" w:w="80"/>
              <w:right w:type="dxa" w:w="100"/>
            </w:tcMar>
          </w:tcPr>
          <w:p>
            <w:pPr>
              <w:jc w:val="left"/>
            </w:pPr>
            <w:r>
              <w:rPr>
                <w:b/>
                <w:bCs/>
                <w:color w:val="FFFFFF"/>
                <w:sz w:val="19"/>
                <w:szCs w:val="19"/>
              </w:rPr>
              <w:t xml:space="preserve">위험도</w:t>
            </w:r>
          </w:p>
        </w:tc>
        <w:tc>
          <w:tcPr>
            <w:tcW w:type="dxa" w:w="3200"/>
            <w:shd w:fill="1F2937" w:val="clear"/>
            <w:tcMar>
              <w:top w:type="dxa" w:w="80"/>
              <w:left w:type="dxa" w:w="100"/>
              <w:bottom w:type="dxa" w:w="80"/>
              <w:right w:type="dxa" w:w="100"/>
            </w:tcMar>
          </w:tcPr>
          <w:p>
            <w:pPr>
              <w:jc w:val="left"/>
            </w:pPr>
            <w:r>
              <w:rPr>
                <w:b/>
                <w:bCs/>
                <w:color w:val="FFFFFF"/>
                <w:sz w:val="19"/>
                <w:szCs w:val="19"/>
              </w:rPr>
              <w:t xml:space="preserve">보완 방향</w:t>
            </w:r>
          </w:p>
        </w:tc>
      </w:tr>
      <w:tr>
        <w:tc>
          <w:tcPr>
            <w:tcW w:type="dxa" w:w="1300"/>
            <w:tcMar>
              <w:top w:type="dxa" w:w="80"/>
              <w:left w:type="dxa" w:w="100"/>
              <w:bottom w:type="dxa" w:w="80"/>
              <w:right w:type="dxa" w:w="100"/>
            </w:tcMar>
          </w:tcPr>
          <w:p>
            <w:pPr>
              <w:jc w:val="left"/>
            </w:pPr>
            <w:r>
              <w:rPr>
                <w:b/>
                <w:bCs/>
                <w:color w:val="000000"/>
                <w:sz w:val="19"/>
                <w:szCs w:val="19"/>
              </w:rPr>
              <w:t xml:space="preserve">REQ-201</w:t>
            </w:r>
          </w:p>
        </w:tc>
        <w:tc>
          <w:tcPr>
            <w:tcW w:type="dxa" w:w="3200"/>
            <w:tcMar>
              <w:top w:type="dxa" w:w="80"/>
              <w:left w:type="dxa" w:w="100"/>
              <w:bottom w:type="dxa" w:w="80"/>
              <w:right w:type="dxa" w:w="100"/>
            </w:tcMar>
          </w:tcPr>
          <w:p>
            <w:pPr>
              <w:jc w:val="left"/>
            </w:pPr>
            <w:r>
              <w:rPr>
                <w:b w:val="false"/>
                <w:bCs w:val="false"/>
                <w:color w:val="000000"/>
                <w:sz w:val="19"/>
                <w:szCs w:val="19"/>
              </w:rPr>
              <w:t xml:space="preserve">암호화 대상 필드를 일괄 VARCHAR(255)로 확장. 그러나 SHA-256(64자), bcrypt(약 60자), AES+Base64(원문의 약 1.33배) 등 알고리즘별 필요 길이가 상이해 부정확</w:t>
            </w:r>
          </w:p>
        </w:tc>
        <w:tc>
          <w:tcPr>
            <w:tcW w:type="dxa" w:w="1400"/>
            <w:tcMar>
              <w:top w:type="dxa" w:w="80"/>
              <w:left w:type="dxa" w:w="100"/>
              <w:bottom w:type="dxa" w:w="80"/>
              <w:right w:type="dxa" w:w="100"/>
            </w:tcMar>
          </w:tcPr>
          <w:p>
            <w:pPr>
              <w:jc w:val="left"/>
            </w:pPr>
            <w:r>
              <w:rPr>
                <w:b/>
                <w:bCs/>
                <w:color w:val="B91C1C"/>
                <w:sz w:val="19"/>
                <w:szCs w:val="19"/>
              </w:rPr>
              <w:t xml:space="preserve">긴급</w:t>
            </w:r>
          </w:p>
        </w:tc>
        <w:tc>
          <w:tcPr>
            <w:tcW w:type="dxa" w:w="3200"/>
            <w:tcMar>
              <w:top w:type="dxa" w:w="80"/>
              <w:left w:type="dxa" w:w="100"/>
              <w:bottom w:type="dxa" w:w="80"/>
              <w:right w:type="dxa" w:w="100"/>
            </w:tcMar>
          </w:tcPr>
          <w:p>
            <w:pPr>
              <w:jc w:val="left"/>
            </w:pPr>
            <w:r>
              <w:rPr>
                <w:b w:val="false"/>
                <w:bCs w:val="false"/>
                <w:color w:val="000000"/>
                <w:sz w:val="19"/>
                <w:szCs w:val="19"/>
              </w:rPr>
              <w:t xml:space="preserve">암호화 방식 선택에 따라 필요 길이를 계산하는 로직으로 변경</w:t>
            </w:r>
          </w:p>
        </w:tc>
      </w:tr>
      <w:tr>
        <w:tc>
          <w:tcPr>
            <w:tcW w:type="dxa" w:w="1300"/>
            <w:shd w:fill="F3F4F6" w:val="clear"/>
            <w:tcMar>
              <w:top w:type="dxa" w:w="80"/>
              <w:left w:type="dxa" w:w="100"/>
              <w:bottom w:type="dxa" w:w="80"/>
              <w:right w:type="dxa" w:w="100"/>
            </w:tcMar>
          </w:tcPr>
          <w:p>
            <w:pPr>
              <w:jc w:val="left"/>
            </w:pPr>
            <w:r>
              <w:rPr>
                <w:b/>
                <w:bCs/>
                <w:color w:val="000000"/>
                <w:sz w:val="19"/>
                <w:szCs w:val="19"/>
              </w:rPr>
              <w:t xml:space="preserve">REQ-203</w:t>
            </w:r>
          </w:p>
        </w:tc>
        <w:tc>
          <w:tcPr>
            <w:tcW w:type="dxa" w:w="3200"/>
            <w:shd w:fill="F3F4F6" w:val="clear"/>
            <w:tcMar>
              <w:top w:type="dxa" w:w="80"/>
              <w:left w:type="dxa" w:w="100"/>
              <w:bottom w:type="dxa" w:w="80"/>
              <w:right w:type="dxa" w:w="100"/>
            </w:tcMar>
          </w:tcPr>
          <w:p>
            <w:pPr>
              <w:jc w:val="left"/>
            </w:pPr>
            <w:r>
              <w:rPr>
                <w:b w:val="false"/>
                <w:bCs w:val="false"/>
                <w:color w:val="000000"/>
                <w:sz w:val="19"/>
                <w:szCs w:val="19"/>
              </w:rPr>
              <w:t xml:space="preserve">MySQL ALGORITHM=INSTANT은 컬럼 추가 등 일부 작업에만 적용되고 AUTO_INCREMENT 재정의 등에는 미적용. CREATE INDEX CONCURRENTLY도 인덱스 생성에만 해당하나 "강제 결합"으로 일반화되어 있음</w:t>
            </w:r>
          </w:p>
        </w:tc>
        <w:tc>
          <w:tcPr>
            <w:tcW w:type="dxa" w:w="1400"/>
            <w:shd w:fill="F3F4F6" w:val="clear"/>
            <w:tcMar>
              <w:top w:type="dxa" w:w="80"/>
              <w:left w:type="dxa" w:w="100"/>
              <w:bottom w:type="dxa" w:w="80"/>
              <w:right w:type="dxa" w:w="100"/>
            </w:tcMar>
          </w:tcPr>
          <w:p>
            <w:pPr>
              <w:jc w:val="left"/>
            </w:pPr>
            <w:r>
              <w:rPr>
                <w:b/>
                <w:bCs/>
                <w:color w:val="B91C1C"/>
                <w:sz w:val="19"/>
                <w:szCs w:val="19"/>
              </w:rPr>
              <w:t xml:space="preserve">긴급</w:t>
            </w:r>
          </w:p>
        </w:tc>
        <w:tc>
          <w:tcPr>
            <w:tcW w:type="dxa" w:w="3200"/>
            <w:shd w:fill="F3F4F6" w:val="clear"/>
            <w:tcMar>
              <w:top w:type="dxa" w:w="80"/>
              <w:left w:type="dxa" w:w="100"/>
              <w:bottom w:type="dxa" w:w="80"/>
              <w:right w:type="dxa" w:w="100"/>
            </w:tcMar>
          </w:tcPr>
          <w:p>
            <w:pPr>
              <w:jc w:val="left"/>
            </w:pPr>
            <w:r>
              <w:rPr>
                <w:b w:val="false"/>
                <w:bCs w:val="false"/>
                <w:color w:val="000000"/>
                <w:sz w:val="19"/>
                <w:szCs w:val="19"/>
              </w:rPr>
              <w:t xml:space="preserve">DBMS 버전 × 조작 유형별 지원 여부 매트릭스를 문서화하고 미지원 케이스의 대체 동작을 정의</w:t>
            </w:r>
          </w:p>
        </w:tc>
      </w:tr>
      <w:tr>
        <w:tc>
          <w:tcPr>
            <w:tcW w:type="dxa" w:w="1300"/>
            <w:tcMar>
              <w:top w:type="dxa" w:w="80"/>
              <w:left w:type="dxa" w:w="100"/>
              <w:bottom w:type="dxa" w:w="80"/>
              <w:right w:type="dxa" w:w="100"/>
            </w:tcMar>
          </w:tcPr>
          <w:p>
            <w:pPr>
              <w:jc w:val="left"/>
            </w:pPr>
            <w:r>
              <w:rPr>
                <w:b/>
                <w:bCs/>
                <w:color w:val="000000"/>
                <w:sz w:val="19"/>
                <w:szCs w:val="19"/>
              </w:rPr>
              <w:t xml:space="preserve">REQ-204</w:t>
            </w:r>
          </w:p>
        </w:tc>
        <w:tc>
          <w:tcPr>
            <w:tcW w:type="dxa" w:w="3200"/>
            <w:tcMar>
              <w:top w:type="dxa" w:w="80"/>
              <w:left w:type="dxa" w:w="100"/>
              <w:bottom w:type="dxa" w:w="80"/>
              <w:right w:type="dxa" w:w="100"/>
            </w:tcMar>
          </w:tcPr>
          <w:p>
            <w:pPr>
              <w:jc w:val="left"/>
            </w:pPr>
            <w:r>
              <w:rPr>
                <w:b w:val="false"/>
                <w:bCs w:val="false"/>
                <w:color w:val="000000"/>
                <w:sz w:val="19"/>
                <w:szCs w:val="19"/>
              </w:rPr>
              <w:t xml:space="preserve">Oracle 파티셔닝은 Enterprise Edition의 유료 옵션이나 이 라이선스 제약이 언급되어 있지 않음</w:t>
            </w:r>
          </w:p>
        </w:tc>
        <w:tc>
          <w:tcPr>
            <w:tcW w:type="dxa" w:w="1400"/>
            <w:tcMar>
              <w:top w:type="dxa" w:w="80"/>
              <w:left w:type="dxa" w:w="100"/>
              <w:bottom w:type="dxa" w:w="80"/>
              <w:right w:type="dxa" w:w="100"/>
            </w:tcMar>
          </w:tcPr>
          <w:p>
            <w:pPr>
              <w:jc w:val="left"/>
            </w:pPr>
            <w:r>
              <w:rPr>
                <w:b/>
                <w:bCs/>
                <w:color w:val="B45309"/>
                <w:sz w:val="19"/>
                <w:szCs w:val="19"/>
              </w:rPr>
              <w:t xml:space="preserve">중요</w:t>
            </w:r>
          </w:p>
        </w:tc>
        <w:tc>
          <w:tcPr>
            <w:tcW w:type="dxa" w:w="3200"/>
            <w:tcMar>
              <w:top w:type="dxa" w:w="80"/>
              <w:left w:type="dxa" w:w="100"/>
              <w:bottom w:type="dxa" w:w="80"/>
              <w:right w:type="dxa" w:w="100"/>
            </w:tcMar>
          </w:tcPr>
          <w:p>
            <w:pPr>
              <w:jc w:val="left"/>
            </w:pPr>
            <w:r>
              <w:rPr>
                <w:b w:val="false"/>
                <w:bCs w:val="false"/>
                <w:color w:val="000000"/>
                <w:sz w:val="19"/>
                <w:szCs w:val="19"/>
              </w:rPr>
              <w:t xml:space="preserve">DBMS/에디션별 라이선스 전제조건을 요구사항에 명시</w:t>
            </w:r>
          </w:p>
        </w:tc>
      </w:tr>
      <w:tr>
        <w:tc>
          <w:tcPr>
            <w:tcW w:type="dxa" w:w="1300"/>
            <w:shd w:fill="F3F4F6" w:val="clear"/>
            <w:tcMar>
              <w:top w:type="dxa" w:w="80"/>
              <w:left w:type="dxa" w:w="100"/>
              <w:bottom w:type="dxa" w:w="80"/>
              <w:right w:type="dxa" w:w="100"/>
            </w:tcMar>
          </w:tcPr>
          <w:p>
            <w:pPr>
              <w:jc w:val="left"/>
            </w:pPr>
            <w:r>
              <w:rPr>
                <w:b/>
                <w:bCs/>
                <w:color w:val="000000"/>
                <w:sz w:val="19"/>
                <w:szCs w:val="19"/>
              </w:rPr>
              <w:t xml:space="preserve">REQ-205</w:t>
            </w:r>
          </w:p>
        </w:tc>
        <w:tc>
          <w:tcPr>
            <w:tcW w:type="dxa" w:w="3200"/>
            <w:shd w:fill="F3F4F6" w:val="clear"/>
            <w:tcMar>
              <w:top w:type="dxa" w:w="80"/>
              <w:left w:type="dxa" w:w="100"/>
              <w:bottom w:type="dxa" w:w="80"/>
              <w:right w:type="dxa" w:w="100"/>
            </w:tcMar>
          </w:tcPr>
          <w:p>
            <w:pPr>
              <w:jc w:val="left"/>
            </w:pPr>
            <w:r>
              <w:rPr>
                <w:b w:val="false"/>
                <w:bCs w:val="false"/>
                <w:color w:val="000000"/>
                <w:sz w:val="19"/>
                <w:szCs w:val="19"/>
              </w:rPr>
              <w:t xml:space="preserve">온디바이스 LLM(Ollama)은 일반 개발자 PC 사양(RAM/GPU) 부담이 크고, 추천 결과의 환각(hallucination) 가능성에 대한 검증·승인 단계가 없음</w:t>
            </w:r>
          </w:p>
        </w:tc>
        <w:tc>
          <w:tcPr>
            <w:tcW w:type="dxa" w:w="1400"/>
            <w:shd w:fill="F3F4F6" w:val="clear"/>
            <w:tcMar>
              <w:top w:type="dxa" w:w="80"/>
              <w:left w:type="dxa" w:w="100"/>
              <w:bottom w:type="dxa" w:w="80"/>
              <w:right w:type="dxa" w:w="100"/>
            </w:tcMar>
          </w:tcPr>
          <w:p>
            <w:pPr>
              <w:jc w:val="left"/>
            </w:pPr>
            <w:r>
              <w:rPr>
                <w:b/>
                <w:bCs/>
                <w:color w:val="6B7280"/>
                <w:sz w:val="19"/>
                <w:szCs w:val="19"/>
              </w:rPr>
              <w:t xml:space="preserve">권장</w:t>
            </w:r>
          </w:p>
        </w:tc>
        <w:tc>
          <w:tcPr>
            <w:tcW w:type="dxa" w:w="3200"/>
            <w:shd w:fill="F3F4F6" w:val="clear"/>
            <w:tcMar>
              <w:top w:type="dxa" w:w="80"/>
              <w:left w:type="dxa" w:w="100"/>
              <w:bottom w:type="dxa" w:w="80"/>
              <w:right w:type="dxa" w:w="100"/>
            </w:tcMar>
          </w:tcPr>
          <w:p>
            <w:pPr>
              <w:jc w:val="left"/>
            </w:pPr>
            <w:r>
              <w:rPr>
                <w:b w:val="false"/>
                <w:bCs w:val="false"/>
                <w:color w:val="000000"/>
                <w:sz w:val="19"/>
                <w:szCs w:val="19"/>
              </w:rPr>
              <w:t xml:space="preserve">최소 사양 명시 및 사용자 승인(Human-in-the-loop) 단계를 필수 플로우로 추가</w:t>
            </w:r>
          </w:p>
        </w:tc>
      </w:tr>
    </w:tbl>
    <w:p>
      <w:pPr>
        <w:pStyle w:val="Heading2"/>
        <w:spacing w:after="120" w:before="260"/>
      </w:pPr>
      <w:r>
        <w:rPr>
          <w:b/>
          <w:bCs/>
          <w:color w:val="2563EB"/>
          <w:sz w:val="24"/>
          <w:szCs w:val="24"/>
        </w:rPr>
        <w:t xml:space="preserve">MODULE 03 — 산출물 자동화 및 Git 기반 형상관리 연동</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400"/>
        <w:gridCol w:w="3200"/>
      </w:tblGrid>
      <w:tr>
        <w:trPr>
          <w:tblHeader/>
        </w:trPr>
        <w:tc>
          <w:tcPr>
            <w:tcW w:type="dxa" w:w="1300"/>
            <w:shd w:fill="1F2937" w:val="clear"/>
            <w:tcMar>
              <w:top w:type="dxa" w:w="80"/>
              <w:left w:type="dxa" w:w="100"/>
              <w:bottom w:type="dxa" w:w="80"/>
              <w:right w:type="dxa" w:w="100"/>
            </w:tcMar>
          </w:tcPr>
          <w:p>
            <w:pPr>
              <w:jc w:val="left"/>
            </w:pPr>
            <w:r>
              <w:rPr>
                <w:b/>
                <w:bCs/>
                <w:color w:val="FFFFFF"/>
                <w:sz w:val="19"/>
                <w:szCs w:val="19"/>
              </w:rPr>
              <w:t xml:space="preserve">항목</w:t>
            </w:r>
          </w:p>
        </w:tc>
        <w:tc>
          <w:tcPr>
            <w:tcW w:type="dxa" w:w="3200"/>
            <w:shd w:fill="1F2937" w:val="clear"/>
            <w:tcMar>
              <w:top w:type="dxa" w:w="80"/>
              <w:left w:type="dxa" w:w="100"/>
              <w:bottom w:type="dxa" w:w="80"/>
              <w:right w:type="dxa" w:w="100"/>
            </w:tcMar>
          </w:tcPr>
          <w:p>
            <w:pPr>
              <w:jc w:val="left"/>
            </w:pPr>
            <w:r>
              <w:rPr>
                <w:b/>
                <w:bCs/>
                <w:color w:val="FFFFFF"/>
                <w:sz w:val="19"/>
                <w:szCs w:val="19"/>
              </w:rPr>
              <w:t xml:space="preserve">핵심 이슈</w:t>
            </w:r>
          </w:p>
        </w:tc>
        <w:tc>
          <w:tcPr>
            <w:tcW w:type="dxa" w:w="1400"/>
            <w:shd w:fill="1F2937" w:val="clear"/>
            <w:tcMar>
              <w:top w:type="dxa" w:w="80"/>
              <w:left w:type="dxa" w:w="100"/>
              <w:bottom w:type="dxa" w:w="80"/>
              <w:right w:type="dxa" w:w="100"/>
            </w:tcMar>
          </w:tcPr>
          <w:p>
            <w:pPr>
              <w:jc w:val="left"/>
            </w:pPr>
            <w:r>
              <w:rPr>
                <w:b/>
                <w:bCs/>
                <w:color w:val="FFFFFF"/>
                <w:sz w:val="19"/>
                <w:szCs w:val="19"/>
              </w:rPr>
              <w:t xml:space="preserve">위험도</w:t>
            </w:r>
          </w:p>
        </w:tc>
        <w:tc>
          <w:tcPr>
            <w:tcW w:type="dxa" w:w="3200"/>
            <w:shd w:fill="1F2937" w:val="clear"/>
            <w:tcMar>
              <w:top w:type="dxa" w:w="80"/>
              <w:left w:type="dxa" w:w="100"/>
              <w:bottom w:type="dxa" w:w="80"/>
              <w:right w:type="dxa" w:w="100"/>
            </w:tcMar>
          </w:tcPr>
          <w:p>
            <w:pPr>
              <w:jc w:val="left"/>
            </w:pPr>
            <w:r>
              <w:rPr>
                <w:b/>
                <w:bCs/>
                <w:color w:val="FFFFFF"/>
                <w:sz w:val="19"/>
                <w:szCs w:val="19"/>
              </w:rPr>
              <w:t xml:space="preserve">보완 방향</w:t>
            </w:r>
          </w:p>
        </w:tc>
      </w:tr>
      <w:tr>
        <w:tc>
          <w:tcPr>
            <w:tcW w:type="dxa" w:w="1300"/>
            <w:tcMar>
              <w:top w:type="dxa" w:w="80"/>
              <w:left w:type="dxa" w:w="100"/>
              <w:bottom w:type="dxa" w:w="80"/>
              <w:right w:type="dxa" w:w="100"/>
            </w:tcMar>
          </w:tcPr>
          <w:p>
            <w:pPr>
              <w:jc w:val="left"/>
            </w:pPr>
            <w:r>
              <w:rPr>
                <w:b/>
                <w:bCs/>
                <w:color w:val="000000"/>
                <w:sz w:val="19"/>
                <w:szCs w:val="19"/>
              </w:rPr>
              <w:t xml:space="preserve">REQ-302</w:t>
            </w:r>
          </w:p>
        </w:tc>
        <w:tc>
          <w:tcPr>
            <w:tcW w:type="dxa" w:w="3200"/>
            <w:tcMar>
              <w:top w:type="dxa" w:w="80"/>
              <w:left w:type="dxa" w:w="100"/>
              <w:bottom w:type="dxa" w:w="80"/>
              <w:right w:type="dxa" w:w="100"/>
            </w:tcMar>
          </w:tcPr>
          <w:p>
            <w:pPr>
              <w:jc w:val="left"/>
            </w:pPr>
            <w:r>
              <w:rPr>
                <w:b w:val="false"/>
                <w:bCs w:val="false"/>
                <w:color w:val="000000"/>
                <w:sz w:val="19"/>
                <w:szCs w:val="19"/>
              </w:rPr>
              <w:t xml:space="preserve">임의 언어(Java/Prisma/TypeORM 등)의 소스코드를 파싱해 선언형 모델과 대조하는 기능은 사실상 각 언어별 파서(컴파일러 프론트엔드)를 자체 구축해야 하는 고난도 영역. Phase 3(5개월차) 배치는 기술 리스크 대비 낙관적</w:t>
            </w:r>
          </w:p>
        </w:tc>
        <w:tc>
          <w:tcPr>
            <w:tcW w:type="dxa" w:w="1400"/>
            <w:tcMar>
              <w:top w:type="dxa" w:w="80"/>
              <w:left w:type="dxa" w:w="100"/>
              <w:bottom w:type="dxa" w:w="80"/>
              <w:right w:type="dxa" w:w="100"/>
            </w:tcMar>
          </w:tcPr>
          <w:p>
            <w:pPr>
              <w:jc w:val="left"/>
            </w:pPr>
            <w:r>
              <w:rPr>
                <w:b/>
                <w:bCs/>
                <w:color w:val="B91C1C"/>
                <w:sz w:val="19"/>
                <w:szCs w:val="19"/>
              </w:rPr>
              <w:t xml:space="preserve">긴급</w:t>
            </w:r>
          </w:p>
        </w:tc>
        <w:tc>
          <w:tcPr>
            <w:tcW w:type="dxa" w:w="3200"/>
            <w:tcMar>
              <w:top w:type="dxa" w:w="80"/>
              <w:left w:type="dxa" w:w="100"/>
              <w:bottom w:type="dxa" w:w="80"/>
              <w:right w:type="dxa" w:w="100"/>
            </w:tcMar>
          </w:tcPr>
          <w:p>
            <w:pPr>
              <w:jc w:val="left"/>
            </w:pPr>
            <w:r>
              <w:rPr>
                <w:b w:val="false"/>
                <w:bCs w:val="false"/>
                <w:color w:val="000000"/>
                <w:sz w:val="19"/>
                <w:szCs w:val="19"/>
              </w:rPr>
              <w:t xml:space="preserve">별도 기술검증(PoC) 단계를 로드맵에 선행 배치. 1개 언어부터 검증 후 확장</w:t>
            </w:r>
          </w:p>
        </w:tc>
      </w:tr>
      <w:tr>
        <w:tc>
          <w:tcPr>
            <w:tcW w:type="dxa" w:w="1300"/>
            <w:shd w:fill="F3F4F6" w:val="clear"/>
            <w:tcMar>
              <w:top w:type="dxa" w:w="80"/>
              <w:left w:type="dxa" w:w="100"/>
              <w:bottom w:type="dxa" w:w="80"/>
              <w:right w:type="dxa" w:w="100"/>
            </w:tcMar>
          </w:tcPr>
          <w:p>
            <w:pPr>
              <w:jc w:val="left"/>
            </w:pPr>
            <w:r>
              <w:rPr>
                <w:b/>
                <w:bCs/>
                <w:color w:val="000000"/>
                <w:sz w:val="19"/>
                <w:szCs w:val="19"/>
              </w:rPr>
              <w:t xml:space="preserve">REQ-304</w:t>
            </w:r>
          </w:p>
        </w:tc>
        <w:tc>
          <w:tcPr>
            <w:tcW w:type="dxa" w:w="3200"/>
            <w:shd w:fill="F3F4F6" w:val="clear"/>
            <w:tcMar>
              <w:top w:type="dxa" w:w="80"/>
              <w:left w:type="dxa" w:w="100"/>
              <w:bottom w:type="dxa" w:w="80"/>
              <w:right w:type="dxa" w:w="100"/>
            </w:tcMar>
          </w:tcPr>
          <w:p>
            <w:pPr>
              <w:jc w:val="left"/>
            </w:pPr>
            <w:r>
              <w:rPr>
                <w:b w:val="false"/>
                <w:bCs w:val="false"/>
                <w:color w:val="000000"/>
                <w:sz w:val="19"/>
                <w:szCs w:val="19"/>
              </w:rPr>
              <w:t xml:space="preserve">"텍스트 충돌이 발생하지 않도록 방지"라는 표현은 과장. 동일 라인을 두 명이 수정하면 YAML/JSON도 Git conflict 발생</w:t>
            </w:r>
          </w:p>
        </w:tc>
        <w:tc>
          <w:tcPr>
            <w:tcW w:type="dxa" w:w="1400"/>
            <w:shd w:fill="F3F4F6" w:val="clear"/>
            <w:tcMar>
              <w:top w:type="dxa" w:w="80"/>
              <w:left w:type="dxa" w:w="100"/>
              <w:bottom w:type="dxa" w:w="80"/>
              <w:right w:type="dxa" w:w="100"/>
            </w:tcMar>
          </w:tcPr>
          <w:p>
            <w:pPr>
              <w:jc w:val="left"/>
            </w:pPr>
            <w:r>
              <w:rPr>
                <w:b/>
                <w:bCs/>
                <w:color w:val="B45309"/>
                <w:sz w:val="19"/>
                <w:szCs w:val="19"/>
              </w:rPr>
              <w:t xml:space="preserve">중요</w:t>
            </w:r>
          </w:p>
        </w:tc>
        <w:tc>
          <w:tcPr>
            <w:tcW w:type="dxa" w:w="3200"/>
            <w:shd w:fill="F3F4F6" w:val="clear"/>
            <w:tcMar>
              <w:top w:type="dxa" w:w="80"/>
              <w:left w:type="dxa" w:w="100"/>
              <w:bottom w:type="dxa" w:w="80"/>
              <w:right w:type="dxa" w:w="100"/>
            </w:tcMar>
          </w:tcPr>
          <w:p>
            <w:pPr>
              <w:jc w:val="left"/>
            </w:pPr>
            <w:r>
              <w:rPr>
                <w:b w:val="false"/>
                <w:bCs w:val="false"/>
                <w:color w:val="000000"/>
                <w:sz w:val="19"/>
                <w:szCs w:val="19"/>
              </w:rPr>
              <w:t xml:space="preserve">"충돌 방지"를 "충돌 최소화 + 스키마 인식 3-way 병합 도구 제공"으로 표현 및 설계를 함께 수정</w:t>
            </w:r>
          </w:p>
        </w:tc>
      </w:tr>
    </w:tbl>
    <w:p>
      <w:pPr>
        <w:pStyle w:val="Heading1"/>
        <w:pBdr>
          <w:bottom w:val="single" w:color="2563EB" w:sz="12" w:space="4"/>
        </w:pBdr>
        <w:spacing w:after="160" w:before="320"/>
      </w:pPr>
      <w:r>
        <w:rPr>
          <w:b/>
          <w:bCs/>
          <w:color w:val="1F2937"/>
          <w:sz w:val="30"/>
          <w:szCs w:val="30"/>
        </w:rPr>
        <w:t xml:space="preserve">3. 로드맵 관련 검토</w:t>
      </w:r>
    </w:p>
    <w:p>
      <w:pPr>
        <w:pStyle w:val="ListParagraph"/>
        <w:numPr>
          <w:ilvl w:val="0"/>
          <w:numId w:val="2"/>
        </w:numPr>
        <w:spacing w:after="100" w:line="290"/>
      </w:pPr>
      <w:r>
        <w:rPr>
          <w:sz w:val="21"/>
          <w:szCs w:val="21"/>
        </w:rPr>
        <w:t xml:space="preserve">Phase 1(1~2개월차)에 형태소 분석 엔진, 다중 ORM 코드 추출, 실시간 린터를 모두 포함하는 것은 일정상 타이트합니다.</w:t>
      </w:r>
    </w:p>
    <w:p>
      <w:pPr>
        <w:pStyle w:val="ListParagraph"/>
        <w:numPr>
          <w:ilvl w:val="0"/>
          <w:numId w:val="2"/>
        </w:numPr>
        <w:spacing w:after="100" w:line="290"/>
      </w:pPr>
      <w:r>
        <w:rPr>
          <w:sz w:val="21"/>
          <w:szCs w:val="21"/>
        </w:rPr>
        <w:t xml:space="preserve">Phase 3의 소스코드 파싱 기반 Pre-commit Hook(REQ-302)은 본 문서 전체에서 가장 리스크가 큰 항목이나, 로드맵상 검증 없이 5개월차에 배치되어 있습니다. 별도의 기술 검증(PoC) 단계를 먼저 넣는 것을 권장합니다.</w:t>
      </w:r>
    </w:p>
    <w:p>
      <w:pPr>
        <w:pStyle w:val="ListParagraph"/>
        <w:numPr>
          <w:ilvl w:val="0"/>
          <w:numId w:val="2"/>
        </w:numPr>
        <w:spacing w:after="100" w:line="290"/>
      </w:pPr>
      <w:r>
        <w:rPr>
          <w:sz w:val="21"/>
          <w:szCs w:val="21"/>
        </w:rPr>
        <w:t xml:space="preserve">문서 전체에 가격 정책, 목표 고객 수, 성공 지표(KPI) 등 비즈니스 검증 기준이 없어, Phase 2에서 "유료 전환"을 목표로 명시했다면 최소한의 라이선스 모델 초안이 필요합니다.</w:t>
      </w:r>
    </w:p>
    <w:p>
      <w:pPr>
        <w:pStyle w:val="Heading1"/>
        <w:pBdr>
          <w:bottom w:val="single" w:color="2563EB" w:sz="12" w:space="4"/>
        </w:pBdr>
        <w:spacing w:after="160" w:before="320"/>
      </w:pPr>
      <w:r>
        <w:rPr>
          <w:b/>
          <w:bCs/>
          <w:color w:val="1F2937"/>
          <w:sz w:val="30"/>
          <w:szCs w:val="30"/>
        </w:rPr>
        <w:t xml:space="preserve">4. 종합 보완 우선순위</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200"/>
        <w:gridCol w:w="3200"/>
      </w:tblGrid>
      <w:tr>
        <w:trPr>
          <w:tblHeader/>
        </w:trPr>
        <w:tc>
          <w:tcPr>
            <w:tcW w:type="dxa" w:w="500"/>
            <w:shd w:fill="1F2937" w:val="clear"/>
            <w:tcMar>
              <w:top w:type="dxa" w:w="80"/>
              <w:left w:type="dxa" w:w="100"/>
              <w:bottom w:type="dxa" w:w="80"/>
              <w:right w:type="dxa" w:w="100"/>
            </w:tcMar>
          </w:tcPr>
          <w:p>
            <w:pPr>
              <w:jc w:val="center"/>
            </w:pPr>
            <w:r>
              <w:rPr>
                <w:b/>
                <w:bCs/>
                <w:color w:val="FFFFFF"/>
                <w:sz w:val="19"/>
                <w:szCs w:val="19"/>
              </w:rPr>
              <w:t xml:space="preserve">순위</w:t>
            </w:r>
          </w:p>
        </w:tc>
        <w:tc>
          <w:tcPr>
            <w:tcW w:type="dxa" w:w="1200"/>
            <w:shd w:fill="1F2937" w:val="clear"/>
            <w:tcMar>
              <w:top w:type="dxa" w:w="80"/>
              <w:left w:type="dxa" w:w="100"/>
              <w:bottom w:type="dxa" w:w="80"/>
              <w:right w:type="dxa" w:w="100"/>
            </w:tcMar>
          </w:tcPr>
          <w:p>
            <w:pPr>
              <w:jc w:val="center"/>
            </w:pPr>
            <w:r>
              <w:rPr>
                <w:b/>
                <w:bCs/>
                <w:color w:val="FFFFFF"/>
                <w:sz w:val="19"/>
                <w:szCs w:val="19"/>
              </w:rPr>
              <w:t xml:space="preserve">구분</w:t>
            </w:r>
          </w:p>
        </w:tc>
        <w:tc>
          <w:tcPr>
            <w:tcW w:type="dxa" w:w="4200"/>
            <w:shd w:fill="1F2937" w:val="clear"/>
            <w:tcMar>
              <w:top w:type="dxa" w:w="80"/>
              <w:left w:type="dxa" w:w="100"/>
              <w:bottom w:type="dxa" w:w="80"/>
              <w:right w:type="dxa" w:w="100"/>
            </w:tcMar>
          </w:tcPr>
          <w:p>
            <w:pPr>
              <w:jc w:val="left"/>
            </w:pPr>
            <w:r>
              <w:rPr>
                <w:b/>
                <w:bCs/>
                <w:color w:val="FFFFFF"/>
                <w:sz w:val="19"/>
                <w:szCs w:val="19"/>
              </w:rPr>
              <w:t xml:space="preserve">보완 사항</w:t>
            </w:r>
          </w:p>
        </w:tc>
        <w:tc>
          <w:tcPr>
            <w:tcW w:type="dxa" w:w="3200"/>
            <w:shd w:fill="1F2937" w:val="clear"/>
            <w:tcMar>
              <w:top w:type="dxa" w:w="80"/>
              <w:left w:type="dxa" w:w="100"/>
              <w:bottom w:type="dxa" w:w="80"/>
              <w:right w:type="dxa" w:w="100"/>
            </w:tcMar>
          </w:tcPr>
          <w:p>
            <w:pPr>
              <w:jc w:val="left"/>
            </w:pPr>
            <w:r>
              <w:rPr>
                <w:b/>
                <w:bCs/>
                <w:color w:val="FFFFFF"/>
                <w:sz w:val="19"/>
                <w:szCs w:val="19"/>
              </w:rPr>
              <w:t xml:space="preserve">사유</w:t>
            </w:r>
          </w:p>
        </w:tc>
      </w:tr>
      <w:tr>
        <w:tc>
          <w:tcPr>
            <w:tcW w:type="dxa" w:w="500"/>
            <w:tcMar>
              <w:top w:type="dxa" w:w="80"/>
              <w:left w:type="dxa" w:w="100"/>
              <w:bottom w:type="dxa" w:w="80"/>
              <w:right w:type="dxa" w:w="100"/>
            </w:tcMar>
          </w:tcPr>
          <w:p>
            <w:pPr>
              <w:jc w:val="center"/>
            </w:pPr>
            <w:r>
              <w:rPr>
                <w:b/>
                <w:bCs/>
                <w:color w:val="000000"/>
                <w:sz w:val="19"/>
                <w:szCs w:val="19"/>
              </w:rPr>
              <w:t xml:space="preserve">1</w:t>
            </w:r>
          </w:p>
        </w:tc>
        <w:tc>
          <w:tcPr>
            <w:tcW w:type="dxa" w:w="1200"/>
            <w:tcMar>
              <w:top w:type="dxa" w:w="80"/>
              <w:left w:type="dxa" w:w="100"/>
              <w:bottom w:type="dxa" w:w="80"/>
              <w:right w:type="dxa" w:w="100"/>
            </w:tcMar>
          </w:tcPr>
          <w:p>
            <w:pPr>
              <w:jc w:val="center"/>
            </w:pPr>
            <w:r>
              <w:rPr>
                <w:b/>
                <w:bCs/>
                <w:color w:val="B91C1C"/>
                <w:sz w:val="19"/>
                <w:szCs w:val="19"/>
              </w:rPr>
              <w:t xml:space="preserve">긴급</w:t>
            </w:r>
          </w:p>
        </w:tc>
        <w:tc>
          <w:tcPr>
            <w:tcW w:type="dxa" w:w="4200"/>
            <w:tcMar>
              <w:top w:type="dxa" w:w="80"/>
              <w:left w:type="dxa" w:w="100"/>
              <w:bottom w:type="dxa" w:w="80"/>
              <w:right w:type="dxa" w:w="100"/>
            </w:tcMar>
          </w:tcPr>
          <w:p>
            <w:pPr>
              <w:jc w:val="left"/>
            </w:pPr>
            <w:r>
              <w:rPr>
                <w:b w:val="false"/>
                <w:bCs w:val="false"/>
                <w:color w:val="000000"/>
                <w:sz w:val="19"/>
                <w:szCs w:val="19"/>
              </w:rPr>
              <w:t xml:space="preserve">REQ-203 / REQ-204의 DBMS·에디션별 지원 조건 재정의</w:t>
            </w:r>
          </w:p>
        </w:tc>
        <w:tc>
          <w:tcPr>
            <w:tcW w:type="dxa" w:w="3200"/>
            <w:tcMar>
              <w:top w:type="dxa" w:w="80"/>
              <w:left w:type="dxa" w:w="100"/>
              <w:bottom w:type="dxa" w:w="80"/>
              <w:right w:type="dxa" w:w="100"/>
            </w:tcMar>
          </w:tcPr>
          <w:p>
            <w:pPr>
              <w:jc w:val="left"/>
            </w:pPr>
            <w:r>
              <w:rPr>
                <w:b w:val="false"/>
                <w:bCs w:val="false"/>
                <w:color w:val="000000"/>
                <w:sz w:val="19"/>
                <w:szCs w:val="19"/>
              </w:rPr>
              <w:t xml:space="preserve">잘못된 기술 주장이 고객 신뢰 및 실제 장애로 직결</w:t>
            </w:r>
          </w:p>
        </w:tc>
      </w:tr>
      <w:tr>
        <w:tc>
          <w:tcPr>
            <w:tcW w:type="dxa" w:w="500"/>
            <w:shd w:fill="F3F4F6" w:val="clear"/>
            <w:tcMar>
              <w:top w:type="dxa" w:w="80"/>
              <w:left w:type="dxa" w:w="100"/>
              <w:bottom w:type="dxa" w:w="80"/>
              <w:right w:type="dxa" w:w="100"/>
            </w:tcMar>
          </w:tcPr>
          <w:p>
            <w:pPr>
              <w:jc w:val="center"/>
            </w:pPr>
            <w:r>
              <w:rPr>
                <w:b/>
                <w:bCs/>
                <w:color w:val="000000"/>
                <w:sz w:val="19"/>
                <w:szCs w:val="19"/>
              </w:rPr>
              <w:t xml:space="preserve">2</w:t>
            </w:r>
          </w:p>
        </w:tc>
        <w:tc>
          <w:tcPr>
            <w:tcW w:type="dxa" w:w="1200"/>
            <w:shd w:fill="F3F4F6" w:val="clear"/>
            <w:tcMar>
              <w:top w:type="dxa" w:w="80"/>
              <w:left w:type="dxa" w:w="100"/>
              <w:bottom w:type="dxa" w:w="80"/>
              <w:right w:type="dxa" w:w="100"/>
            </w:tcMar>
          </w:tcPr>
          <w:p>
            <w:pPr>
              <w:jc w:val="center"/>
            </w:pPr>
            <w:r>
              <w:rPr>
                <w:b/>
                <w:bCs/>
                <w:color w:val="B91C1C"/>
                <w:sz w:val="19"/>
                <w:szCs w:val="19"/>
              </w:rPr>
              <w:t xml:space="preserve">긴급</w:t>
            </w:r>
          </w:p>
        </w:tc>
        <w:tc>
          <w:tcPr>
            <w:tcW w:type="dxa" w:w="4200"/>
            <w:shd w:fill="F3F4F6" w:val="clear"/>
            <w:tcMar>
              <w:top w:type="dxa" w:w="80"/>
              <w:left w:type="dxa" w:w="100"/>
              <w:bottom w:type="dxa" w:w="80"/>
              <w:right w:type="dxa" w:w="100"/>
            </w:tcMar>
          </w:tcPr>
          <w:p>
            <w:pPr>
              <w:jc w:val="left"/>
            </w:pPr>
            <w:r>
              <w:rPr>
                <w:b w:val="false"/>
                <w:bCs w:val="false"/>
                <w:color w:val="000000"/>
                <w:sz w:val="19"/>
                <w:szCs w:val="19"/>
              </w:rPr>
              <w:t xml:space="preserve">REQ-302 기술 리스크에 대한 별도 PoC 선행</w:t>
            </w:r>
          </w:p>
        </w:tc>
        <w:tc>
          <w:tcPr>
            <w:tcW w:type="dxa" w:w="3200"/>
            <w:shd w:fill="F3F4F6" w:val="clear"/>
            <w:tcMar>
              <w:top w:type="dxa" w:w="80"/>
              <w:left w:type="dxa" w:w="100"/>
              <w:bottom w:type="dxa" w:w="80"/>
              <w:right w:type="dxa" w:w="100"/>
            </w:tcMar>
          </w:tcPr>
          <w:p>
            <w:pPr>
              <w:jc w:val="left"/>
            </w:pPr>
            <w:r>
              <w:rPr>
                <w:b w:val="false"/>
                <w:bCs w:val="false"/>
                <w:color w:val="000000"/>
                <w:sz w:val="19"/>
                <w:szCs w:val="19"/>
              </w:rPr>
              <w:t xml:space="preserve">로드맵 전체의 실현 가능성을 좌우하는 최대 리스크 항목</w:t>
            </w:r>
          </w:p>
        </w:tc>
      </w:tr>
      <w:tr>
        <w:tc>
          <w:tcPr>
            <w:tcW w:type="dxa" w:w="500"/>
            <w:tcMar>
              <w:top w:type="dxa" w:w="80"/>
              <w:left w:type="dxa" w:w="100"/>
              <w:bottom w:type="dxa" w:w="80"/>
              <w:right w:type="dxa" w:w="100"/>
            </w:tcMar>
          </w:tcPr>
          <w:p>
            <w:pPr>
              <w:jc w:val="center"/>
            </w:pPr>
            <w:r>
              <w:rPr>
                <w:b/>
                <w:bCs/>
                <w:color w:val="000000"/>
                <w:sz w:val="19"/>
                <w:szCs w:val="19"/>
              </w:rPr>
              <w:t xml:space="preserve">3</w:t>
            </w:r>
          </w:p>
        </w:tc>
        <w:tc>
          <w:tcPr>
            <w:tcW w:type="dxa" w:w="1200"/>
            <w:tcMar>
              <w:top w:type="dxa" w:w="80"/>
              <w:left w:type="dxa" w:w="100"/>
              <w:bottom w:type="dxa" w:w="80"/>
              <w:right w:type="dxa" w:w="100"/>
            </w:tcMar>
          </w:tcPr>
          <w:p>
            <w:pPr>
              <w:jc w:val="center"/>
            </w:pPr>
            <w:r>
              <w:rPr>
                <w:b/>
                <w:bCs/>
                <w:color w:val="B91C1C"/>
                <w:sz w:val="19"/>
                <w:szCs w:val="19"/>
              </w:rPr>
              <w:t xml:space="preserve">긴급</w:t>
            </w:r>
          </w:p>
        </w:tc>
        <w:tc>
          <w:tcPr>
            <w:tcW w:type="dxa" w:w="4200"/>
            <w:tcMar>
              <w:top w:type="dxa" w:w="80"/>
              <w:left w:type="dxa" w:w="100"/>
              <w:bottom w:type="dxa" w:w="80"/>
              <w:right w:type="dxa" w:w="100"/>
            </w:tcMar>
          </w:tcPr>
          <w:p>
            <w:pPr>
              <w:jc w:val="left"/>
            </w:pPr>
            <w:r>
              <w:rPr>
                <w:b w:val="false"/>
                <w:bCs w:val="false"/>
                <w:color w:val="000000"/>
                <w:sz w:val="19"/>
                <w:szCs w:val="19"/>
              </w:rPr>
              <w:t xml:space="preserve">REQ-201 암호화 길이 계산 로직 개선</w:t>
            </w:r>
          </w:p>
        </w:tc>
        <w:tc>
          <w:tcPr>
            <w:tcW w:type="dxa" w:w="3200"/>
            <w:tcMar>
              <w:top w:type="dxa" w:w="80"/>
              <w:left w:type="dxa" w:w="100"/>
              <w:bottom w:type="dxa" w:w="80"/>
              <w:right w:type="dxa" w:w="100"/>
            </w:tcMar>
          </w:tcPr>
          <w:p>
            <w:pPr>
              <w:jc w:val="left"/>
            </w:pPr>
            <w:r>
              <w:rPr>
                <w:b w:val="false"/>
                <w:bCs w:val="false"/>
                <w:color w:val="000000"/>
                <w:sz w:val="19"/>
                <w:szCs w:val="19"/>
              </w:rPr>
              <w:t xml:space="preserve">보안 관련 기능의 정확성 문제로 우선순위 상향</w:t>
            </w:r>
          </w:p>
        </w:tc>
      </w:tr>
      <w:tr>
        <w:tc>
          <w:tcPr>
            <w:tcW w:type="dxa" w:w="500"/>
            <w:shd w:fill="F3F4F6" w:val="clear"/>
            <w:tcMar>
              <w:top w:type="dxa" w:w="80"/>
              <w:left w:type="dxa" w:w="100"/>
              <w:bottom w:type="dxa" w:w="80"/>
              <w:right w:type="dxa" w:w="100"/>
            </w:tcMar>
          </w:tcPr>
          <w:p>
            <w:pPr>
              <w:jc w:val="center"/>
            </w:pPr>
            <w:r>
              <w:rPr>
                <w:b/>
                <w:bCs/>
                <w:color w:val="000000"/>
                <w:sz w:val="19"/>
                <w:szCs w:val="19"/>
              </w:rPr>
              <w:t xml:space="preserve">4</w:t>
            </w:r>
          </w:p>
        </w:tc>
        <w:tc>
          <w:tcPr>
            <w:tcW w:type="dxa" w:w="1200"/>
            <w:shd w:fill="F3F4F6" w:val="clear"/>
            <w:tcMar>
              <w:top w:type="dxa" w:w="80"/>
              <w:left w:type="dxa" w:w="100"/>
              <w:bottom w:type="dxa" w:w="80"/>
              <w:right w:type="dxa" w:w="100"/>
            </w:tcMar>
          </w:tcPr>
          <w:p>
            <w:pPr>
              <w:jc w:val="center"/>
            </w:pPr>
            <w:r>
              <w:rPr>
                <w:b/>
                <w:bCs/>
                <w:color w:val="B45309"/>
                <w:sz w:val="19"/>
                <w:szCs w:val="19"/>
              </w:rPr>
              <w:t xml:space="preserve">중요</w:t>
            </w:r>
          </w:p>
        </w:tc>
        <w:tc>
          <w:tcPr>
            <w:tcW w:type="dxa" w:w="4200"/>
            <w:shd w:fill="F3F4F6" w:val="clear"/>
            <w:tcMar>
              <w:top w:type="dxa" w:w="80"/>
              <w:left w:type="dxa" w:w="100"/>
              <w:bottom w:type="dxa" w:w="80"/>
              <w:right w:type="dxa" w:w="100"/>
            </w:tcMar>
          </w:tcPr>
          <w:p>
            <w:pPr>
              <w:jc w:val="left"/>
            </w:pPr>
            <w:r>
              <w:rPr>
                <w:b w:val="false"/>
                <w:bCs w:val="false"/>
                <w:color w:val="000000"/>
                <w:sz w:val="19"/>
                <w:szCs w:val="19"/>
              </w:rPr>
              <w:t xml:space="preserve">REQ-104 / REQ-304 등 절대적 표현("완벽", "방지")을 실제 동작 범위에 맞게 수정</w:t>
            </w:r>
          </w:p>
        </w:tc>
        <w:tc>
          <w:tcPr>
            <w:tcW w:type="dxa" w:w="3200"/>
            <w:shd w:fill="F3F4F6" w:val="clear"/>
            <w:tcMar>
              <w:top w:type="dxa" w:w="80"/>
              <w:left w:type="dxa" w:w="100"/>
              <w:bottom w:type="dxa" w:w="80"/>
              <w:right w:type="dxa" w:w="100"/>
            </w:tcMar>
          </w:tcPr>
          <w:p>
            <w:pPr>
              <w:jc w:val="left"/>
            </w:pPr>
            <w:r>
              <w:rPr>
                <w:b w:val="false"/>
                <w:bCs w:val="false"/>
                <w:color w:val="000000"/>
                <w:sz w:val="19"/>
                <w:szCs w:val="19"/>
              </w:rPr>
              <w:t xml:space="preserve">요구사항 문서의 검증(Verifiable) 가능성 확보</w:t>
            </w:r>
          </w:p>
        </w:tc>
      </w:tr>
      <w:tr>
        <w:tc>
          <w:tcPr>
            <w:tcW w:type="dxa" w:w="500"/>
            <w:tcMar>
              <w:top w:type="dxa" w:w="80"/>
              <w:left w:type="dxa" w:w="100"/>
              <w:bottom w:type="dxa" w:w="80"/>
              <w:right w:type="dxa" w:w="100"/>
            </w:tcMar>
          </w:tcPr>
          <w:p>
            <w:pPr>
              <w:jc w:val="center"/>
            </w:pPr>
            <w:r>
              <w:rPr>
                <w:b/>
                <w:bCs/>
                <w:color w:val="000000"/>
                <w:sz w:val="19"/>
                <w:szCs w:val="19"/>
              </w:rPr>
              <w:t xml:space="preserve">5</w:t>
            </w:r>
          </w:p>
        </w:tc>
        <w:tc>
          <w:tcPr>
            <w:tcW w:type="dxa" w:w="1200"/>
            <w:tcMar>
              <w:top w:type="dxa" w:w="80"/>
              <w:left w:type="dxa" w:w="100"/>
              <w:bottom w:type="dxa" w:w="80"/>
              <w:right w:type="dxa" w:w="100"/>
            </w:tcMar>
          </w:tcPr>
          <w:p>
            <w:pPr>
              <w:jc w:val="center"/>
            </w:pPr>
            <w:r>
              <w:rPr>
                <w:b/>
                <w:bCs/>
                <w:color w:val="6B7280"/>
                <w:sz w:val="19"/>
                <w:szCs w:val="19"/>
              </w:rPr>
              <w:t xml:space="preserve">권장</w:t>
            </w:r>
          </w:p>
        </w:tc>
        <w:tc>
          <w:tcPr>
            <w:tcW w:type="dxa" w:w="4200"/>
            <w:tcMar>
              <w:top w:type="dxa" w:w="80"/>
              <w:left w:type="dxa" w:w="100"/>
              <w:bottom w:type="dxa" w:w="80"/>
              <w:right w:type="dxa" w:w="100"/>
            </w:tcMar>
          </w:tcPr>
          <w:p>
            <w:pPr>
              <w:jc w:val="left"/>
            </w:pPr>
            <w:r>
              <w:rPr>
                <w:b w:val="false"/>
                <w:bCs w:val="false"/>
                <w:color w:val="000000"/>
                <w:sz w:val="19"/>
                <w:szCs w:val="19"/>
              </w:rPr>
              <w:t xml:space="preserve">비즈니스 지표(가격 정책, KPI, 목표 고객 수) 섹션 추가</w:t>
            </w:r>
          </w:p>
        </w:tc>
        <w:tc>
          <w:tcPr>
            <w:tcW w:type="dxa" w:w="3200"/>
            <w:tcMar>
              <w:top w:type="dxa" w:w="80"/>
              <w:left w:type="dxa" w:w="100"/>
              <w:bottom w:type="dxa" w:w="80"/>
              <w:right w:type="dxa" w:w="100"/>
            </w:tcMar>
          </w:tcPr>
          <w:p>
            <w:pPr>
              <w:jc w:val="left"/>
            </w:pPr>
            <w:r>
              <w:rPr>
                <w:b w:val="false"/>
                <w:bCs w:val="false"/>
                <w:color w:val="000000"/>
                <w:sz w:val="19"/>
                <w:szCs w:val="19"/>
              </w:rPr>
              <w:t xml:space="preserve">Phase 2 유료 전환 목표의 근거 부재</w:t>
            </w:r>
          </w:p>
        </w:tc>
      </w:tr>
      <w:tr>
        <w:tc>
          <w:tcPr>
            <w:tcW w:type="dxa" w:w="500"/>
            <w:shd w:fill="F3F4F6" w:val="clear"/>
            <w:tcMar>
              <w:top w:type="dxa" w:w="80"/>
              <w:left w:type="dxa" w:w="100"/>
              <w:bottom w:type="dxa" w:w="80"/>
              <w:right w:type="dxa" w:w="100"/>
            </w:tcMar>
          </w:tcPr>
          <w:p>
            <w:pPr>
              <w:jc w:val="center"/>
            </w:pPr>
            <w:r>
              <w:rPr>
                <w:b/>
                <w:bCs/>
                <w:color w:val="000000"/>
                <w:sz w:val="19"/>
                <w:szCs w:val="19"/>
              </w:rPr>
              <w:t xml:space="preserve">6</w:t>
            </w:r>
          </w:p>
        </w:tc>
        <w:tc>
          <w:tcPr>
            <w:tcW w:type="dxa" w:w="1200"/>
            <w:shd w:fill="F3F4F6" w:val="clear"/>
            <w:tcMar>
              <w:top w:type="dxa" w:w="80"/>
              <w:left w:type="dxa" w:w="100"/>
              <w:bottom w:type="dxa" w:w="80"/>
              <w:right w:type="dxa" w:w="100"/>
            </w:tcMar>
          </w:tcPr>
          <w:p>
            <w:pPr>
              <w:jc w:val="center"/>
            </w:pPr>
            <w:r>
              <w:rPr>
                <w:b/>
                <w:bCs/>
                <w:color w:val="6B7280"/>
                <w:sz w:val="19"/>
                <w:szCs w:val="19"/>
              </w:rPr>
              <w:t xml:space="preserve">권장</w:t>
            </w:r>
          </w:p>
        </w:tc>
        <w:tc>
          <w:tcPr>
            <w:tcW w:type="dxa" w:w="4200"/>
            <w:shd w:fill="F3F4F6" w:val="clear"/>
            <w:tcMar>
              <w:top w:type="dxa" w:w="80"/>
              <w:left w:type="dxa" w:w="100"/>
              <w:bottom w:type="dxa" w:w="80"/>
              <w:right w:type="dxa" w:w="100"/>
            </w:tcMar>
          </w:tcPr>
          <w:p>
            <w:pPr>
              <w:jc w:val="left"/>
            </w:pPr>
            <w:r>
              <w:rPr>
                <w:b w:val="false"/>
                <w:bCs w:val="false"/>
                <w:color w:val="000000"/>
                <w:sz w:val="19"/>
                <w:szCs w:val="19"/>
              </w:rPr>
              <w:t xml:space="preserve">E2E 테스트케이스에 실패·예외 시나리오(파싱 실패, 동시 편집 충돌 등) 추가</w:t>
            </w:r>
          </w:p>
        </w:tc>
        <w:tc>
          <w:tcPr>
            <w:tcW w:type="dxa" w:w="3200"/>
            <w:shd w:fill="F3F4F6" w:val="clear"/>
            <w:tcMar>
              <w:top w:type="dxa" w:w="80"/>
              <w:left w:type="dxa" w:w="100"/>
              <w:bottom w:type="dxa" w:w="80"/>
              <w:right w:type="dxa" w:w="100"/>
            </w:tcMar>
          </w:tcPr>
          <w:p>
            <w:pPr>
              <w:jc w:val="left"/>
            </w:pPr>
            <w:r>
              <w:rPr>
                <w:b w:val="false"/>
                <w:bCs w:val="false"/>
                <w:color w:val="000000"/>
                <w:sz w:val="19"/>
                <w:szCs w:val="19"/>
              </w:rPr>
              <w:t xml:space="preserve">현재 테스트케이스가 Happy Path 위주로만 구성</w:t>
            </w:r>
          </w:p>
        </w:tc>
      </w:tr>
    </w:tbl>
    <w:p>
      <w:pPr>
        <w:pStyle w:val="Heading1"/>
        <w:pBdr>
          <w:bottom w:val="single" w:color="2563EB" w:sz="12" w:space="4"/>
        </w:pBdr>
        <w:spacing w:after="160" w:before="320"/>
      </w:pPr>
      <w:r>
        <w:rPr>
          <w:b/>
          <w:bCs/>
          <w:color w:val="1F2937"/>
          <w:sz w:val="30"/>
          <w:szCs w:val="30"/>
        </w:rPr>
        <w:t xml:space="preserve">5. 결론</w:t>
      </w:r>
    </w:p>
    <w:p>
      <w:pPr>
        <w:spacing w:after="140" w:line="300"/>
      </w:pPr>
      <w:r>
        <w:rPr>
          <w:sz w:val="21"/>
          <w:szCs w:val="21"/>
        </w:rPr>
        <w:t xml:space="preserve">본 PRD는 시장 포지셔닝과 타겟 페르소나 설정 면에서는 완성도가 높으나, 기술 요구사항의 상당수가 "이상적인 성공 경로"만을 전제로 기술되어 있습니다. 특히 MODULE 02의 DBMS별 세이프가드 조건과 MODULE 03의 코드 파싱 기반 검증 기능은 실제 구현 시 문서에 기술된 것보다 훨씬 큰 공학적 노력이 필요할 것으로 예상되므로, 위 우선순위에 따라 요구사항을 재정의한 후 개발에 착수하는 것을 권장합니다.</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2026-07-09T04:25:07.739Z</dcterms:created>
  <dcterms:modified xsi:type="dcterms:W3CDTF">2026-07-09T04:25:07.761Z</dcterms:modified>
</cp:coreProperties>
</file>

<file path=docProps/custom.xml><?xml version="1.0" encoding="utf-8"?>
<Properties xmlns="http://schemas.openxmlformats.org/officeDocument/2006/custom-properties" xmlns:vt="http://schemas.openxmlformats.org/officeDocument/2006/docPropsVTypes"/>
</file>