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66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96"/>
        <w:gridCol w:w="1275"/>
        <w:gridCol w:w="1980"/>
        <w:gridCol w:w="1035"/>
        <w:gridCol w:w="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1396" w:type="dxa"/>
            <w:vMerge w:val="restart"/>
          </w:tcPr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  <w:t>Algoritm</w:t>
            </w:r>
          </w:p>
        </w:tc>
        <w:tc>
          <w:tcPr>
            <w:tcW w:w="1275" w:type="dxa"/>
            <w:vMerge w:val="restart"/>
            <w:tcBorders/>
          </w:tcPr>
          <w:p>
            <w:pP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  <w:t>AUC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  <w:t>Accuracy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  <w:t>F1-Score</w:t>
            </w:r>
          </w:p>
        </w:tc>
        <w:tc>
          <w:tcPr>
            <w:tcW w:w="1980" w:type="dxa"/>
            <w:vMerge w:val="restart"/>
            <w:tcBorders/>
          </w:tcPr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  <w:t>Mean AUC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  <w:t>Mean Accuracy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  <w:t>Mean F1-Score</w:t>
            </w:r>
          </w:p>
        </w:tc>
        <w:tc>
          <w:tcPr>
            <w:tcW w:w="1965" w:type="dxa"/>
            <w:gridSpan w:val="2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Confussion Matrix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41" w:hRule="atLeast"/>
        </w:trPr>
        <w:tc>
          <w:tcPr>
            <w:tcW w:w="1396" w:type="dxa"/>
            <w:vMerge w:val="continue"/>
          </w:tcPr>
          <w:p/>
        </w:tc>
        <w:tc>
          <w:tcPr>
            <w:tcW w:w="1275" w:type="dxa"/>
            <w:vMerge w:val="continue"/>
            <w:tcBorders/>
          </w:tcPr>
          <w:p>
            <w:pPr>
              <w:rPr>
                <w:highlight w:val="none"/>
              </w:rPr>
            </w:pPr>
          </w:p>
        </w:tc>
        <w:tc>
          <w:tcPr>
            <w:tcW w:w="1980" w:type="dxa"/>
            <w:vMerge w:val="continue"/>
            <w:tcBorders/>
          </w:tcPr>
          <w:p/>
        </w:tc>
        <w:tc>
          <w:tcPr>
            <w:tcW w:w="1035" w:type="dxa"/>
            <w:vAlign w:val="center"/>
          </w:tcPr>
          <w:p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TN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FP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61" w:hRule="atLeast"/>
        </w:trPr>
        <w:tc>
          <w:tcPr>
            <w:tcW w:w="1396" w:type="dxa"/>
            <w:vMerge w:val="continue"/>
          </w:tcPr>
          <w:p/>
        </w:tc>
        <w:tc>
          <w:tcPr>
            <w:tcW w:w="1275" w:type="dxa"/>
            <w:vMerge w:val="continue"/>
            <w:tcBorders/>
          </w:tcPr>
          <w:p>
            <w:pPr>
              <w:rPr>
                <w:highlight w:val="none"/>
              </w:rPr>
            </w:pPr>
          </w:p>
        </w:tc>
        <w:tc>
          <w:tcPr>
            <w:tcW w:w="1980" w:type="dxa"/>
            <w:vMerge w:val="continue"/>
            <w:tcBorders/>
          </w:tcPr>
          <w:p/>
        </w:tc>
        <w:tc>
          <w:tcPr>
            <w:tcW w:w="1035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FN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8" w:hRule="atLeast"/>
        </w:trPr>
        <w:tc>
          <w:tcPr>
            <w:tcW w:w="139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SVC</w:t>
            </w:r>
          </w:p>
        </w:tc>
        <w:tc>
          <w:tcPr>
            <w:tcW w:w="1275" w:type="dxa"/>
            <w:vMerge w:val="restart"/>
            <w:tcBorders/>
            <w:vAlign w:val="center"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  <w:t>0.81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  <w:t>94.1%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  <w:t>0.75</w:t>
            </w:r>
          </w:p>
        </w:tc>
        <w:tc>
          <w:tcPr>
            <w:tcW w:w="1980" w:type="dxa"/>
            <w:vMerge w:val="restart"/>
            <w:tcBorders/>
            <w:vAlign w:val="center"/>
          </w:tcPr>
          <w:p>
            <w:pPr>
              <w:spacing w:line="240" w:lineRule="auto"/>
              <w:jc w:val="both"/>
              <w:rPr>
                <w:rFonts w:hint="default" w:asciiTheme="minorAscii" w:cstheme="minorHAnsi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vertAlign w:val="baseline"/>
              </w:rPr>
              <w:t>0.49</w:t>
            </w:r>
            <w:r>
              <w:rPr>
                <w:rFonts w:hint="eastAsia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±</w:t>
            </w:r>
            <w:r>
              <w:rPr>
                <w:rFonts w:hint="default" w:asciiTheme="minorAscii" w:cstheme="minorHAnsi"/>
                <w:b/>
                <w:bCs/>
                <w:sz w:val="18"/>
                <w:szCs w:val="18"/>
                <w:vertAlign w:val="baseline"/>
              </w:rPr>
              <w:t>0.19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Theme="minorAscii" w:cstheme="minorHAnsi"/>
                <w:b/>
                <w:bCs/>
                <w:sz w:val="18"/>
                <w:szCs w:val="18"/>
                <w:vertAlign w:val="baseline"/>
              </w:rPr>
              <w:t>%86</w:t>
            </w:r>
            <w:r>
              <w:rPr>
                <w:rFonts w:hint="eastAsia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6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0.49</w:t>
            </w:r>
            <w:r>
              <w:rPr>
                <w:rFonts w:hint="eastAsia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0.26</w:t>
            </w:r>
          </w:p>
        </w:tc>
        <w:tc>
          <w:tcPr>
            <w:tcW w:w="103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29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0</w:t>
            </w:r>
          </w:p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12" w:hRule="atLeast"/>
        </w:trPr>
        <w:tc>
          <w:tcPr>
            <w:tcW w:w="1396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5" w:type="dxa"/>
            <w:vMerge w:val="continue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980" w:type="dxa"/>
            <w:vMerge w:val="continue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035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20" w:hRule="atLeast"/>
        </w:trPr>
        <w:tc>
          <w:tcPr>
            <w:tcW w:w="139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XGBoost</w:t>
            </w:r>
          </w:p>
        </w:tc>
        <w:tc>
          <w:tcPr>
            <w:tcW w:w="1275" w:type="dxa"/>
            <w:vMerge w:val="restart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0.56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88%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0.60</w:t>
            </w:r>
          </w:p>
        </w:tc>
        <w:tc>
          <w:tcPr>
            <w:tcW w:w="1980" w:type="dxa"/>
            <w:vMerge w:val="restart"/>
            <w:tcBorders/>
          </w:tcPr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0.41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0.16</w:t>
            </w:r>
          </w:p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77%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6</w:t>
            </w:r>
          </w:p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0.27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0.19</w:t>
            </w:r>
          </w:p>
        </w:tc>
        <w:tc>
          <w:tcPr>
            <w:tcW w:w="103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27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65" w:hRule="atLeast"/>
        </w:trPr>
        <w:tc>
          <w:tcPr>
            <w:tcW w:w="1396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5" w:type="dxa"/>
            <w:vMerge w:val="continue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980" w:type="dxa"/>
            <w:vMerge w:val="continue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035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05" w:hRule="atLeast"/>
        </w:trPr>
        <w:tc>
          <w:tcPr>
            <w:tcW w:w="139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KNN</w:t>
            </w:r>
          </w:p>
        </w:tc>
        <w:tc>
          <w:tcPr>
            <w:tcW w:w="1275" w:type="dxa"/>
            <w:vMerge w:val="restart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0.81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85%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0.54</w:t>
            </w:r>
          </w:p>
        </w:tc>
        <w:tc>
          <w:tcPr>
            <w:tcW w:w="1980" w:type="dxa"/>
            <w:vMerge w:val="restart"/>
            <w:tcBorders/>
          </w:tcPr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0.49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.025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%76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7</w:t>
            </w:r>
          </w:p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42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.0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12</w:t>
            </w:r>
          </w:p>
        </w:tc>
        <w:tc>
          <w:tcPr>
            <w:tcW w:w="103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26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65" w:hRule="atLeast"/>
        </w:trPr>
        <w:tc>
          <w:tcPr>
            <w:tcW w:w="1396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5" w:type="dxa"/>
            <w:vMerge w:val="continue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980" w:type="dxa"/>
            <w:vMerge w:val="continue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035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44" w:hRule="atLeast"/>
        </w:trPr>
        <w:tc>
          <w:tcPr>
            <w:tcW w:w="139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Logistic Regression</w:t>
            </w:r>
          </w:p>
        </w:tc>
        <w:tc>
          <w:tcPr>
            <w:tcW w:w="1275" w:type="dxa"/>
            <w:vMerge w:val="restart"/>
            <w:tcBorders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0.52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88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%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0.50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vertAlign w:val="baseline"/>
              </w:rPr>
            </w:pPr>
          </w:p>
        </w:tc>
        <w:tc>
          <w:tcPr>
            <w:tcW w:w="1980" w:type="dxa"/>
            <w:vMerge w:val="restart"/>
            <w:tcBorders/>
          </w:tcPr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0.51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0.15</w:t>
            </w:r>
          </w:p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%72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13</w:t>
            </w:r>
          </w:p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0.44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0.10</w:t>
            </w:r>
          </w:p>
        </w:tc>
        <w:tc>
          <w:tcPr>
            <w:tcW w:w="103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28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49" w:hRule="atLeast"/>
        </w:trPr>
        <w:tc>
          <w:tcPr>
            <w:tcW w:w="1396" w:type="dxa"/>
            <w:vMerge w:val="continue"/>
          </w:tcPr>
          <w:p/>
        </w:tc>
        <w:tc>
          <w:tcPr>
            <w:tcW w:w="1275" w:type="dxa"/>
            <w:vMerge w:val="continue"/>
            <w:tcBorders/>
          </w:tcPr>
          <w:p/>
        </w:tc>
        <w:tc>
          <w:tcPr>
            <w:tcW w:w="1980" w:type="dxa"/>
            <w:vMerge w:val="continue"/>
            <w:tcBorders/>
          </w:tcPr>
          <w:p/>
        </w:tc>
        <w:tc>
          <w:tcPr>
            <w:tcW w:w="1035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t>2</w:t>
            </w:r>
          </w:p>
        </w:tc>
      </w:tr>
    </w:tbl>
    <w:p/>
    <w:p/>
    <w:p/>
    <w:tbl>
      <w:tblPr>
        <w:tblStyle w:val="4"/>
        <w:tblW w:w="66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275"/>
        <w:gridCol w:w="1980"/>
        <w:gridCol w:w="1035"/>
        <w:gridCol w:w="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1396" w:type="dxa"/>
            <w:vMerge w:val="restart"/>
          </w:tcPr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</w:p>
        </w:tc>
        <w:tc>
          <w:tcPr>
            <w:tcW w:w="1275" w:type="dxa"/>
            <w:vMerge w:val="restart"/>
          </w:tcPr>
          <w:p>
            <w:pP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  <w:t>AUC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  <w:t>Accuracy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highlight w:val="none"/>
                <w:vertAlign w:val="baseline"/>
              </w:rPr>
              <w:t>F1-Score</w:t>
            </w:r>
          </w:p>
        </w:tc>
        <w:tc>
          <w:tcPr>
            <w:tcW w:w="1980" w:type="dxa"/>
            <w:vMerge w:val="restart"/>
          </w:tcPr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  <w:t>Mean AUC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  <w:t>Mean Accuracy</w:t>
            </w:r>
          </w:p>
          <w:p>
            <w:pP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Theme="minorAscii"/>
                <w:b/>
                <w:bCs/>
                <w:sz w:val="20"/>
                <w:szCs w:val="20"/>
                <w:vertAlign w:val="baseline"/>
              </w:rPr>
              <w:t>Mean F1-Score</w:t>
            </w:r>
          </w:p>
        </w:tc>
        <w:tc>
          <w:tcPr>
            <w:tcW w:w="1965" w:type="dxa"/>
            <w:gridSpan w:val="2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Confussion Matrix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96" w:type="dxa"/>
            <w:vMerge w:val="continue"/>
          </w:tcPr>
          <w:p/>
        </w:tc>
        <w:tc>
          <w:tcPr>
            <w:tcW w:w="1275" w:type="dxa"/>
            <w:vMerge w:val="continue"/>
          </w:tcPr>
          <w:p>
            <w:pPr>
              <w:rPr>
                <w:highlight w:val="none"/>
              </w:rPr>
            </w:pPr>
          </w:p>
        </w:tc>
        <w:tc>
          <w:tcPr>
            <w:tcW w:w="1980" w:type="dxa"/>
            <w:vMerge w:val="continue"/>
          </w:tcPr>
          <w:p/>
        </w:tc>
        <w:tc>
          <w:tcPr>
            <w:tcW w:w="1035" w:type="dxa"/>
            <w:vAlign w:val="center"/>
          </w:tcPr>
          <w:p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TN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FP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396" w:type="dxa"/>
            <w:vMerge w:val="continue"/>
          </w:tcPr>
          <w:p/>
        </w:tc>
        <w:tc>
          <w:tcPr>
            <w:tcW w:w="1275" w:type="dxa"/>
            <w:vMerge w:val="continue"/>
          </w:tcPr>
          <w:p>
            <w:pPr>
              <w:rPr>
                <w:highlight w:val="none"/>
              </w:rPr>
            </w:pPr>
          </w:p>
        </w:tc>
        <w:tc>
          <w:tcPr>
            <w:tcW w:w="1980" w:type="dxa"/>
            <w:vMerge w:val="continue"/>
          </w:tcPr>
          <w:p/>
        </w:tc>
        <w:tc>
          <w:tcPr>
            <w:tcW w:w="1035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FN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39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SVC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With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SMOTE</w:t>
            </w:r>
          </w:p>
        </w:tc>
        <w:tc>
          <w:tcPr>
            <w:tcW w:w="1275" w:type="dxa"/>
            <w:vMerge w:val="restart"/>
            <w:vAlign w:val="center"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  <w:t>0.81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  <w:t>94.1%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highlight w:val="none"/>
                <w:vertAlign w:val="baseline"/>
              </w:rPr>
              <w:t>0.75</w:t>
            </w:r>
          </w:p>
        </w:tc>
        <w:tc>
          <w:tcPr>
            <w:tcW w:w="1980" w:type="dxa"/>
            <w:vMerge w:val="restart"/>
            <w:vAlign w:val="center"/>
          </w:tcPr>
          <w:p>
            <w:pPr>
              <w:spacing w:line="240" w:lineRule="auto"/>
              <w:jc w:val="both"/>
              <w:rPr>
                <w:rFonts w:hint="default" w:asciiTheme="minorAscii" w:cstheme="minorHAnsi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asciiTheme="minorAscii"/>
                <w:b/>
                <w:bCs/>
                <w:sz w:val="18"/>
                <w:szCs w:val="18"/>
                <w:vertAlign w:val="baseline"/>
              </w:rPr>
              <w:t>0.49</w:t>
            </w:r>
            <w:bookmarkStart w:id="0" w:name="_GoBack"/>
            <w:r>
              <w:rPr>
                <w:rFonts w:hint="eastAsia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±</w:t>
            </w:r>
            <w:bookmarkEnd w:id="0"/>
            <w:r>
              <w:rPr>
                <w:rFonts w:hint="default" w:asciiTheme="minorAscii" w:cstheme="minorHAnsi"/>
                <w:b/>
                <w:bCs/>
                <w:sz w:val="18"/>
                <w:szCs w:val="18"/>
                <w:vertAlign w:val="baseline"/>
              </w:rPr>
              <w:t>0.19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Theme="minorAscii" w:cstheme="minorHAnsi"/>
                <w:b/>
                <w:bCs/>
                <w:sz w:val="18"/>
                <w:szCs w:val="18"/>
                <w:vertAlign w:val="baseline"/>
              </w:rPr>
              <w:t>%86</w:t>
            </w:r>
            <w:r>
              <w:rPr>
                <w:rFonts w:hint="eastAsia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6</w:t>
            </w:r>
          </w:p>
          <w:p>
            <w:pPr>
              <w:spacing w:line="240" w:lineRule="auto"/>
              <w:jc w:val="both"/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0.49</w:t>
            </w:r>
            <w:r>
              <w:rPr>
                <w:rFonts w:hint="eastAsia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sz w:val="18"/>
                <w:szCs w:val="18"/>
                <w:vertAlign w:val="baseline"/>
              </w:rPr>
              <w:t>0.26</w:t>
            </w:r>
          </w:p>
        </w:tc>
        <w:tc>
          <w:tcPr>
            <w:tcW w:w="103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29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0</w:t>
            </w:r>
          </w:p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396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5" w:type="dxa"/>
            <w:vMerge w:val="continue"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980" w:type="dxa"/>
            <w:vMerge w:val="continue"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035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9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SVC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Without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SMOTE</w:t>
            </w:r>
          </w:p>
        </w:tc>
        <w:tc>
          <w:tcPr>
            <w:tcW w:w="1275" w:type="dxa"/>
            <w:vMerge w:val="restart"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0.56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88%</w:t>
            </w:r>
          </w:p>
          <w:p>
            <w:pPr>
              <w:spacing w:line="240" w:lineRule="auto"/>
              <w:jc w:val="both"/>
              <w:rPr>
                <w:rFonts w:asciiTheme="minorAscii"/>
                <w:b/>
                <w:bCs/>
                <w:vertAlign w:val="baseline"/>
              </w:rPr>
            </w:pPr>
            <w:r>
              <w:rPr>
                <w:rFonts w:asciiTheme="minorAscii"/>
                <w:b/>
                <w:bCs/>
                <w:vertAlign w:val="baseline"/>
              </w:rPr>
              <w:t>0.60</w:t>
            </w:r>
          </w:p>
        </w:tc>
        <w:tc>
          <w:tcPr>
            <w:tcW w:w="1980" w:type="dxa"/>
            <w:vMerge w:val="restart"/>
          </w:tcPr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5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1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20</w:t>
            </w:r>
          </w:p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80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%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6</w:t>
            </w:r>
          </w:p>
          <w:p>
            <w:pPr>
              <w:spacing w:line="240" w:lineRule="auto"/>
              <w:jc w:val="both"/>
              <w:rPr>
                <w:rFonts w:hint="eastAsia" w:hAnsi="Ubuntu" w:eastAsia="Ubuntu" w:cs="Ubuntu" w:asciiTheme="minorAscii"/>
                <w:b/>
                <w:bCs/>
                <w:vertAlign w:val="baseline"/>
              </w:rPr>
            </w:pP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39</w:t>
            </w:r>
            <w:r>
              <w:rPr>
                <w:rFonts w:hint="eastAsia" w:hAnsi="Ubuntu" w:eastAsia="Ubuntu" w:cs="Ubuntu" w:asciiTheme="minorAscii"/>
                <w:b/>
                <w:bCs/>
                <w:vertAlign w:val="baseline"/>
              </w:rPr>
              <w:t>±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0.1</w:t>
            </w:r>
            <w:r>
              <w:rPr>
                <w:rFonts w:hint="default" w:hAnsi="Ubuntu" w:eastAsia="Ubuntu" w:cs="Ubuntu" w:asciiTheme="minorAscii"/>
                <w:b/>
                <w:bCs/>
                <w:vertAlign w:val="baseline"/>
              </w:rPr>
              <w:t>8</w:t>
            </w:r>
          </w:p>
        </w:tc>
        <w:tc>
          <w:tcPr>
            <w:tcW w:w="103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28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396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5" w:type="dxa"/>
            <w:vMerge w:val="continue"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980" w:type="dxa"/>
            <w:vMerge w:val="continue"/>
          </w:tcPr>
          <w:p>
            <w:pPr>
              <w:spacing w:line="240" w:lineRule="auto"/>
              <w:jc w:val="both"/>
              <w:rPr>
                <w:rFonts w:asciiTheme="minorAscii"/>
                <w:b/>
                <w:bCs/>
              </w:rPr>
            </w:pPr>
          </w:p>
        </w:tc>
        <w:tc>
          <w:tcPr>
            <w:tcW w:w="1035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t>3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FB15"/>
    <w:rsid w:val="7BFDFB15"/>
    <w:rsid w:val="EFF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248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2026-07-24T21:03:00Z</dcterms:created>
  <dc:creator>euphrates</dc:creator>
  <cp:lastModifiedBy>euphrates</cp:lastModifiedBy>
  <dcterms:modified xsi:type="dcterms:W3CDTF">2026-07-25T07:12:19Z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