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86C" w:rsidRDefault="00641C2E">
      <w:pPr>
        <w:pStyle w:val="papertitle"/>
        <w:spacing w:beforeAutospacing="1" w:afterAutospacing="1"/>
        <w:rPr>
          <w:kern w:val="2"/>
        </w:rPr>
      </w:pPr>
      <w:r>
        <w:rPr>
          <w:kern w:val="2"/>
        </w:rPr>
        <w:t>The Limitations of SMOTE and Class Imbalance in Low-Sample Radiomics: A Cautionary Case Study in Renal Mass Differentiation</w:t>
      </w:r>
    </w:p>
    <w:p w:rsidR="0026786C" w:rsidRDefault="0026786C">
      <w:pPr>
        <w:pStyle w:val="Author"/>
        <w:spacing w:beforeAutospacing="1" w:afterAutospacing="1"/>
        <w:rPr>
          <w:sz w:val="16"/>
          <w:szCs w:val="16"/>
        </w:rPr>
      </w:pPr>
    </w:p>
    <w:p w:rsidR="0026786C" w:rsidRDefault="0026786C">
      <w:pPr>
        <w:pStyle w:val="Author"/>
        <w:spacing w:beforeAutospacing="1" w:afterAutospacing="1" w:line="120" w:lineRule="auto"/>
        <w:rPr>
          <w:sz w:val="16"/>
          <w:szCs w:val="16"/>
        </w:rPr>
      </w:pPr>
    </w:p>
    <w:p w:rsidR="0026786C" w:rsidRDefault="0026786C">
      <w:pPr>
        <w:sectPr w:rsidR="0026786C">
          <w:footerReference w:type="first" r:id="rId8"/>
          <w:pgSz w:w="11906" w:h="16838"/>
          <w:pgMar w:top="540" w:right="893" w:bottom="1440" w:left="893" w:header="0" w:footer="720" w:gutter="0"/>
          <w:cols w:space="708"/>
          <w:formProt w:val="0"/>
          <w:titlePg/>
          <w:docGrid w:linePitch="360" w:charSpace="16384"/>
        </w:sectPr>
      </w:pPr>
    </w:p>
    <w:p w:rsidR="0026786C" w:rsidRDefault="00641C2E">
      <w:r>
        <w:t>Kenan Fırat</w:t>
      </w:r>
      <w:proofErr w:type="gramStart"/>
      <w:r>
        <w:t>,  Albert</w:t>
      </w:r>
      <w:proofErr w:type="gramEnd"/>
      <w:r>
        <w:t xml:space="preserve"> Güveniş</w:t>
      </w:r>
    </w:p>
    <w:p w:rsidR="0026786C" w:rsidRDefault="0026786C"/>
    <w:p w:rsidR="0026786C" w:rsidRDefault="0026786C"/>
    <w:p w:rsidR="0026786C" w:rsidRDefault="0026786C">
      <w:pPr>
        <w:sectPr w:rsidR="0026786C">
          <w:type w:val="continuous"/>
          <w:pgSz w:w="11906" w:h="16838"/>
          <w:pgMar w:top="540" w:right="893" w:bottom="1440" w:left="893" w:header="0" w:footer="720" w:gutter="0"/>
          <w:cols w:space="708"/>
          <w:formProt w:val="0"/>
          <w:docGrid w:linePitch="360" w:charSpace="16384"/>
        </w:sectPr>
      </w:pPr>
    </w:p>
    <w:p w:rsidR="0026786C" w:rsidRDefault="00641C2E">
      <w:pPr>
        <w:pStyle w:val="Abstract"/>
      </w:pPr>
      <w:r>
        <w:rPr>
          <w:i/>
          <w:iCs/>
        </w:rPr>
        <w:t>Abstract</w:t>
      </w:r>
      <w:r>
        <w:rPr>
          <w:i/>
          <w:iCs/>
          <w:lang w:val="tr-TR"/>
        </w:rPr>
        <w:t xml:space="preserve"> </w:t>
      </w:r>
      <w:r>
        <w:t>—</w:t>
      </w:r>
      <w:r>
        <w:rPr>
          <w:color w:val="000000"/>
        </w:rPr>
        <w:t xml:space="preserve"> Purpose : </w:t>
      </w:r>
      <w:r>
        <w:rPr>
          <w:rFonts w:eastAsia="Times New Roman"/>
          <w:color w:val="000000"/>
        </w:rPr>
        <w:t>Three-dimensional radiomics has been widely proposed as a non-invasive tool to differentiate malignant Renal Cell Carcinoma (RCC) from benign Angiomyol</w:t>
      </w:r>
      <w:r>
        <w:rPr>
          <w:rFonts w:eastAsia="Times New Roman"/>
          <w:color w:val="000000"/>
        </w:rPr>
        <w:t xml:space="preserve">ipoma (AML), a distinction that is often ambiguous on standard CT imaging due to the visual overlap of fat-poor AML variants with RCC. However, the reliability of radiomics pipelines built on small, severely imbalanced cohorts—a common scenario in rare or </w:t>
      </w:r>
      <w:r>
        <w:rPr>
          <w:rFonts w:eastAsia="Times New Roman"/>
          <w:color w:val="000000"/>
        </w:rPr>
        <w:t>underrepresented pathologies—remains insufficiently scrutinized. This study investigates whether a 3D volumetric radiomics pipeline evaluating multiple machine learning algorithms (including tree-based ensembles and Support Vector Machines) combined with S</w:t>
      </w:r>
      <w:r>
        <w:rPr>
          <w:rFonts w:eastAsia="Times New Roman"/>
          <w:color w:val="000000"/>
        </w:rPr>
        <w:t>ynthetic Minority Over-sampling Technique (SMOTE) resampling can reliably differentiate RCC from AML in a small, highly imbalanced cohort (N = 69; 58 RCC, 11 AML). More critically, by contrasting resampled frameworks against unhandled baseline imbalance, w</w:t>
      </w:r>
      <w:r>
        <w:rPr>
          <w:rFonts w:eastAsia="Times New Roman"/>
          <w:color w:val="000000"/>
        </w:rPr>
        <w:t>e evaluate whether single-fold peaks or averaged performance metrics</w:t>
      </w:r>
      <w:r>
        <w:t>—as commonly reported in the radiomics literature—faithfully represent the stability and resource efficiency of these models.</w:t>
      </w:r>
    </w:p>
    <w:p w:rsidR="0026786C" w:rsidRDefault="00641C2E">
      <w:pPr>
        <w:pStyle w:val="Abstract"/>
      </w:pPr>
      <w:r>
        <w:t xml:space="preserve">Methods — </w:t>
      </w:r>
      <w:proofErr w:type="gramStart"/>
      <w:r>
        <w:t>Using</w:t>
      </w:r>
      <w:proofErr w:type="gramEnd"/>
      <w:r>
        <w:t xml:space="preserve"> arterial-phase CT data from the UCSF RMaC data</w:t>
      </w:r>
      <w:r>
        <w:t xml:space="preserve">set, 1182 volumetric radiomics features were extracted via PyRadiomics following isotropic resampling and intensity normalization. A nested cross-validation framework </w:t>
      </w:r>
      <w:proofErr w:type="gramStart"/>
      <w:r>
        <w:t>was implemented</w:t>
      </w:r>
      <w:proofErr w:type="gramEnd"/>
      <w:r>
        <w:t>, with an inner loop performing SMOTE oversampling, ANOVA-based feature se</w:t>
      </w:r>
      <w:r>
        <w:t>lection (SelectKBest), and grid-search hyperparameter tuning across a number of machine learning algorithms, and an outer loop providing five independent, leakage-free performance estimates.</w:t>
      </w:r>
    </w:p>
    <w:p w:rsidR="0026786C" w:rsidRDefault="00641C2E">
      <w:pPr>
        <w:pStyle w:val="Abstract"/>
      </w:pPr>
      <w:r>
        <w:t xml:space="preserve">Results — While tree-based ensembles achieved highly competitive </w:t>
      </w:r>
      <w:r>
        <w:t>single-fold peaks (maximum AUC of 0.94 for Random Forest and 0.90 for XGBoost), the overall multi-fold mean metric landscape remained uniformly poor across all evaluated classifiers, collapsing toward random chance. Incorporating a non-resampled baseline r</w:t>
      </w:r>
      <w:r>
        <w:t>evealed that tabular SMOTE oversampling yielded no genuine performance gains over unhandled class imbalance (e.g., SVC mean AUC of 0.49</w:t>
      </w:r>
      <w:r>
        <w:rPr>
          <w:rFonts w:eastAsia="Ubuntu" w:cs="Ubuntu"/>
        </w:rPr>
        <w:t>±</w:t>
      </w:r>
      <w:r>
        <w:t>0.19 with SMOTE versus 0.51</w:t>
      </w:r>
      <w:r>
        <w:rPr>
          <w:rFonts w:eastAsia="Ubuntu" w:cs="Ubuntu"/>
        </w:rPr>
        <w:t>±</w:t>
      </w:r>
      <w:r>
        <w:t>0.20 without SMOTE). Rather than capturing true minority class variability, tabular interpol</w:t>
      </w:r>
      <w:r>
        <w:t>ation among the 11 minority vectors generated unphysical mathematical noise, creating a dangerous 0.81 single-fold AUC} illusion. Given the high-dimensional noise of the feature space, the pipeline was ultimately oriented around the Support Vector Classifi</w:t>
      </w:r>
      <w:r>
        <w:t>er (SVC) due to its superior geometric suitability for boundary-focused classification in highly overlapping distributions and its deterministic training efficiency over complex, resource-intensive tree ensembles. Consequently, the pipeline was oriented ar</w:t>
      </w:r>
      <w:r>
        <w:t>ound the Support Vector Machine (SVC) due to its superior deterministic training efficiency and its specific geometric suitability for boundary-focused classification in highly overlapping, mimicking distributions like RCC and AML.</w:t>
      </w:r>
    </w:p>
    <w:p w:rsidR="0026786C" w:rsidRDefault="00641C2E">
      <w:pPr>
        <w:pStyle w:val="Abstract"/>
      </w:pPr>
      <w:r>
        <w:t>Conclusion — Our finding</w:t>
      </w:r>
      <w:r>
        <w:t>s demonstrate that standard oversampling techniques such as SMOTE fail to establish reliable decision boundaries when applied to small, high-dimensional medical imaging datasets, and that reporting a single “best” fold or an unweighted multi-fold average w</w:t>
      </w:r>
      <w:r>
        <w:t xml:space="preserve">ithout transparently disclosing this volatility risks substantial performance inflation. </w:t>
      </w:r>
      <w:proofErr w:type="gramStart"/>
      <w:r>
        <w:t>We argue that feature-space interpolation among as few as 11 original minority vectors is structurally unable to capture the true variability of the minority class, an</w:t>
      </w:r>
      <w:r>
        <w:t>d we propose that future radiomics augmentation strategies should shift from synthetic feature-vector generation toward image-level augmentation—including geometric transformations, intensity perturbation, and ROI boundary perturbation—which preserves true</w:t>
      </w:r>
      <w:r>
        <w:t xml:space="preserve"> biological variance, genuine anatomical and spatial structure rather than interpolating in an abstract, decontextualized feature space.</w:t>
      </w:r>
      <w:proofErr w:type="gramEnd"/>
    </w:p>
    <w:p w:rsidR="0026786C" w:rsidRDefault="00641C2E">
      <w:pPr>
        <w:pStyle w:val="Keywords"/>
      </w:pPr>
      <w:r>
        <w:t xml:space="preserve">Keywords — </w:t>
      </w:r>
      <w:r>
        <w:rPr>
          <w:iCs/>
        </w:rPr>
        <w:t>radiomics, renal cell carcinoma, angiomyolipoma, radiomics, computed tomography (CT), class imbalance,SMOTE,</w:t>
      </w:r>
      <w:r>
        <w:rPr>
          <w:iCs/>
        </w:rPr>
        <w:t xml:space="preserve"> nested cross-validation, machine learning, support vector machines, decision boundary, data augmentation</w:t>
      </w:r>
    </w:p>
    <w:p w:rsidR="0026786C" w:rsidRDefault="00641C2E">
      <w:pPr>
        <w:pStyle w:val="Balk1"/>
      </w:pPr>
      <w:r>
        <w:t xml:space="preserve">Introduction </w:t>
      </w:r>
    </w:p>
    <w:p w:rsidR="0026786C" w:rsidRDefault="00641C2E">
      <w:pPr>
        <w:pStyle w:val="GvdeMetni"/>
      </w:pPr>
      <w:r>
        <w:t>In contemporary renal oncology, the accurate differentiation of renal masses is the cornerstone for determining appropriate medical or s</w:t>
      </w:r>
      <w:r>
        <w:t>urgical pathways. The primary classification boundary lies between malignant Renal Cell Carcinoma (RCC) and benign Angiomyolipoma (AML). RCC is inherently invasive and metastatic, demanding aggressive interventions such as partial or radical nephrectomy, t</w:t>
      </w:r>
      <w:r>
        <w:t>argeted therapies, or immunotherapies. Conversely, AML is a benign mesenchymal tumor that typically follows a conservative “watch and wait” surveillance protocol, rendering surgical intervention clinically unnecessary [1].</w:t>
      </w:r>
    </w:p>
    <w:p w:rsidR="0026786C" w:rsidRDefault="00641C2E">
      <w:pPr>
        <w:pStyle w:val="GvdeMetni"/>
      </w:pPr>
      <w:r>
        <w:t xml:space="preserve">A severe clinical dilemma arises </w:t>
      </w:r>
      <w:r>
        <w:t xml:space="preserve">from the visual overlap between these two entities on standard computed tomography (CT) scans. Specifically, fat-poor AMLs (fp-AML) lack the macroscopic fat signatures typically used by radiologists for definitive diagnosis, causing them to look identical </w:t>
      </w:r>
      <w:r>
        <w:t>to RCCs during standard visual evaluations. Because human vision alone cannot reliably separate these sub-visual texture distributions, a high rate of unnecessary nephrectomies is performed on patients with completely benign disease [2].</w:t>
      </w:r>
    </w:p>
    <w:p w:rsidR="0026786C" w:rsidRDefault="00641C2E">
      <w:pPr>
        <w:pStyle w:val="GvdeMetni"/>
      </w:pPr>
      <w:r>
        <w:t>Radiomics has been</w:t>
      </w:r>
      <w:r>
        <w:t xml:space="preserve"> proposed as a means of moving “beyond the Hounsfield Unit,” converting standard medical images into minable, high-dimensional feature spaces capable of revealing sub-visual biomarkers correlated with underlying tissue biology [3–7]. However, the rare and </w:t>
      </w:r>
      <w:r>
        <w:t xml:space="preserve">binary nature of pathologies such as AML means that radiomics cohorts are frequently small and severely class-imbalanced—precisely the conditions under which both feature extraction and </w:t>
      </w:r>
      <w:r>
        <w:lastRenderedPageBreak/>
        <w:t>resampling techniques are least theoretically justified. The vast majo</w:t>
      </w:r>
      <w:r>
        <w:t>rity of published radiomics studies report performance using k-fold cross-validation or, in many cases, a single train-test split, often without disclosing the variance across folds [13]. When a dataset is small and one class is rare, this practice creates</w:t>
      </w:r>
      <w:r>
        <w:t xml:space="preserve"> a substantial risk: a single “lucky” partition of the data can produce an impressively high headline metric that does not represent the model's true, generalizable behavior.</w:t>
      </w:r>
    </w:p>
    <w:p w:rsidR="0026786C" w:rsidRDefault="00641C2E">
      <w:pPr>
        <w:pStyle w:val="GvdeMetni"/>
      </w:pPr>
      <w:r>
        <w:rPr>
          <w:rFonts w:eastAsia="Times New Roman"/>
          <w:color w:val="000000"/>
        </w:rPr>
        <w:t>This study uses the clinically important RCC-versus-AML differentiation task as a</w:t>
      </w:r>
      <w:r>
        <w:rPr>
          <w:rFonts w:eastAsia="Times New Roman"/>
          <w:color w:val="000000"/>
        </w:rPr>
        <w:t xml:space="preserve"> controlled case study to examine this broader methodological problem. Rather than presenting a single performance figure, we deliberately foreground the full distribution of outcomes obtained under rigorous nested cross-validation, and we use this distrib</w:t>
      </w:r>
      <w:r>
        <w:rPr>
          <w:rFonts w:eastAsia="Times New Roman"/>
          <w:color w:val="000000"/>
        </w:rPr>
        <w:t>ution to investigate why a standard, widely adopted oversampling technique—SMOTE—fails to produce a stable decision boundary when only a handful of original minority-class examples are available. Our goal is not to dismiss radiomics as a diagnostic tool, b</w:t>
      </w:r>
      <w:r>
        <w:rPr>
          <w:rFonts w:eastAsia="Times New Roman"/>
          <w:color w:val="000000"/>
        </w:rPr>
        <w:t>ut to demonstrate, transparently and quantitatively, the conditions under which its reported performance should be interpreted with caution, and to propose a more principled path—image-level data augmentation—toward genuinely stable models in low-sample, h</w:t>
      </w:r>
      <w:r>
        <w:rPr>
          <w:rFonts w:eastAsia="Times New Roman"/>
          <w:color w:val="000000"/>
        </w:rPr>
        <w:t>igh-dimensional medical imaging tasks.</w:t>
      </w:r>
      <w:r>
        <w:rPr>
          <w:color w:val="000000"/>
        </w:rPr>
        <w:t xml:space="preserve"> </w:t>
      </w:r>
    </w:p>
    <w:p w:rsidR="0026786C" w:rsidRDefault="00641C2E">
      <w:pPr>
        <w:pStyle w:val="Balk1"/>
      </w:pPr>
      <w:r>
        <w:t>Materials and Methods</w:t>
      </w:r>
    </w:p>
    <w:p w:rsidR="0026786C" w:rsidRDefault="00641C2E">
      <w:pPr>
        <w:pStyle w:val="Balk2"/>
      </w:pPr>
      <w:r>
        <w:t>Collection Data and Cohort Selection:</w:t>
      </w:r>
    </w:p>
    <w:p w:rsidR="0026786C" w:rsidRDefault="00641C2E">
      <w:pPr>
        <w:pStyle w:val="GvdeMetni"/>
      </w:pPr>
      <w:r>
        <w:rPr>
          <w:color w:val="000000"/>
        </w:rPr>
        <w:t xml:space="preserve">This study utilizes high-fidelity imaging data from the UCSF RMaC (University of California San Francisco 3D Multi-Phase Renal Mass CT Dataset with Tumor </w:t>
      </w:r>
      <w:r>
        <w:rPr>
          <w:color w:val="000000"/>
        </w:rPr>
        <w:t>Segmentations)</w:t>
      </w:r>
      <w:r>
        <w:rPr>
          <w:color w:val="000000"/>
          <w:lang w:val="en-US"/>
        </w:rPr>
        <w:t xml:space="preserve"> </w:t>
      </w:r>
      <w:r>
        <w:rPr>
          <w:color w:val="000000"/>
        </w:rPr>
        <w:t>open-source repository</w:t>
      </w:r>
      <w:r>
        <w:rPr>
          <w:color w:val="000000"/>
          <w:lang w:val="en-US"/>
        </w:rPr>
        <w:t xml:space="preserve"> [8]</w:t>
      </w:r>
      <w:r>
        <w:rPr>
          <w:color w:val="000000"/>
        </w:rPr>
        <w:t>. To maintain the integrity of the original Hounsfield Units (HU) and avoid artifacts from manual manipulation, the data was utilized in its current high-fidelity state.</w:t>
      </w:r>
    </w:p>
    <w:p w:rsidR="0026786C" w:rsidRDefault="00641C2E">
      <w:pPr>
        <w:pStyle w:val="GvdeMetni"/>
      </w:pPr>
      <w:r>
        <w:t>Cohort selection was handled via a determinis</w:t>
      </w:r>
      <w:r>
        <w:t>tic filtering pipeline based on the dataset’s provided metadata:</w:t>
      </w:r>
    </w:p>
    <w:p w:rsidR="0026786C" w:rsidRDefault="00641C2E">
      <w:pPr>
        <w:pStyle w:val="GvdeMetni"/>
        <w:numPr>
          <w:ilvl w:val="0"/>
          <w:numId w:val="8"/>
        </w:numPr>
      </w:pPr>
      <w:r>
        <w:t>Phase Selection: The entire cohort was filtered to isolate contrast-enhanced arterial phase images.</w:t>
      </w:r>
    </w:p>
    <w:p w:rsidR="0026786C" w:rsidRDefault="00641C2E">
      <w:pPr>
        <w:pStyle w:val="GvdeMetni"/>
        <w:numPr>
          <w:ilvl w:val="0"/>
          <w:numId w:val="8"/>
        </w:numPr>
      </w:pPr>
      <w:r>
        <w:t>Pathology Filtering: Images were stratified by confirmed histopathology to isolate Carcinom</w:t>
      </w:r>
      <w:r>
        <w:t>a and Angiomyolipoma.</w:t>
      </w:r>
    </w:p>
    <w:p w:rsidR="0026786C" w:rsidRDefault="00641C2E">
      <w:pPr>
        <w:pStyle w:val="GvdeMetni"/>
        <w:numPr>
          <w:ilvl w:val="0"/>
          <w:numId w:val="8"/>
        </w:numPr>
      </w:pPr>
      <w:r>
        <w:t>Final Sub-Cohort: This metadata-driven filtering yielded a final operational sub-cohort of 69 cases, comprising 11 angiomyolipoma cases and 58 carcinoma cases.</w:t>
      </w:r>
    </w:p>
    <w:p w:rsidR="0026786C" w:rsidRDefault="00641C2E">
      <w:pPr>
        <w:pStyle w:val="Balk2"/>
      </w:pPr>
      <w:r>
        <w:t>Radiomics Pipeline and Mathematical Foundations</w:t>
      </w:r>
    </w:p>
    <w:p w:rsidR="0026786C" w:rsidRDefault="00641C2E">
      <w:pPr>
        <w:pStyle w:val="GvdeMetni"/>
        <w:ind w:firstLine="0"/>
      </w:pPr>
      <w:r>
        <w:tab/>
        <w:t>The workflow extracts sta</w:t>
      </w:r>
      <w:r>
        <w:t>ndardized 3D volumetric radiomics features across the entire segmented tumor mass, avoiding the loss of spatial data inherent to 2D single-slice boundaries. A total of 1182 features were extracted using the</w:t>
      </w:r>
      <w:r>
        <w:rPr>
          <w:lang w:val="en-US"/>
        </w:rPr>
        <w:t xml:space="preserve"> </w:t>
      </w:r>
      <w:r>
        <w:t>Python-based PyRadiomics toolkit. The computation</w:t>
      </w:r>
      <w:r>
        <w:t>al implementation is built on a structured mathematical backbone where advanced matrices analyze spatial voxel interactions [9]:</w:t>
      </w:r>
    </w:p>
    <w:p w:rsidR="0026786C" w:rsidRDefault="00641C2E">
      <w:pPr>
        <w:pStyle w:val="ListeParagraf"/>
        <w:numPr>
          <w:ilvl w:val="0"/>
          <w:numId w:val="10"/>
        </w:numPr>
        <w:ind w:firstLine="0"/>
        <w:jc w:val="left"/>
      </w:pPr>
      <w:r>
        <w:t>Image Standardization and Device Normalization</w:t>
      </w:r>
    </w:p>
    <w:p w:rsidR="0026786C" w:rsidRDefault="0026786C">
      <w:pPr>
        <w:pStyle w:val="ListeParagraf"/>
        <w:jc w:val="left"/>
      </w:pPr>
    </w:p>
    <w:p w:rsidR="0026786C" w:rsidRDefault="00641C2E">
      <w:pPr>
        <w:pStyle w:val="GvdeMetni"/>
        <w:ind w:firstLine="0"/>
      </w:pPr>
      <w:r>
        <w:tab/>
        <w:t>Raw slice thicknesses in the UCSF RMaC cohort ranged from 0.625 mm to 10 mm, a</w:t>
      </w:r>
      <w:r>
        <w:t xml:space="preserve">nd in-plane spatial resolutions varied between 0.42 mm and 1.36 mm [8]. To overcome variability across different acquisition devices and ensure texture comparability, all volumes were resampled to a 1 mm </w:t>
      </w:r>
      <w:r>
        <w:t>× 1 mm × 1 mm isotropic spatial resolution using the</w:t>
      </w:r>
      <w:r>
        <w:t xml:space="preserve"> Python (version 3.12) utilizing the SimpleITK library. Furthermore, to compensate for variations in Hounsfield Unit (HU) distributions across different scanners, intensity values were scaled using Z-score normalization [10].</w:t>
      </w:r>
    </w:p>
    <w:p w:rsidR="0026786C" w:rsidRDefault="00641C2E">
      <w:pPr>
        <w:pStyle w:val="ListeParagraf"/>
        <w:numPr>
          <w:ilvl w:val="0"/>
          <w:numId w:val="9"/>
        </w:numPr>
        <w:jc w:val="left"/>
      </w:pPr>
      <w:r>
        <w:t>Mask Geometry and Phase Alignm</w:t>
      </w:r>
      <w:r>
        <w:t xml:space="preserve">ent: </w:t>
      </w:r>
    </w:p>
    <w:p w:rsidR="0026786C" w:rsidRDefault="00641C2E">
      <w:pPr>
        <w:ind w:firstLine="360"/>
        <w:jc w:val="both"/>
      </w:pPr>
      <w:r>
        <w:t xml:space="preserve">To keep some of the images usable during the contrast-enhanced arterial phase, a registration tier (a multi-stage spatial alignment process) was implemented to resolve mismatches between </w:t>
      </w:r>
      <w:proofErr w:type="gramStart"/>
      <w:r>
        <w:t>image</w:t>
      </w:r>
      <w:proofErr w:type="gramEnd"/>
      <w:r>
        <w:t xml:space="preserve"> and mask geometry. For cases where dimensions varied, the</w:t>
      </w:r>
      <w:r>
        <w:t xml:space="preserve"> arterial phase served as the fixed template, and the tumor masks were resized and coregistered using spline interpolation to preserve regional information and ensure the 3D volume accurately encapsulated the segmented tumor mass.</w:t>
      </w:r>
    </w:p>
    <w:p w:rsidR="0026786C" w:rsidRDefault="0026786C">
      <w:pPr>
        <w:ind w:firstLine="360"/>
        <w:jc w:val="both"/>
      </w:pPr>
    </w:p>
    <w:p w:rsidR="0026786C" w:rsidRDefault="00641C2E">
      <w:pPr>
        <w:pStyle w:val="ListeParagraf"/>
        <w:numPr>
          <w:ilvl w:val="0"/>
          <w:numId w:val="10"/>
        </w:numPr>
        <w:jc w:val="left"/>
      </w:pPr>
      <w:r>
        <w:t>Feature Categorization a</w:t>
      </w:r>
      <w:r>
        <w:t>nd Algorithmic Discovery:</w:t>
      </w:r>
    </w:p>
    <w:p w:rsidR="0026786C" w:rsidRDefault="00641C2E">
      <w:pPr>
        <w:ind w:firstLine="288"/>
        <w:jc w:val="both"/>
        <w:rPr>
          <w:rFonts w:eastAsia="Times New Roman"/>
          <w:lang w:val="tr-TR" w:eastAsia="tr-TR"/>
        </w:rPr>
      </w:pPr>
      <w:r>
        <w:rPr>
          <w:rFonts w:eastAsia="Times New Roman"/>
          <w:lang w:val="tr-TR" w:eastAsia="tr-TR"/>
        </w:rPr>
        <w:t>The extracted feature space encompasses baseline 3D shape descriptors capturing macroscopic growth behaviors—such as sphericity, flatness, and elongation to differentiate the well-defined boundaries of benign angiomyolipomas (AML)</w:t>
      </w:r>
      <w:r>
        <w:rPr>
          <w:rFonts w:eastAsia="Times New Roman"/>
          <w:lang w:val="tr-TR" w:eastAsia="tr-TR"/>
        </w:rPr>
        <w:t xml:space="preserve"> from the chaotic, asymmetric margins of malignant renal cell carcinomas (RCC)—alongside advanced intensity and microstructural metrics. These metrics were computed both on the baseline images (including interpolation diagnostics) and across mathematically</w:t>
      </w:r>
      <w:r>
        <w:rPr>
          <w:rFonts w:eastAsia="Times New Roman"/>
          <w:lang w:val="tr-TR" w:eastAsia="tr-TR"/>
        </w:rPr>
        <w:t xml:space="preserve"> filtered spaces using Laplacian of Gaussian (LoG-sigma) filters at varying spatial scales and multi-directional wavelet decompositions. Within these spaces, first-order statistics quantified global gray-level distributions (e.g</w:t>
      </w:r>
      <w:proofErr w:type="gramStart"/>
      <w:r>
        <w:rPr>
          <w:rFonts w:eastAsia="Times New Roman"/>
          <w:lang w:val="tr-TR" w:eastAsia="tr-TR"/>
        </w:rPr>
        <w:t>.,</w:t>
      </w:r>
      <w:proofErr w:type="gramEnd"/>
      <w:r>
        <w:rPr>
          <w:rFonts w:eastAsia="Times New Roman"/>
          <w:lang w:val="tr-TR" w:eastAsia="tr-TR"/>
        </w:rPr>
        <w:t xml:space="preserve"> mean, variance, skewness,</w:t>
      </w:r>
      <w:r>
        <w:rPr>
          <w:rFonts w:eastAsia="Times New Roman"/>
          <w:lang w:val="tr-TR" w:eastAsia="tr-TR"/>
        </w:rPr>
        <w:t xml:space="preserve"> and entropy) to evaluate baseline tumor density, while advanced second- and higher-order textural matrices—including the Gray-Level Co-occurrence Matrix (GLCM) and the Gray-Level Run Length Matrix (GLRLM)—calculated complex voxel-pair joint probabilities </w:t>
      </w:r>
      <w:r>
        <w:rPr>
          <w:rFonts w:eastAsia="Times New Roman"/>
          <w:lang w:val="tr-TR" w:eastAsia="tr-TR"/>
        </w:rPr>
        <w:t>and consecutive intensity runs to mathematically chart structural tissue heterogeneity [9,11].</w:t>
      </w:r>
    </w:p>
    <w:p w:rsidR="0026786C" w:rsidRDefault="00641C2E">
      <w:pPr>
        <w:pStyle w:val="Balk2"/>
      </w:pPr>
      <w:r>
        <w:t>Downstream Machine Learning Designs:</w:t>
      </w:r>
    </w:p>
    <w:p w:rsidR="0026786C" w:rsidRDefault="00641C2E">
      <w:pPr>
        <w:pStyle w:val="GvdeMetni"/>
        <w:spacing w:after="160" w:line="240" w:lineRule="auto"/>
        <w:ind w:firstLine="0"/>
        <w:rPr>
          <w:color w:val="000000"/>
        </w:rPr>
      </w:pPr>
      <w:r>
        <w:rPr>
          <w:color w:val="000000"/>
        </w:rPr>
        <w:tab/>
        <w:t xml:space="preserve">To address the severe class imbalance (~84% carcinoma vs. ~16% angiomyolipoma) resulting from the limited number of </w:t>
      </w:r>
      <w:r>
        <w:rPr>
          <w:color w:val="000000"/>
        </w:rPr>
        <w:t>angiomyolipoma cases, a rigorous nested cross-validation framework is implemented. Because this limited dataset is not intended for immediate clinical deployment, the primary objective of this nested framework is to reliably evaluate and select the optimal</w:t>
      </w:r>
      <w:r>
        <w:rPr>
          <w:color w:val="000000"/>
        </w:rPr>
        <w:t xml:space="preserve">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rsidR="0026786C" w:rsidRDefault="00641C2E">
      <w:pPr>
        <w:pStyle w:val="GvdeMetni"/>
        <w:spacing w:after="160" w:line="240" w:lineRule="auto"/>
        <w:ind w:firstLine="0"/>
        <w:rPr>
          <w:color w:val="000000"/>
        </w:rPr>
      </w:pPr>
      <w:bookmarkStart w:id="0" w:name="_GoBack"/>
      <w:r>
        <w:rPr>
          <w:color w:val="000000"/>
        </w:rPr>
        <w:t xml:space="preserve">     Within each outer loop, test and training data were st</w:t>
      </w:r>
      <w:r>
        <w:rPr>
          <w:color w:val="000000"/>
        </w:rPr>
        <w:t xml:space="preserve">rictly isolated to prevent data leakage. Within the inner loops, a sequential machine learning pipeline -consisting of standard scaling, ANOVA based feature selection (SelectKBest), Grid Search hyperparameter optimization, and classification- was executed </w:t>
      </w:r>
      <w:r>
        <w:rPr>
          <w:color w:val="000000"/>
        </w:rPr>
        <w:t>inependently across a variety of algorithms (</w:t>
      </w:r>
      <w:r>
        <w:rPr>
          <w:rFonts w:eastAsia="Times New Roman"/>
        </w:rPr>
        <w:t>Random Forest, XGBoost, K-Nearest Neighbors (KNN), Logistic Regression, and Support Vector Machines (SVM)</w:t>
      </w:r>
      <w:r>
        <w:rPr>
          <w:color w:val="000000"/>
        </w:rPr>
        <w:t xml:space="preserve">), both with and without SMOTE oversampling (Table I). </w:t>
      </w:r>
      <w:r>
        <w:rPr>
          <w:rFonts w:eastAsia="Times New Roman"/>
        </w:rPr>
        <w:t xml:space="preserve">While tree-based ensembles like XGBoost and Random </w:t>
      </w:r>
      <w:r>
        <w:rPr>
          <w:rFonts w:eastAsia="Times New Roman"/>
        </w:rPr>
        <w:t>Forest occasionally yielded comparable or marginally higher localized performance metrics, they introduced significant computational overhead. Random Forest models, in particular, frequently caused execution timeouts and ran into operational caps under sta</w:t>
      </w:r>
      <w:r>
        <w:rPr>
          <w:rFonts w:eastAsia="Times New Roman"/>
        </w:rPr>
        <w:t xml:space="preserve">ndart hardware profiles with restricted runtime </w:t>
      </w:r>
      <w:r>
        <w:rPr>
          <w:rFonts w:eastAsia="Times New Roman"/>
        </w:rPr>
        <w:lastRenderedPageBreak/>
        <w:t>allocations due to the overhead of building large ensembles of high-dimensional trees. Consequently, the SVM was retained as the primary focus of this analysis. It offers a distinct resource-consumption advan</w:t>
      </w:r>
      <w:r>
        <w:rPr>
          <w:rFonts w:eastAsia="Times New Roman"/>
        </w:rPr>
        <w:t>tage by offering deterministic, highly efficient training via convex optimization (Table II), while structurally remaining the most theoretically suitable candidate  for boundary-focused classification in overlapping distributions [12,13]. Most importantly</w:t>
      </w:r>
      <w:r>
        <w:rPr>
          <w:rFonts w:eastAsia="Times New Roman"/>
        </w:rPr>
        <w:t>, its clear geometric dependency on support vectors allows its outer-fold behavior to most transparently expose the exact boundary instability introduced by feature-space oversampling.</w:t>
      </w:r>
    </w:p>
    <w:bookmarkEnd w:id="0"/>
    <w:p w:rsidR="0026786C" w:rsidRDefault="00641C2E">
      <w:pPr>
        <w:pStyle w:val="GvdeMetni"/>
        <w:spacing w:after="160" w:line="240" w:lineRule="auto"/>
        <w:ind w:firstLine="0"/>
        <w:rPr>
          <w:color w:val="000000"/>
        </w:rPr>
      </w:pPr>
      <w:r>
        <w:rPr>
          <w:rFonts w:eastAsia="Times New Roman"/>
        </w:rPr>
        <w:tab/>
        <w:t>Crucially, this workflow is identical in structure to what is reported</w:t>
      </w:r>
      <w:r>
        <w:rPr>
          <w:rFonts w:eastAsia="Times New Roman"/>
        </w:rPr>
        <w:t xml:space="preserve"> as a success in much of the published radiomics literature: a multi-fold (or single-split) validation is run, a representative metric is computed, and that metric is reported as evidence of model validity. The purpose of the following sections is to show </w:t>
      </w:r>
      <w:r>
        <w:rPr>
          <w:rFonts w:eastAsia="Times New Roman"/>
        </w:rPr>
        <w:t>what this standard workflow conceals when it is not accompanied by full disclosure of per-fold variability.</w:t>
      </w:r>
    </w:p>
    <w:p w:rsidR="0026786C" w:rsidRDefault="0026786C">
      <w:pPr>
        <w:pStyle w:val="GvdeMetni"/>
        <w:rPr>
          <w:rFonts w:eastAsia="Times New Roman"/>
        </w:rPr>
      </w:pPr>
    </w:p>
    <w:p w:rsidR="0026786C" w:rsidRDefault="0026786C">
      <w:pPr>
        <w:sectPr w:rsidR="0026786C">
          <w:type w:val="continuous"/>
          <w:pgSz w:w="11906" w:h="16838"/>
          <w:pgMar w:top="540" w:right="893" w:bottom="1440" w:left="893" w:header="0" w:footer="720" w:gutter="0"/>
          <w:cols w:num="2" w:space="360"/>
          <w:formProt w:val="0"/>
          <w:docGrid w:linePitch="360" w:charSpace="16384"/>
        </w:sectPr>
      </w:pPr>
    </w:p>
    <w:p w:rsidR="0026786C" w:rsidRDefault="00641C2E">
      <w:pPr>
        <w:pStyle w:val="tablehead"/>
      </w:pPr>
      <w:r>
        <w:t>CLASSIFIER PERFORMANCE TRADE OFFS : COMPARATIVE ANALYSIS OF SINGLE-FOLD PEAKS, NESTED CROSS-VALIDATION VOLATILITY (ME</w:t>
      </w:r>
      <w:r>
        <w:t>AN ± SD), AND COMPUTATIONAL OVERHEAD WITH AND WITHOUT SMOTE RESAMPLING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41"/>
        <w:gridCol w:w="1445"/>
        <w:gridCol w:w="1443"/>
        <w:gridCol w:w="1444"/>
        <w:gridCol w:w="1445"/>
        <w:gridCol w:w="1447"/>
        <w:gridCol w:w="1445"/>
      </w:tblGrid>
      <w:tr w:rsidR="0026786C">
        <w:tc>
          <w:tcPr>
            <w:tcW w:w="1443" w:type="dxa"/>
            <w:vMerge w:val="restart"/>
            <w:tcBorders>
              <w:top w:val="single" w:sz="4" w:space="0" w:color="000000"/>
              <w:left w:val="single" w:sz="4" w:space="0" w:color="000000"/>
              <w:bottom w:val="single" w:sz="4" w:space="0" w:color="000000"/>
            </w:tcBorders>
          </w:tcPr>
          <w:p w:rsidR="0026786C" w:rsidRDefault="00641C2E">
            <w:pPr>
              <w:pStyle w:val="tablecolhead"/>
              <w:widowControl w:val="0"/>
            </w:pPr>
            <w:r>
              <w:t>Algorithm</w:t>
            </w:r>
          </w:p>
        </w:tc>
        <w:tc>
          <w:tcPr>
            <w:tcW w:w="1447" w:type="dxa"/>
            <w:vMerge w:val="restart"/>
            <w:tcBorders>
              <w:top w:val="single" w:sz="4" w:space="0" w:color="000000"/>
              <w:left w:val="single" w:sz="4" w:space="0" w:color="000000"/>
              <w:bottom w:val="single" w:sz="4" w:space="0" w:color="000000"/>
            </w:tcBorders>
          </w:tcPr>
          <w:p w:rsidR="0026786C" w:rsidRDefault="00641C2E">
            <w:pPr>
              <w:pStyle w:val="tablecolhead"/>
              <w:widowControl w:val="0"/>
            </w:pPr>
            <w:r>
              <w:t>Metric</w:t>
            </w:r>
          </w:p>
        </w:tc>
        <w:tc>
          <w:tcPr>
            <w:tcW w:w="2890" w:type="dxa"/>
            <w:gridSpan w:val="2"/>
            <w:tcBorders>
              <w:top w:val="single" w:sz="4" w:space="0" w:color="000000"/>
              <w:left w:val="single" w:sz="4" w:space="0" w:color="000000"/>
              <w:bottom w:val="single" w:sz="4" w:space="0" w:color="000000"/>
            </w:tcBorders>
          </w:tcPr>
          <w:p w:rsidR="0026786C" w:rsidRDefault="00641C2E">
            <w:pPr>
              <w:pStyle w:val="tablecolhead"/>
              <w:widowControl w:val="0"/>
            </w:pPr>
            <w:r>
              <w:t>With Smote</w:t>
            </w:r>
          </w:p>
        </w:tc>
        <w:tc>
          <w:tcPr>
            <w:tcW w:w="2893" w:type="dxa"/>
            <w:gridSpan w:val="2"/>
            <w:tcBorders>
              <w:top w:val="single" w:sz="4" w:space="0" w:color="000000"/>
              <w:left w:val="single" w:sz="4" w:space="0" w:color="000000"/>
              <w:bottom w:val="single" w:sz="4" w:space="0" w:color="000000"/>
            </w:tcBorders>
          </w:tcPr>
          <w:p w:rsidR="0026786C" w:rsidRDefault="00641C2E">
            <w:pPr>
              <w:pStyle w:val="tablecolhead"/>
              <w:widowControl w:val="0"/>
            </w:pPr>
            <w:r>
              <w:t>Without Smote</w:t>
            </w:r>
          </w:p>
        </w:tc>
        <w:tc>
          <w:tcPr>
            <w:tcW w:w="1446" w:type="dxa"/>
            <w:vMerge w:val="restart"/>
            <w:tcBorders>
              <w:top w:val="single" w:sz="4" w:space="0" w:color="000000"/>
              <w:left w:val="single" w:sz="4" w:space="0" w:color="000000"/>
              <w:bottom w:val="single" w:sz="4" w:space="0" w:color="000000"/>
              <w:right w:val="single" w:sz="4" w:space="0" w:color="000000"/>
            </w:tcBorders>
          </w:tcPr>
          <w:p w:rsidR="0026786C" w:rsidRDefault="00641C2E">
            <w:pPr>
              <w:pStyle w:val="tablecolhead"/>
              <w:widowControl w:val="0"/>
            </w:pPr>
            <w:r>
              <w:t>Computational Overhead / Resource</w:t>
            </w:r>
          </w:p>
        </w:tc>
      </w:tr>
      <w:tr w:rsidR="0026786C">
        <w:tc>
          <w:tcPr>
            <w:tcW w:w="1443" w:type="dxa"/>
            <w:vMerge/>
            <w:tcBorders>
              <w:left w:val="single" w:sz="4" w:space="0" w:color="000000"/>
              <w:bottom w:val="single" w:sz="4" w:space="0" w:color="000000"/>
            </w:tcBorders>
          </w:tcPr>
          <w:p w:rsidR="0026786C" w:rsidRDefault="0026786C">
            <w:pPr>
              <w:pStyle w:val="TableContents"/>
            </w:pPr>
          </w:p>
        </w:tc>
        <w:tc>
          <w:tcPr>
            <w:tcW w:w="1447" w:type="dxa"/>
            <w:vMerge/>
            <w:tcBorders>
              <w:left w:val="single" w:sz="4" w:space="0" w:color="000000"/>
              <w:bottom w:val="single" w:sz="4" w:space="0" w:color="000000"/>
            </w:tcBorders>
          </w:tcPr>
          <w:p w:rsidR="0026786C" w:rsidRDefault="0026786C">
            <w:pPr>
              <w:pStyle w:val="TableContents"/>
            </w:pPr>
          </w:p>
        </w:tc>
        <w:tc>
          <w:tcPr>
            <w:tcW w:w="1445" w:type="dxa"/>
            <w:tcBorders>
              <w:left w:val="single" w:sz="4" w:space="0" w:color="000000"/>
              <w:bottom w:val="single" w:sz="4" w:space="0" w:color="000000"/>
            </w:tcBorders>
          </w:tcPr>
          <w:p w:rsidR="0026786C" w:rsidRDefault="00641C2E">
            <w:pPr>
              <w:pStyle w:val="tablecolsubhead"/>
              <w:widowControl w:val="0"/>
            </w:pPr>
            <w:r>
              <w:t>Best Fold Score</w:t>
            </w:r>
          </w:p>
        </w:tc>
        <w:tc>
          <w:tcPr>
            <w:tcW w:w="1445" w:type="dxa"/>
            <w:tcBorders>
              <w:left w:val="single" w:sz="4" w:space="0" w:color="000000"/>
              <w:bottom w:val="single" w:sz="4" w:space="0" w:color="000000"/>
            </w:tcBorders>
          </w:tcPr>
          <w:p w:rsidR="0026786C" w:rsidRDefault="00641C2E">
            <w:pPr>
              <w:pStyle w:val="tablecolsubhead"/>
              <w:widowControl w:val="0"/>
            </w:pPr>
            <w:r>
              <w:t>Multi-Fold Mean (</w:t>
            </w:r>
            <w:r>
              <w:rPr>
                <w:rFonts w:eastAsia="Ubuntu" w:cs="Ubuntu"/>
              </w:rPr>
              <w:t>±SD)</w:t>
            </w:r>
          </w:p>
        </w:tc>
        <w:tc>
          <w:tcPr>
            <w:tcW w:w="1446" w:type="dxa"/>
            <w:tcBorders>
              <w:left w:val="single" w:sz="4" w:space="0" w:color="000000"/>
              <w:bottom w:val="single" w:sz="4" w:space="0" w:color="000000"/>
            </w:tcBorders>
          </w:tcPr>
          <w:p w:rsidR="0026786C" w:rsidRDefault="00641C2E">
            <w:pPr>
              <w:pStyle w:val="tablecolsubhead"/>
              <w:widowControl w:val="0"/>
            </w:pPr>
            <w:r>
              <w:t>Best Fold Score</w:t>
            </w:r>
          </w:p>
        </w:tc>
        <w:tc>
          <w:tcPr>
            <w:tcW w:w="1448" w:type="dxa"/>
            <w:tcBorders>
              <w:left w:val="single" w:sz="4" w:space="0" w:color="000000"/>
              <w:bottom w:val="single" w:sz="4" w:space="0" w:color="000000"/>
            </w:tcBorders>
          </w:tcPr>
          <w:p w:rsidR="0026786C" w:rsidRDefault="00641C2E">
            <w:pPr>
              <w:pStyle w:val="tablecolsubhead"/>
              <w:widowControl w:val="0"/>
            </w:pPr>
            <w:r>
              <w:t>Multi-Fold Mean (</w:t>
            </w:r>
            <w:r>
              <w:rPr>
                <w:rFonts w:eastAsia="Ubuntu" w:cs="Ubuntu"/>
              </w:rPr>
              <w:t>±SD)</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val="restart"/>
            <w:tcBorders>
              <w:left w:val="single" w:sz="4" w:space="0" w:color="000000"/>
              <w:bottom w:val="single" w:sz="4" w:space="0" w:color="000000"/>
            </w:tcBorders>
          </w:tcPr>
          <w:p w:rsidR="0026786C" w:rsidRDefault="00641C2E">
            <w:pPr>
              <w:pStyle w:val="tablecolsubhead"/>
              <w:widowControl w:val="0"/>
            </w:pPr>
            <w:r>
              <w:t>SVC</w:t>
            </w:r>
          </w:p>
        </w:tc>
        <w:tc>
          <w:tcPr>
            <w:tcW w:w="1447" w:type="dxa"/>
            <w:tcBorders>
              <w:left w:val="single" w:sz="4" w:space="0" w:color="000000"/>
              <w:bottom w:val="single" w:sz="4" w:space="0" w:color="000000"/>
            </w:tcBorders>
          </w:tcPr>
          <w:p w:rsidR="0026786C" w:rsidRDefault="00641C2E">
            <w:pPr>
              <w:pStyle w:val="tablecolsubhead"/>
              <w:widowControl w:val="0"/>
            </w:pPr>
            <w:r>
              <w:t>AUC</w:t>
            </w:r>
          </w:p>
        </w:tc>
        <w:tc>
          <w:tcPr>
            <w:tcW w:w="1445" w:type="dxa"/>
            <w:tcBorders>
              <w:left w:val="single" w:sz="4" w:space="0" w:color="000000"/>
              <w:bottom w:val="single" w:sz="4" w:space="0" w:color="000000"/>
            </w:tcBorders>
          </w:tcPr>
          <w:p w:rsidR="0026786C" w:rsidRDefault="00641C2E">
            <w:pPr>
              <w:pStyle w:val="tablecopy"/>
              <w:widowControl w:val="0"/>
            </w:pPr>
            <w:r>
              <w:t>0.81</w:t>
            </w:r>
          </w:p>
          <w:p w:rsidR="0026786C" w:rsidRDefault="0026786C">
            <w:pPr>
              <w:pStyle w:val="tablecopy"/>
              <w:widowControl w:val="0"/>
            </w:pPr>
          </w:p>
        </w:tc>
        <w:tc>
          <w:tcPr>
            <w:tcW w:w="1445" w:type="dxa"/>
            <w:tcBorders>
              <w:left w:val="single" w:sz="4" w:space="0" w:color="000000"/>
              <w:bottom w:val="single" w:sz="4" w:space="0" w:color="000000"/>
            </w:tcBorders>
          </w:tcPr>
          <w:p w:rsidR="0026786C" w:rsidRDefault="00641C2E">
            <w:pPr>
              <w:pStyle w:val="tablecopy"/>
              <w:widowControl w:val="0"/>
            </w:pPr>
            <w:r>
              <w:rPr>
                <w:rFonts w:asciiTheme="minorHAnsi" w:hAnsi="Calibri"/>
              </w:rPr>
              <w:t>0.49</w:t>
            </w:r>
            <w:r>
              <w:rPr>
                <w:rFonts w:eastAsia="Ubuntu" w:cs="Ubuntu"/>
              </w:rPr>
              <w:t>±</w:t>
            </w:r>
            <w:r>
              <w:rPr>
                <w:rFonts w:cstheme="minorHAnsi"/>
              </w:rPr>
              <w:t>0.19</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0.79</w:t>
            </w:r>
          </w:p>
        </w:tc>
        <w:tc>
          <w:tcPr>
            <w:tcW w:w="1448" w:type="dxa"/>
            <w:tcBorders>
              <w:left w:val="single" w:sz="4" w:space="0" w:color="000000"/>
              <w:bottom w:val="single" w:sz="4" w:space="0" w:color="000000"/>
            </w:tcBorders>
          </w:tcPr>
          <w:p w:rsidR="0026786C" w:rsidRDefault="00641C2E">
            <w:pPr>
              <w:pStyle w:val="tablecopy"/>
              <w:widowControl w:val="0"/>
            </w:pPr>
            <w:r>
              <w:t>0.51</w:t>
            </w:r>
            <w:r>
              <w:rPr>
                <w:rFonts w:eastAsia="Ubuntu" w:cs="Ubuntu"/>
              </w:rPr>
              <w:t>±0.20</w:t>
            </w:r>
          </w:p>
        </w:tc>
        <w:tc>
          <w:tcPr>
            <w:tcW w:w="1445" w:type="dxa"/>
            <w:vMerge w:val="restart"/>
            <w:tcBorders>
              <w:left w:val="single" w:sz="4" w:space="0" w:color="000000"/>
              <w:bottom w:val="single" w:sz="4" w:space="0" w:color="000000"/>
              <w:right w:val="single" w:sz="4" w:space="0" w:color="000000"/>
            </w:tcBorders>
          </w:tcPr>
          <w:p w:rsidR="0026786C" w:rsidRDefault="00641C2E">
            <w:pPr>
              <w:pStyle w:val="tablecopy"/>
              <w:widowControl w:val="0"/>
              <w:jc w:val="center"/>
            </w:pPr>
            <w:r>
              <w:t>Low (Highly efficient, deterministic training via convex optimization</w:t>
            </w: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Accuracy</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94.1%</w:t>
            </w:r>
          </w:p>
          <w:p w:rsidR="0026786C" w:rsidRDefault="0026786C">
            <w:pPr>
              <w:pStyle w:val="tablecopy"/>
              <w:widowControl w:val="0"/>
            </w:pP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rPr>
                <w:rFonts w:cstheme="minorHAnsi"/>
              </w:rPr>
              <w:t>%86</w:t>
            </w:r>
            <w:r>
              <w:rPr>
                <w:rFonts w:eastAsia="Ubuntu" w:cs="Ubuntu"/>
              </w:rPr>
              <w:t>±6</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91%</w:t>
            </w:r>
          </w:p>
        </w:tc>
        <w:tc>
          <w:tcPr>
            <w:tcW w:w="1448" w:type="dxa"/>
            <w:tcBorders>
              <w:left w:val="single" w:sz="4" w:space="0" w:color="000000"/>
              <w:bottom w:val="single" w:sz="4" w:space="0" w:color="000000"/>
            </w:tcBorders>
          </w:tcPr>
          <w:p w:rsidR="0026786C" w:rsidRDefault="00641C2E">
            <w:pPr>
              <w:pStyle w:val="tablecopy"/>
              <w:widowControl w:val="0"/>
            </w:pPr>
            <w:r>
              <w:t>80%</w:t>
            </w:r>
            <w:r>
              <w:rPr>
                <w:rFonts w:eastAsia="Ubuntu" w:cs="Ubuntu"/>
              </w:rPr>
              <w:t>±6</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F1-Score</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0.75</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rPr>
                <w:rFonts w:eastAsia="Ubuntu" w:cstheme="minorHAnsi"/>
              </w:rPr>
              <w:t>0.49</w:t>
            </w:r>
            <w:r>
              <w:rPr>
                <w:rFonts w:eastAsia="Ubuntu" w:cs="Ubuntu"/>
              </w:rPr>
              <w:t>±0.26</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0.66</w:t>
            </w:r>
          </w:p>
        </w:tc>
        <w:tc>
          <w:tcPr>
            <w:tcW w:w="1448" w:type="dxa"/>
            <w:tcBorders>
              <w:left w:val="single" w:sz="4" w:space="0" w:color="000000"/>
              <w:bottom w:val="single" w:sz="4" w:space="0" w:color="000000"/>
            </w:tcBorders>
          </w:tcPr>
          <w:p w:rsidR="0026786C" w:rsidRDefault="00641C2E">
            <w:pPr>
              <w:pStyle w:val="tablecopy"/>
              <w:widowControl w:val="0"/>
            </w:pPr>
            <w:r>
              <w:t>0.39</w:t>
            </w:r>
            <w:r>
              <w:rPr>
                <w:rFonts w:eastAsia="Ubuntu" w:cs="Ubuntu"/>
              </w:rPr>
              <w:t>±0.18</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val="restart"/>
            <w:tcBorders>
              <w:left w:val="single" w:sz="4" w:space="0" w:color="000000"/>
              <w:bottom w:val="single" w:sz="4" w:space="0" w:color="000000"/>
            </w:tcBorders>
          </w:tcPr>
          <w:p w:rsidR="0026786C" w:rsidRDefault="00641C2E">
            <w:pPr>
              <w:pStyle w:val="tablecolsubhead"/>
              <w:widowControl w:val="0"/>
            </w:pPr>
            <w:r>
              <w:t>XGBoost</w:t>
            </w:r>
          </w:p>
        </w:tc>
        <w:tc>
          <w:tcPr>
            <w:tcW w:w="1447" w:type="dxa"/>
            <w:tcBorders>
              <w:left w:val="single" w:sz="4" w:space="0" w:color="000000"/>
              <w:bottom w:val="single" w:sz="4" w:space="0" w:color="000000"/>
            </w:tcBorders>
          </w:tcPr>
          <w:p w:rsidR="0026786C" w:rsidRDefault="00641C2E">
            <w:pPr>
              <w:pStyle w:val="tablecolsubhead"/>
              <w:widowControl w:val="0"/>
            </w:pPr>
            <w:r>
              <w:t>AUC</w:t>
            </w:r>
          </w:p>
        </w:tc>
        <w:tc>
          <w:tcPr>
            <w:tcW w:w="1445" w:type="dxa"/>
            <w:tcBorders>
              <w:left w:val="single" w:sz="4" w:space="0" w:color="000000"/>
              <w:bottom w:val="single" w:sz="4" w:space="0" w:color="000000"/>
            </w:tcBorders>
          </w:tcPr>
          <w:p w:rsidR="0026786C" w:rsidRDefault="00641C2E">
            <w:pPr>
              <w:pStyle w:val="tablecopy"/>
              <w:widowControl w:val="0"/>
            </w:pPr>
            <w:r>
              <w:t>0.90</w:t>
            </w:r>
          </w:p>
        </w:tc>
        <w:tc>
          <w:tcPr>
            <w:tcW w:w="1445" w:type="dxa"/>
            <w:tcBorders>
              <w:left w:val="single" w:sz="4" w:space="0" w:color="000000"/>
              <w:bottom w:val="single" w:sz="4" w:space="0" w:color="000000"/>
            </w:tcBorders>
          </w:tcPr>
          <w:p w:rsidR="0026786C" w:rsidRDefault="00641C2E">
            <w:pPr>
              <w:pStyle w:val="tablecopy"/>
              <w:widowControl w:val="0"/>
            </w:pPr>
            <w:r>
              <w:t>0.61</w:t>
            </w:r>
            <w:r>
              <w:rPr>
                <w:rFonts w:eastAsia="Ubuntu" w:cs="Ubuntu"/>
              </w:rPr>
              <w:t>±</w:t>
            </w:r>
            <w:r>
              <w:rPr>
                <w:rFonts w:cstheme="minorHAnsi"/>
              </w:rPr>
              <w:t>0.14</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0.90</w:t>
            </w:r>
          </w:p>
        </w:tc>
        <w:tc>
          <w:tcPr>
            <w:tcW w:w="1448" w:type="dxa"/>
            <w:tcBorders>
              <w:left w:val="single" w:sz="4" w:space="0" w:color="000000"/>
              <w:bottom w:val="single" w:sz="4" w:space="0" w:color="000000"/>
            </w:tcBorders>
          </w:tcPr>
          <w:p w:rsidR="0026786C" w:rsidRDefault="00641C2E">
            <w:pPr>
              <w:pStyle w:val="tablecopy"/>
              <w:widowControl w:val="0"/>
            </w:pPr>
            <w:r>
              <w:t>0.60</w:t>
            </w:r>
            <w:r>
              <w:rPr>
                <w:rFonts w:eastAsia="Ubuntu" w:cs="Ubuntu"/>
              </w:rPr>
              <w:t>±0.20</w:t>
            </w:r>
          </w:p>
          <w:p w:rsidR="0026786C" w:rsidRDefault="0026786C">
            <w:pPr>
              <w:pStyle w:val="tablecopy"/>
              <w:widowControl w:val="0"/>
              <w:rPr>
                <w:rFonts w:eastAsia="Ubuntu" w:cs="Ubuntu"/>
                <w:sz w:val="20"/>
              </w:rPr>
            </w:pPr>
          </w:p>
        </w:tc>
        <w:tc>
          <w:tcPr>
            <w:tcW w:w="1445" w:type="dxa"/>
            <w:vMerge w:val="restart"/>
            <w:tcBorders>
              <w:left w:val="single" w:sz="4" w:space="0" w:color="000000"/>
              <w:bottom w:val="single" w:sz="4" w:space="0" w:color="000000"/>
              <w:right w:val="single" w:sz="4" w:space="0" w:color="000000"/>
            </w:tcBorders>
          </w:tcPr>
          <w:p w:rsidR="0026786C" w:rsidRDefault="00641C2E">
            <w:pPr>
              <w:pStyle w:val="tablecopy"/>
              <w:widowControl w:val="0"/>
              <w:jc w:val="center"/>
            </w:pPr>
            <w:r>
              <w:t xml:space="preserve">Moderate (Gradient boosted trees, moderate </w:t>
            </w:r>
            <w:r>
              <w:t>memory footprint)</w:t>
            </w: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Accuracy</w:t>
            </w:r>
          </w:p>
        </w:tc>
        <w:tc>
          <w:tcPr>
            <w:tcW w:w="1445" w:type="dxa"/>
            <w:tcBorders>
              <w:left w:val="single" w:sz="4" w:space="0" w:color="000000"/>
              <w:bottom w:val="single" w:sz="4" w:space="0" w:color="000000"/>
            </w:tcBorders>
          </w:tcPr>
          <w:p w:rsidR="0026786C" w:rsidRDefault="00641C2E">
            <w:pPr>
              <w:pStyle w:val="tablecopy"/>
              <w:widowControl w:val="0"/>
            </w:pPr>
            <w:r>
              <w:t>94.1</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rPr>
                <w:rFonts w:cstheme="minorHAnsi"/>
              </w:rPr>
              <w:t>%86</w:t>
            </w:r>
            <w:r>
              <w:rPr>
                <w:rFonts w:eastAsia="Ubuntu" w:cs="Ubuntu"/>
              </w:rPr>
              <w:t>±4</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85%</w:t>
            </w:r>
          </w:p>
        </w:tc>
        <w:tc>
          <w:tcPr>
            <w:tcW w:w="1448" w:type="dxa"/>
            <w:tcBorders>
              <w:left w:val="single" w:sz="4" w:space="0" w:color="000000"/>
              <w:bottom w:val="single" w:sz="4" w:space="0" w:color="000000"/>
            </w:tcBorders>
          </w:tcPr>
          <w:p w:rsidR="0026786C" w:rsidRDefault="00641C2E">
            <w:pPr>
              <w:pStyle w:val="tablecopy"/>
              <w:widowControl w:val="0"/>
            </w:pPr>
            <w:r>
              <w:t>85%</w:t>
            </w:r>
            <w:r>
              <w:rPr>
                <w:rFonts w:eastAsia="Ubuntu" w:cs="Ubuntu"/>
              </w:rPr>
              <w:t>±0</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F1-Score</w:t>
            </w:r>
          </w:p>
        </w:tc>
        <w:tc>
          <w:tcPr>
            <w:tcW w:w="1445" w:type="dxa"/>
            <w:tcBorders>
              <w:left w:val="single" w:sz="4" w:space="0" w:color="000000"/>
              <w:bottom w:val="single" w:sz="4" w:space="0" w:color="000000"/>
            </w:tcBorders>
          </w:tcPr>
          <w:p w:rsidR="0026786C" w:rsidRDefault="00641C2E">
            <w:pPr>
              <w:pStyle w:val="tablecopy"/>
              <w:widowControl w:val="0"/>
            </w:pPr>
            <w:r>
              <w:t>0.75</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0.46±0.15</w:t>
            </w:r>
          </w:p>
        </w:tc>
        <w:tc>
          <w:tcPr>
            <w:tcW w:w="1446" w:type="dxa"/>
            <w:tcBorders>
              <w:left w:val="single" w:sz="4" w:space="0" w:color="000000"/>
              <w:bottom w:val="single" w:sz="4" w:space="0" w:color="000000"/>
            </w:tcBorders>
          </w:tcPr>
          <w:p w:rsidR="0026786C" w:rsidRDefault="00641C2E">
            <w:pPr>
              <w:pStyle w:val="tablecopy"/>
              <w:widowControl w:val="0"/>
            </w:pPr>
            <w:r>
              <w:t>0</w:t>
            </w:r>
          </w:p>
        </w:tc>
        <w:tc>
          <w:tcPr>
            <w:tcW w:w="1448" w:type="dxa"/>
            <w:tcBorders>
              <w:left w:val="single" w:sz="4" w:space="0" w:color="000000"/>
              <w:bottom w:val="single" w:sz="4" w:space="0" w:color="000000"/>
            </w:tcBorders>
          </w:tcPr>
          <w:p w:rsidR="0026786C" w:rsidRDefault="00641C2E">
            <w:pPr>
              <w:pStyle w:val="tablecopy"/>
              <w:widowControl w:val="0"/>
            </w:pPr>
            <w:r>
              <w:t>0</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val="restart"/>
            <w:tcBorders>
              <w:left w:val="single" w:sz="4" w:space="0" w:color="000000"/>
              <w:bottom w:val="single" w:sz="4" w:space="0" w:color="000000"/>
            </w:tcBorders>
          </w:tcPr>
          <w:p w:rsidR="0026786C" w:rsidRDefault="00641C2E">
            <w:pPr>
              <w:pStyle w:val="tablecolsubhead"/>
              <w:widowControl w:val="0"/>
            </w:pPr>
            <w:r>
              <w:t>Random Forest</w:t>
            </w:r>
          </w:p>
        </w:tc>
        <w:tc>
          <w:tcPr>
            <w:tcW w:w="1447" w:type="dxa"/>
            <w:tcBorders>
              <w:left w:val="single" w:sz="4" w:space="0" w:color="000000"/>
              <w:bottom w:val="single" w:sz="4" w:space="0" w:color="000000"/>
            </w:tcBorders>
          </w:tcPr>
          <w:p w:rsidR="0026786C" w:rsidRDefault="00641C2E">
            <w:pPr>
              <w:pStyle w:val="tablecolsubhead"/>
              <w:widowControl w:val="0"/>
            </w:pPr>
            <w:r>
              <w:t>AUC</w:t>
            </w:r>
          </w:p>
        </w:tc>
        <w:tc>
          <w:tcPr>
            <w:tcW w:w="1445" w:type="dxa"/>
            <w:tcBorders>
              <w:left w:val="single" w:sz="4" w:space="0" w:color="000000"/>
              <w:bottom w:val="single" w:sz="4" w:space="0" w:color="000000"/>
            </w:tcBorders>
          </w:tcPr>
          <w:p w:rsidR="0026786C" w:rsidRDefault="00641C2E">
            <w:pPr>
              <w:pStyle w:val="tablecopy"/>
              <w:widowControl w:val="0"/>
            </w:pPr>
            <w:r>
              <w:t>0.94</w:t>
            </w:r>
          </w:p>
        </w:tc>
        <w:tc>
          <w:tcPr>
            <w:tcW w:w="1445" w:type="dxa"/>
            <w:tcBorders>
              <w:left w:val="single" w:sz="4" w:space="0" w:color="000000"/>
              <w:bottom w:val="single" w:sz="4" w:space="0" w:color="000000"/>
            </w:tcBorders>
          </w:tcPr>
          <w:p w:rsidR="0026786C" w:rsidRDefault="00641C2E">
            <w:pPr>
              <w:pStyle w:val="tablecopy"/>
              <w:widowControl w:val="0"/>
            </w:pPr>
            <w:r>
              <w:t>0.61</w:t>
            </w:r>
            <w:r>
              <w:rPr>
                <w:rFonts w:eastAsia="Ubuntu" w:cs="Ubuntu"/>
              </w:rPr>
              <w:t>±</w:t>
            </w:r>
            <w:r>
              <w:rPr>
                <w:rFonts w:cstheme="minorHAnsi"/>
              </w:rPr>
              <w:t>0.21</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0.69</w:t>
            </w:r>
          </w:p>
        </w:tc>
        <w:tc>
          <w:tcPr>
            <w:tcW w:w="1448" w:type="dxa"/>
            <w:tcBorders>
              <w:left w:val="single" w:sz="4" w:space="0" w:color="000000"/>
              <w:bottom w:val="single" w:sz="4" w:space="0" w:color="000000"/>
            </w:tcBorders>
          </w:tcPr>
          <w:p w:rsidR="0026786C" w:rsidRDefault="00641C2E">
            <w:pPr>
              <w:pStyle w:val="tablecopy"/>
              <w:widowControl w:val="0"/>
            </w:pPr>
            <w:r>
              <w:t>0.57</w:t>
            </w:r>
            <w:r>
              <w:rPr>
                <w:rFonts w:eastAsia="Ubuntu" w:cs="Ubuntu"/>
              </w:rPr>
              <w:t>±0.20</w:t>
            </w:r>
          </w:p>
        </w:tc>
        <w:tc>
          <w:tcPr>
            <w:tcW w:w="1445" w:type="dxa"/>
            <w:vMerge w:val="restart"/>
            <w:tcBorders>
              <w:left w:val="single" w:sz="4" w:space="0" w:color="000000"/>
              <w:bottom w:val="single" w:sz="4" w:space="0" w:color="000000"/>
              <w:right w:val="single" w:sz="4" w:space="0" w:color="000000"/>
            </w:tcBorders>
          </w:tcPr>
          <w:p w:rsidR="0026786C" w:rsidRDefault="00641C2E">
            <w:pPr>
              <w:pStyle w:val="tablecopy"/>
              <w:widowControl w:val="0"/>
              <w:jc w:val="center"/>
            </w:pPr>
            <w:r>
              <w:t xml:space="preserve">High </w:t>
            </w:r>
          </w:p>
          <w:p w:rsidR="0026786C" w:rsidRDefault="00641C2E">
            <w:pPr>
              <w:pStyle w:val="tablecopy"/>
              <w:widowControl w:val="0"/>
              <w:jc w:val="center"/>
            </w:pPr>
            <w:r>
              <w:t>(Severe resource strain; prone to timeouts under restricted cloud environments)</w:t>
            </w: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Accuracy</w:t>
            </w:r>
          </w:p>
        </w:tc>
        <w:tc>
          <w:tcPr>
            <w:tcW w:w="1445" w:type="dxa"/>
            <w:tcBorders>
              <w:left w:val="single" w:sz="4" w:space="0" w:color="000000"/>
              <w:bottom w:val="single" w:sz="4" w:space="0" w:color="000000"/>
            </w:tcBorders>
          </w:tcPr>
          <w:p w:rsidR="0026786C" w:rsidRDefault="00641C2E">
            <w:pPr>
              <w:pStyle w:val="tablecopy"/>
              <w:widowControl w:val="0"/>
            </w:pPr>
            <w:r>
              <w:t>94.1%</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rPr>
                <w:rFonts w:cstheme="minorHAnsi"/>
              </w:rPr>
              <w:t>%86</w:t>
            </w:r>
            <w:r>
              <w:rPr>
                <w:rFonts w:eastAsia="Ubuntu" w:cs="Ubuntu"/>
              </w:rPr>
              <w:t>±4</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94%</w:t>
            </w:r>
          </w:p>
        </w:tc>
        <w:tc>
          <w:tcPr>
            <w:tcW w:w="1448" w:type="dxa"/>
            <w:tcBorders>
              <w:left w:val="single" w:sz="4" w:space="0" w:color="000000"/>
              <w:bottom w:val="single" w:sz="4" w:space="0" w:color="000000"/>
            </w:tcBorders>
          </w:tcPr>
          <w:p w:rsidR="0026786C" w:rsidRDefault="00641C2E">
            <w:pPr>
              <w:pStyle w:val="tablecopy"/>
              <w:widowControl w:val="0"/>
            </w:pPr>
            <w:r>
              <w:t>86%</w:t>
            </w:r>
            <w:r>
              <w:rPr>
                <w:rFonts w:eastAsia="Ubuntu" w:cs="Ubuntu"/>
              </w:rPr>
              <w:t>±5</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F1-Score</w:t>
            </w:r>
          </w:p>
        </w:tc>
        <w:tc>
          <w:tcPr>
            <w:tcW w:w="1445" w:type="dxa"/>
            <w:tcBorders>
              <w:left w:val="single" w:sz="4" w:space="0" w:color="000000"/>
              <w:bottom w:val="single" w:sz="4" w:space="0" w:color="000000"/>
            </w:tcBorders>
          </w:tcPr>
          <w:p w:rsidR="0026786C" w:rsidRDefault="00641C2E">
            <w:pPr>
              <w:pStyle w:val="tablecopy"/>
              <w:widowControl w:val="0"/>
            </w:pPr>
            <w:r>
              <w:t>0.80</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0.40±0.26</w:t>
            </w:r>
          </w:p>
        </w:tc>
        <w:tc>
          <w:tcPr>
            <w:tcW w:w="1446" w:type="dxa"/>
            <w:tcBorders>
              <w:left w:val="single" w:sz="4" w:space="0" w:color="000000"/>
              <w:bottom w:val="single" w:sz="4" w:space="0" w:color="000000"/>
            </w:tcBorders>
          </w:tcPr>
          <w:p w:rsidR="0026786C" w:rsidRDefault="00641C2E">
            <w:pPr>
              <w:pStyle w:val="tablecopy"/>
              <w:widowControl w:val="0"/>
            </w:pPr>
            <w:r>
              <w:t>0.75</w:t>
            </w:r>
          </w:p>
        </w:tc>
        <w:tc>
          <w:tcPr>
            <w:tcW w:w="1448" w:type="dxa"/>
            <w:tcBorders>
              <w:left w:val="single" w:sz="4" w:space="0" w:color="000000"/>
              <w:bottom w:val="single" w:sz="4" w:space="0" w:color="000000"/>
            </w:tcBorders>
          </w:tcPr>
          <w:p w:rsidR="0026786C" w:rsidRDefault="00641C2E">
            <w:pPr>
              <w:pStyle w:val="tablecopy"/>
              <w:widowControl w:val="0"/>
            </w:pPr>
            <w:r>
              <w:t>0.38</w:t>
            </w:r>
            <w:r>
              <w:rPr>
                <w:rFonts w:eastAsia="Ubuntu" w:cs="Ubuntu"/>
              </w:rPr>
              <w:t>±0.25</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val="restart"/>
            <w:tcBorders>
              <w:left w:val="single" w:sz="4" w:space="0" w:color="000000"/>
              <w:bottom w:val="single" w:sz="4" w:space="0" w:color="000000"/>
            </w:tcBorders>
          </w:tcPr>
          <w:p w:rsidR="0026786C" w:rsidRDefault="00641C2E">
            <w:pPr>
              <w:pStyle w:val="tablecolsubhead"/>
              <w:widowControl w:val="0"/>
            </w:pPr>
            <w:r>
              <w:t>KNN</w:t>
            </w:r>
          </w:p>
        </w:tc>
        <w:tc>
          <w:tcPr>
            <w:tcW w:w="1447" w:type="dxa"/>
            <w:tcBorders>
              <w:left w:val="single" w:sz="4" w:space="0" w:color="000000"/>
              <w:bottom w:val="single" w:sz="4" w:space="0" w:color="000000"/>
            </w:tcBorders>
          </w:tcPr>
          <w:p w:rsidR="0026786C" w:rsidRDefault="00641C2E">
            <w:pPr>
              <w:pStyle w:val="tablecolsubhead"/>
              <w:widowControl w:val="0"/>
            </w:pPr>
            <w:r>
              <w:t>AUC</w:t>
            </w:r>
          </w:p>
        </w:tc>
        <w:tc>
          <w:tcPr>
            <w:tcW w:w="1445" w:type="dxa"/>
            <w:tcBorders>
              <w:left w:val="single" w:sz="4" w:space="0" w:color="000000"/>
              <w:bottom w:val="single" w:sz="4" w:space="0" w:color="000000"/>
            </w:tcBorders>
          </w:tcPr>
          <w:p w:rsidR="0026786C" w:rsidRDefault="00641C2E">
            <w:pPr>
              <w:pStyle w:val="tablecopy"/>
              <w:widowControl w:val="0"/>
            </w:pPr>
            <w:r>
              <w:t>0.81</w:t>
            </w:r>
          </w:p>
        </w:tc>
        <w:tc>
          <w:tcPr>
            <w:tcW w:w="1445" w:type="dxa"/>
            <w:tcBorders>
              <w:left w:val="single" w:sz="4" w:space="0" w:color="000000"/>
              <w:bottom w:val="single" w:sz="4" w:space="0" w:color="000000"/>
            </w:tcBorders>
          </w:tcPr>
          <w:p w:rsidR="0026786C" w:rsidRDefault="00641C2E">
            <w:pPr>
              <w:pStyle w:val="tablecopy"/>
              <w:widowControl w:val="0"/>
            </w:pPr>
            <w:r>
              <w:t>0.49±.025</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0.78</w:t>
            </w:r>
          </w:p>
        </w:tc>
        <w:tc>
          <w:tcPr>
            <w:tcW w:w="1448" w:type="dxa"/>
            <w:tcBorders>
              <w:left w:val="single" w:sz="4" w:space="0" w:color="000000"/>
              <w:bottom w:val="single" w:sz="4" w:space="0" w:color="000000"/>
            </w:tcBorders>
          </w:tcPr>
          <w:p w:rsidR="0026786C" w:rsidRDefault="00641C2E">
            <w:pPr>
              <w:pStyle w:val="tablecopy"/>
              <w:widowControl w:val="0"/>
            </w:pPr>
            <w:r>
              <w:t>0.45±.0.20</w:t>
            </w:r>
          </w:p>
        </w:tc>
        <w:tc>
          <w:tcPr>
            <w:tcW w:w="1445" w:type="dxa"/>
            <w:vMerge w:val="restart"/>
            <w:tcBorders>
              <w:left w:val="single" w:sz="4" w:space="0" w:color="000000"/>
              <w:bottom w:val="single" w:sz="4" w:space="0" w:color="000000"/>
              <w:right w:val="single" w:sz="4" w:space="0" w:color="000000"/>
            </w:tcBorders>
          </w:tcPr>
          <w:p w:rsidR="0026786C" w:rsidRDefault="00641C2E">
            <w:pPr>
              <w:pStyle w:val="tablecopy"/>
              <w:widowControl w:val="0"/>
              <w:jc w:val="center"/>
            </w:pPr>
            <w:r>
              <w:t>Low (Instance-based, but storage-dependent)</w:t>
            </w: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Accuracy</w:t>
            </w:r>
          </w:p>
        </w:tc>
        <w:tc>
          <w:tcPr>
            <w:tcW w:w="1445" w:type="dxa"/>
            <w:tcBorders>
              <w:left w:val="single" w:sz="4" w:space="0" w:color="000000"/>
              <w:bottom w:val="single" w:sz="4" w:space="0" w:color="000000"/>
            </w:tcBorders>
          </w:tcPr>
          <w:p w:rsidR="0026786C" w:rsidRDefault="00641C2E">
            <w:pPr>
              <w:pStyle w:val="tablecopy"/>
              <w:widowControl w:val="0"/>
            </w:pPr>
            <w:r>
              <w:t>85%</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%76±7</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88%</w:t>
            </w:r>
          </w:p>
        </w:tc>
        <w:tc>
          <w:tcPr>
            <w:tcW w:w="1448" w:type="dxa"/>
            <w:tcBorders>
              <w:left w:val="single" w:sz="4" w:space="0" w:color="000000"/>
              <w:bottom w:val="single" w:sz="4" w:space="0" w:color="000000"/>
            </w:tcBorders>
          </w:tcPr>
          <w:p w:rsidR="0026786C" w:rsidRDefault="00641C2E">
            <w:pPr>
              <w:pStyle w:val="tablecopy"/>
              <w:widowControl w:val="0"/>
            </w:pPr>
            <w:r>
              <w:t>85%±1</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F1-Score</w:t>
            </w:r>
          </w:p>
        </w:tc>
        <w:tc>
          <w:tcPr>
            <w:tcW w:w="1445" w:type="dxa"/>
            <w:tcBorders>
              <w:left w:val="single" w:sz="4" w:space="0" w:color="000000"/>
              <w:bottom w:val="single" w:sz="4" w:space="0" w:color="000000"/>
            </w:tcBorders>
          </w:tcPr>
          <w:p w:rsidR="0026786C" w:rsidRDefault="00641C2E">
            <w:pPr>
              <w:pStyle w:val="tablecopy"/>
              <w:widowControl w:val="0"/>
            </w:pPr>
            <w:r>
              <w:t>0.54</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0.42±.012</w:t>
            </w:r>
          </w:p>
        </w:tc>
        <w:tc>
          <w:tcPr>
            <w:tcW w:w="1446" w:type="dxa"/>
            <w:tcBorders>
              <w:left w:val="single" w:sz="4" w:space="0" w:color="000000"/>
              <w:bottom w:val="single" w:sz="4" w:space="0" w:color="000000"/>
            </w:tcBorders>
          </w:tcPr>
          <w:p w:rsidR="0026786C" w:rsidRDefault="00641C2E">
            <w:pPr>
              <w:pStyle w:val="tablecopy"/>
              <w:widowControl w:val="0"/>
            </w:pPr>
            <w:r>
              <w:t>0.33</w:t>
            </w:r>
          </w:p>
        </w:tc>
        <w:tc>
          <w:tcPr>
            <w:tcW w:w="1448" w:type="dxa"/>
            <w:tcBorders>
              <w:left w:val="single" w:sz="4" w:space="0" w:color="000000"/>
              <w:bottom w:val="single" w:sz="4" w:space="0" w:color="000000"/>
            </w:tcBorders>
          </w:tcPr>
          <w:p w:rsidR="0026786C" w:rsidRDefault="00641C2E">
            <w:pPr>
              <w:pStyle w:val="tablecopy"/>
              <w:widowControl w:val="0"/>
            </w:pPr>
            <w:r>
              <w:t>0.06±.013</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val="restart"/>
            <w:tcBorders>
              <w:left w:val="single" w:sz="4" w:space="0" w:color="000000"/>
              <w:bottom w:val="single" w:sz="4" w:space="0" w:color="000000"/>
            </w:tcBorders>
          </w:tcPr>
          <w:p w:rsidR="0026786C" w:rsidRDefault="00641C2E">
            <w:pPr>
              <w:pStyle w:val="tablecolsubhead"/>
              <w:widowControl w:val="0"/>
            </w:pPr>
            <w:r>
              <w:t>Logistic Regression</w:t>
            </w:r>
          </w:p>
        </w:tc>
        <w:tc>
          <w:tcPr>
            <w:tcW w:w="1447" w:type="dxa"/>
            <w:tcBorders>
              <w:left w:val="single" w:sz="4" w:space="0" w:color="000000"/>
              <w:bottom w:val="single" w:sz="4" w:space="0" w:color="000000"/>
            </w:tcBorders>
          </w:tcPr>
          <w:p w:rsidR="0026786C" w:rsidRDefault="00641C2E">
            <w:pPr>
              <w:pStyle w:val="tablecolsubhead"/>
              <w:widowControl w:val="0"/>
            </w:pPr>
            <w:r>
              <w:t>AUC</w:t>
            </w:r>
          </w:p>
        </w:tc>
        <w:tc>
          <w:tcPr>
            <w:tcW w:w="1445" w:type="dxa"/>
            <w:tcBorders>
              <w:left w:val="single" w:sz="4" w:space="0" w:color="000000"/>
              <w:bottom w:val="single" w:sz="4" w:space="0" w:color="000000"/>
            </w:tcBorders>
          </w:tcPr>
          <w:p w:rsidR="0026786C" w:rsidRDefault="00641C2E">
            <w:pPr>
              <w:pStyle w:val="tablecopy"/>
              <w:widowControl w:val="0"/>
            </w:pPr>
            <w:r>
              <w:t>0.52</w:t>
            </w:r>
          </w:p>
        </w:tc>
        <w:tc>
          <w:tcPr>
            <w:tcW w:w="1445" w:type="dxa"/>
            <w:tcBorders>
              <w:left w:val="single" w:sz="4" w:space="0" w:color="000000"/>
              <w:bottom w:val="single" w:sz="4" w:space="0" w:color="000000"/>
            </w:tcBorders>
          </w:tcPr>
          <w:p w:rsidR="0026786C" w:rsidRDefault="00641C2E">
            <w:pPr>
              <w:pStyle w:val="tablecopy"/>
              <w:widowControl w:val="0"/>
            </w:pPr>
            <w:r>
              <w:t>0.51±0.15</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0.72</w:t>
            </w:r>
          </w:p>
        </w:tc>
        <w:tc>
          <w:tcPr>
            <w:tcW w:w="1448" w:type="dxa"/>
            <w:tcBorders>
              <w:left w:val="single" w:sz="4" w:space="0" w:color="000000"/>
              <w:bottom w:val="single" w:sz="4" w:space="0" w:color="000000"/>
            </w:tcBorders>
          </w:tcPr>
          <w:p w:rsidR="0026786C" w:rsidRDefault="00641C2E">
            <w:pPr>
              <w:pStyle w:val="tablecopy"/>
              <w:widowControl w:val="0"/>
            </w:pPr>
            <w:r>
              <w:t>0.62±0.17</w:t>
            </w:r>
          </w:p>
        </w:tc>
        <w:tc>
          <w:tcPr>
            <w:tcW w:w="1445" w:type="dxa"/>
            <w:vMerge w:val="restart"/>
            <w:tcBorders>
              <w:left w:val="single" w:sz="4" w:space="0" w:color="000000"/>
              <w:bottom w:val="single" w:sz="4" w:space="0" w:color="000000"/>
              <w:right w:val="single" w:sz="4" w:space="0" w:color="000000"/>
            </w:tcBorders>
          </w:tcPr>
          <w:p w:rsidR="0026786C" w:rsidRDefault="00641C2E">
            <w:pPr>
              <w:pStyle w:val="tablecopy"/>
              <w:widowControl w:val="0"/>
              <w:jc w:val="center"/>
            </w:pPr>
            <w:r>
              <w:t>Low (Linear baseline)</w:t>
            </w: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Accuracy</w:t>
            </w:r>
          </w:p>
        </w:tc>
        <w:tc>
          <w:tcPr>
            <w:tcW w:w="1445" w:type="dxa"/>
            <w:tcBorders>
              <w:left w:val="single" w:sz="4" w:space="0" w:color="000000"/>
              <w:bottom w:val="single" w:sz="4" w:space="0" w:color="000000"/>
            </w:tcBorders>
          </w:tcPr>
          <w:p w:rsidR="0026786C" w:rsidRDefault="00641C2E">
            <w:pPr>
              <w:pStyle w:val="tablecopy"/>
              <w:widowControl w:val="0"/>
            </w:pPr>
            <w:r>
              <w:t>88%</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%72±13</w:t>
            </w:r>
          </w:p>
          <w:p w:rsidR="0026786C" w:rsidRDefault="0026786C">
            <w:pPr>
              <w:pStyle w:val="tablecopy"/>
              <w:widowControl w:val="0"/>
            </w:pPr>
          </w:p>
        </w:tc>
        <w:tc>
          <w:tcPr>
            <w:tcW w:w="1446" w:type="dxa"/>
            <w:tcBorders>
              <w:left w:val="single" w:sz="4" w:space="0" w:color="000000"/>
              <w:bottom w:val="single" w:sz="4" w:space="0" w:color="000000"/>
            </w:tcBorders>
          </w:tcPr>
          <w:p w:rsidR="0026786C" w:rsidRDefault="00641C2E">
            <w:pPr>
              <w:pStyle w:val="tablecopy"/>
              <w:widowControl w:val="0"/>
            </w:pPr>
            <w:r>
              <w:t>76%</w:t>
            </w:r>
          </w:p>
        </w:tc>
        <w:tc>
          <w:tcPr>
            <w:tcW w:w="1448" w:type="dxa"/>
            <w:tcBorders>
              <w:left w:val="single" w:sz="4" w:space="0" w:color="000000"/>
              <w:bottom w:val="single" w:sz="4" w:space="0" w:color="000000"/>
            </w:tcBorders>
          </w:tcPr>
          <w:p w:rsidR="0026786C" w:rsidRDefault="00641C2E">
            <w:pPr>
              <w:pStyle w:val="tablecopy"/>
              <w:widowControl w:val="0"/>
            </w:pPr>
            <w:r>
              <w:t>64%±12</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r w:rsidR="0026786C">
        <w:tc>
          <w:tcPr>
            <w:tcW w:w="1443" w:type="dxa"/>
            <w:vMerge/>
            <w:tcBorders>
              <w:left w:val="single" w:sz="4" w:space="0" w:color="000000"/>
              <w:bottom w:val="single" w:sz="4" w:space="0" w:color="000000"/>
            </w:tcBorders>
          </w:tcPr>
          <w:p w:rsidR="0026786C" w:rsidRDefault="0026786C">
            <w:pPr>
              <w:pStyle w:val="tablecolsubhead"/>
              <w:widowControl w:val="0"/>
            </w:pPr>
          </w:p>
        </w:tc>
        <w:tc>
          <w:tcPr>
            <w:tcW w:w="1447" w:type="dxa"/>
            <w:tcBorders>
              <w:left w:val="single" w:sz="4" w:space="0" w:color="000000"/>
              <w:bottom w:val="single" w:sz="4" w:space="0" w:color="000000"/>
            </w:tcBorders>
          </w:tcPr>
          <w:p w:rsidR="0026786C" w:rsidRDefault="00641C2E">
            <w:pPr>
              <w:pStyle w:val="tablecolsubhead"/>
              <w:widowControl w:val="0"/>
            </w:pPr>
            <w:r>
              <w:t>F1-Score</w:t>
            </w:r>
          </w:p>
        </w:tc>
        <w:tc>
          <w:tcPr>
            <w:tcW w:w="1445" w:type="dxa"/>
            <w:tcBorders>
              <w:left w:val="single" w:sz="4" w:space="0" w:color="000000"/>
              <w:bottom w:val="single" w:sz="4" w:space="0" w:color="000000"/>
            </w:tcBorders>
          </w:tcPr>
          <w:p w:rsidR="0026786C" w:rsidRDefault="00641C2E">
            <w:pPr>
              <w:pStyle w:val="tablecopy"/>
              <w:widowControl w:val="0"/>
            </w:pPr>
            <w:r>
              <w:t>0.50</w:t>
            </w:r>
          </w:p>
        </w:tc>
        <w:tc>
          <w:tcPr>
            <w:tcW w:w="1445" w:type="dxa"/>
            <w:tcBorders>
              <w:left w:val="single" w:sz="4" w:space="0" w:color="000000"/>
              <w:bottom w:val="single" w:sz="4" w:space="0" w:color="000000"/>
            </w:tcBorders>
          </w:tcPr>
          <w:p w:rsidR="0026786C" w:rsidRDefault="0026786C">
            <w:pPr>
              <w:pStyle w:val="tablecopy"/>
              <w:widowControl w:val="0"/>
            </w:pPr>
          </w:p>
          <w:p w:rsidR="0026786C" w:rsidRDefault="00641C2E">
            <w:pPr>
              <w:pStyle w:val="tablecopy"/>
              <w:widowControl w:val="0"/>
            </w:pPr>
            <w:r>
              <w:t>0.44±0.10</w:t>
            </w:r>
          </w:p>
        </w:tc>
        <w:tc>
          <w:tcPr>
            <w:tcW w:w="1446" w:type="dxa"/>
            <w:tcBorders>
              <w:left w:val="single" w:sz="4" w:space="0" w:color="000000"/>
              <w:bottom w:val="single" w:sz="4" w:space="0" w:color="000000"/>
            </w:tcBorders>
          </w:tcPr>
          <w:p w:rsidR="0026786C" w:rsidRDefault="00641C2E">
            <w:pPr>
              <w:pStyle w:val="tablecopy"/>
              <w:widowControl w:val="0"/>
            </w:pPr>
            <w:r>
              <w:t>0.55</w:t>
            </w:r>
          </w:p>
        </w:tc>
        <w:tc>
          <w:tcPr>
            <w:tcW w:w="1448" w:type="dxa"/>
            <w:tcBorders>
              <w:left w:val="single" w:sz="4" w:space="0" w:color="000000"/>
              <w:bottom w:val="single" w:sz="4" w:space="0" w:color="000000"/>
            </w:tcBorders>
          </w:tcPr>
          <w:p w:rsidR="0026786C" w:rsidRDefault="00641C2E">
            <w:pPr>
              <w:pStyle w:val="tablecopy"/>
              <w:widowControl w:val="0"/>
            </w:pPr>
            <w:r>
              <w:t>0.42±0.09</w:t>
            </w:r>
          </w:p>
        </w:tc>
        <w:tc>
          <w:tcPr>
            <w:tcW w:w="1445" w:type="dxa"/>
            <w:vMerge/>
            <w:tcBorders>
              <w:left w:val="single" w:sz="4" w:space="0" w:color="000000"/>
              <w:bottom w:val="single" w:sz="4" w:space="0" w:color="000000"/>
              <w:right w:val="single" w:sz="4" w:space="0" w:color="000000"/>
            </w:tcBorders>
          </w:tcPr>
          <w:p w:rsidR="0026786C" w:rsidRDefault="0026786C">
            <w:pPr>
              <w:pStyle w:val="TableContents"/>
            </w:pPr>
          </w:p>
        </w:tc>
      </w:tr>
    </w:tbl>
    <w:p w:rsidR="0026786C" w:rsidRDefault="0026786C">
      <w:pPr>
        <w:pStyle w:val="tablehead"/>
        <w:numPr>
          <w:ilvl w:val="0"/>
          <w:numId w:val="0"/>
        </w:numPr>
      </w:pPr>
    </w:p>
    <w:p w:rsidR="0026786C" w:rsidRDefault="0026786C">
      <w:pPr>
        <w:sectPr w:rsidR="0026786C">
          <w:type w:val="continuous"/>
          <w:pgSz w:w="11906" w:h="16838"/>
          <w:pgMar w:top="540" w:right="893" w:bottom="1440" w:left="893" w:header="0" w:footer="0" w:gutter="0"/>
          <w:cols w:space="708"/>
          <w:formProt w:val="0"/>
          <w:docGrid w:linePitch="360" w:charSpace="16384"/>
        </w:sectPr>
      </w:pPr>
    </w:p>
    <w:p w:rsidR="0026786C" w:rsidRDefault="00641C2E">
      <w:pPr>
        <w:pStyle w:val="Balk1"/>
      </w:pPr>
      <w:r>
        <w:t>Results</w:t>
      </w:r>
    </w:p>
    <w:p w:rsidR="0026786C" w:rsidRDefault="0026786C"/>
    <w:p w:rsidR="0026786C" w:rsidRDefault="00641C2E">
      <w:pPr>
        <w:pStyle w:val="GvdeMetni"/>
      </w:pPr>
      <w:r>
        <w:rPr>
          <w:rFonts w:eastAsia="Times New Roman"/>
        </w:rPr>
        <w:t xml:space="preserve">The proposed radiomics-based machine learning framework was evaluated using a nested cross-validation [14] </w:t>
      </w:r>
      <w:r>
        <w:rPr>
          <w:rFonts w:eastAsia="Times New Roman"/>
        </w:rPr>
        <w:t xml:space="preserve">strategy across a variety of classifiers, both with and without SMOTE resampling, to ensure robustness under limited and imbalanced data conditions. Across the five outer folds, all </w:t>
      </w:r>
      <w:r>
        <w:rPr>
          <w:rFonts w:eastAsia="Times New Roman"/>
        </w:rPr>
        <w:t>classifiers’ performances varied dramatically depending on how the 69-case</w:t>
      </w:r>
      <w:r>
        <w:rPr>
          <w:rFonts w:eastAsia="Times New Roman"/>
        </w:rPr>
        <w:t xml:space="preserve"> cohort-and particularly the 11 angiomyolipoma cases-was partitioned between training and test sets.</w:t>
      </w:r>
    </w:p>
    <w:p w:rsidR="0026786C" w:rsidRDefault="00641C2E">
      <w:pPr>
        <w:pStyle w:val="GvdeMetni"/>
      </w:pPr>
      <w:r>
        <w:rPr>
          <w:rFonts w:eastAsia="Times New Roman"/>
        </w:rPr>
        <w:t>As shown in Table I, while complex tree ensembles achieved impressive localized peak metrics on isolated “lucky” splits (with Random Forest and XGBoost rea</w:t>
      </w:r>
      <w:r>
        <w:rPr>
          <w:rFonts w:eastAsia="Times New Roman"/>
        </w:rPr>
        <w:t xml:space="preserve">ching </w:t>
      </w:r>
      <w:r>
        <w:rPr>
          <w:rFonts w:eastAsia="Times New Roman"/>
        </w:rPr>
        <w:lastRenderedPageBreak/>
        <w:t>peak outer-fold AUCs of 0.94 and 0.90, respectively), their full multi-fold distributions revealed a uniform collapse toward random chance. The baseline Support Vector Machine (SVC) mirrored this exact patters, achieving a single-fold peak AUC of 0.8</w:t>
      </w:r>
      <w:r>
        <w:rPr>
          <w:rFonts w:eastAsia="Times New Roman"/>
        </w:rPr>
        <w:t>1, an accuracy of 94.1%, and an F1-score of 0.75 under SMOTE configuration. Considered in isolation, this specific split would represent a strong, clinically promising result. However, the full multi-fold average metrics remained heavily depressed (e.g., S</w:t>
      </w:r>
      <w:r>
        <w:rPr>
          <w:rFonts w:eastAsia="Times New Roman"/>
        </w:rPr>
        <w:t>VC mean AUC of 0.49</w:t>
      </w:r>
      <w:r>
        <w:t>±0.19, accuracy of 86%±6%, and F1-score of 0.49±0.26).</w:t>
      </w:r>
    </w:p>
    <w:p w:rsidR="0026786C" w:rsidRDefault="00641C2E">
      <w:pPr>
        <w:pStyle w:val="GvdeMetni"/>
      </w:pPr>
      <w:r>
        <w:rPr>
          <w:rFonts w:eastAsia="Times New Roman"/>
        </w:rPr>
        <w:t>Crucially, incorporating the non-resampled baseline revealed that tabular oversampling provided no genuine diagnostic gain over unhandled class imbalance across all  models (e.g., SV</w:t>
      </w:r>
      <w:r>
        <w:rPr>
          <w:rFonts w:eastAsia="Times New Roman"/>
        </w:rPr>
        <w:t>C mean AUC of 0.51</w:t>
      </w:r>
      <w:r>
        <w:t>±0.20 and F1-Score ±0.18 without SMOTE). While unhandled imbalance caused structural majority-class bias (yielding an absolute zero F1-score across all folds for XGBoost), the introduction of SMOTE merely traded systematic bias for extrem</w:t>
      </w:r>
      <w:r>
        <w:t>e single-fold volatility without stabilizing the underlying decision boundary.</w:t>
      </w:r>
    </w:p>
    <w:p w:rsidR="0026786C" w:rsidRDefault="00641C2E">
      <w:pPr>
        <w:pStyle w:val="GvdeMetni"/>
        <w:rPr>
          <w:rFonts w:eastAsia="Times New Roman"/>
        </w:rPr>
      </w:pPr>
      <w:r>
        <w:t>Furthermore, Table II reports that the optimal hyperparameter configurations independently selected for SVC within each inner loop were highly unstable across folds, demonstrati</w:t>
      </w:r>
      <w:r>
        <w:t>ng that inner-loop grid searches converged on fundamentally different feature counts, balancing weights, and classifier setting depending on the minor variations of the training partitions.</w:t>
      </w:r>
    </w:p>
    <w:p w:rsidR="0026786C" w:rsidRDefault="00641C2E">
      <w:pPr>
        <w:pStyle w:val="Balk1"/>
      </w:pPr>
      <w:r>
        <w:t>Discussion</w:t>
      </w:r>
    </w:p>
    <w:p w:rsidR="0026786C" w:rsidRDefault="00641C2E">
      <w:pPr>
        <w:pStyle w:val="GvdeMetni"/>
        <w:rPr>
          <w:lang w:val="en-US"/>
        </w:rPr>
      </w:pPr>
      <w:r>
        <w:t>The s</w:t>
      </w:r>
      <w:r>
        <w:rPr>
          <w:lang w:val="en-US"/>
        </w:rPr>
        <w:t>imultaneous evaluation of our pipeline’s performan</w:t>
      </w:r>
      <w:r>
        <w:rPr>
          <w:lang w:val="en-US"/>
        </w:rPr>
        <w:t>ce with and without SMOTE reveals a critical methodological reality: tabular oversampling provides no meaningful performance gain over unhandled class imbalance. In both experimental arms, the multi-fold average performance flatlines at random chance. This</w:t>
      </w:r>
      <w:r>
        <w:rPr>
          <w:lang w:val="en-US"/>
        </w:rPr>
        <w:t xml:space="preserve"> lack of improvement indicates that the extracted feature space lacks a stable discriminative signal under raw conditions. However, the true danger lies in the severe single-fold volatility introduced by SMOTE, which produced an isolated peak AUC of 0.81 i</w:t>
      </w:r>
      <w:r>
        <w:rPr>
          <w:lang w:val="en-US"/>
        </w:rPr>
        <w:t>n Fold 2 for SVC. This empirical finding demonstrates how feature-space oversampling can easily fabricate the false appearance of a highly successful classification model out of data that is otherwise statistically indistinguishable from noise.</w:t>
      </w:r>
    </w:p>
    <w:p w:rsidR="0026786C" w:rsidRDefault="00641C2E">
      <w:pPr>
        <w:pStyle w:val="Balk2"/>
      </w:pPr>
      <w:r>
        <w:t>Geometric F</w:t>
      </w:r>
      <w:r>
        <w:t>ailure of SMOTE Under Severe Data Scarcity</w:t>
      </w:r>
    </w:p>
    <w:p w:rsidR="0026786C" w:rsidRDefault="00641C2E">
      <w:pPr>
        <w:pStyle w:val="GvdeMetni"/>
        <w:rPr>
          <w:lang w:val="en-US"/>
        </w:rPr>
      </w:pPr>
      <w:r>
        <w:t xml:space="preserve">This architectural volatility stems directly from the mathematical constraints of high-dimensional interpolation. SMOTE synthesizes minority instances by linearly interpolating between an original minority sample </w:t>
      </w:r>
      <w:r>
        <w:t>and its nearest intra-class neighbors [18]. In this study, the interpolation pool was restricted to 11 original AML cases, reducing it to just 8 or 9 vectors within any given training split.</w:t>
      </w:r>
    </w:p>
    <w:p w:rsidR="0026786C" w:rsidRDefault="00641C2E">
      <w:pPr>
        <w:pStyle w:val="GvdeMetni"/>
        <w:rPr>
          <w:lang w:val="en-US"/>
        </w:rPr>
      </w:pPr>
      <w:r>
        <w:t>In a feature space of D = 1182 dimensions, 8 to 11 points represe</w:t>
      </w:r>
      <w:r>
        <w:t xml:space="preserve">nt extreme geometric sparsity that cannot sample the true distribution of angiomyolipoma phenotypes. The resulting synthetic samples are constrained to arbitrary line segments, forming tight </w:t>
      </w:r>
      <w:r>
        <w:rPr>
          <w:i/>
        </w:rPr>
        <w:t>synthetic noise clusters</w:t>
      </w:r>
      <w:r>
        <w:t xml:space="preserve"> that reflect the idiosyncrasies of the s</w:t>
      </w:r>
      <w:r>
        <w:t>pecific training partition rather than genuine biological variability. As the training pool shifts with each cross-validation fold, the synthesized minority region shifts correspondingly, dragging the SVC decision boundary with it.</w:t>
      </w:r>
    </w:p>
    <w:p w:rsidR="0026786C" w:rsidRDefault="00641C2E">
      <w:pPr>
        <w:pStyle w:val="GvdeMetni"/>
        <w:rPr>
          <w:lang w:val="en-US"/>
        </w:rPr>
      </w:pPr>
      <w:r>
        <w:t>This aligns with establi</w:t>
      </w:r>
      <w:r>
        <w:t>shed evidence that SMOTE's low-dimensional benefits do not extend to high-dimensional, small-sample regimes, where the technique fails to attenuate majority-class bias, decreases data variability, and introduces spurious correlation structures [19]. Indepe</w:t>
      </w:r>
      <w:r>
        <w:t>ndent radiomics cohorts similarly confirm that small samples and difficult classification tasks yield highly unstable AUC estimates across different splits [20]. Our findings extend this to feature-space oversampling under severe class imbalance: even a ma</w:t>
      </w:r>
      <w:r>
        <w:t>rgin-maximizing classifier like the SVM [12,13] is only as stable as the data defining its support vectors, and 11 original cases cannot reliably anchor that boundary.</w:t>
      </w:r>
    </w:p>
    <w:p w:rsidR="0026786C" w:rsidRDefault="00641C2E">
      <w:pPr>
        <w:pStyle w:val="Balk2"/>
      </w:pPr>
      <w:r>
        <w:t>Baseline Dual-State Emprical Proof</w:t>
      </w:r>
    </w:p>
    <w:p w:rsidR="0026786C" w:rsidRDefault="00641C2E">
      <w:pPr>
        <w:pStyle w:val="GvdeMetni"/>
      </w:pPr>
      <w:r>
        <w:t xml:space="preserve">While our raw baseline performance ( </w:t>
      </w:r>
      <w:r>
        <w:rPr>
          <w:rFonts w:eastAsia="Times New Roman"/>
        </w:rPr>
        <w:t>AUC of 0.51</w:t>
      </w:r>
      <w:r>
        <w:t>±0.20</w:t>
      </w:r>
      <w:r>
        <w:t xml:space="preserve"> suggests the PyRadiomics features are irrelevant noise, a chance-level baseline on a small, imbalanced cohort (N = 69; 58 RCC, 11 AML) is insufficient alone to prove feature irrelevance. Under unhandled conditions, standard optimization naturally succumbs</w:t>
      </w:r>
      <w:r>
        <w:t xml:space="preserve"> to majority-class bias to maximize global accuracy on the $84\%$ dominant class, while a weak biological signal can be entirely masked by high-dimensional swamping (D = 1182). Thus, a raw baseline cannot differentiate between optimization failure and true</w:t>
      </w:r>
      <w:r>
        <w:t xml:space="preserve"> feature noise.</w:t>
      </w:r>
    </w:p>
    <w:p w:rsidR="0026786C" w:rsidRDefault="00641C2E">
      <w:pPr>
        <w:pStyle w:val="GvdeMetni"/>
      </w:pPr>
      <w:r>
        <w:t>Definitive proof of pipeline failure is only established by analyzing both experimental arms together:</w:t>
      </w:r>
    </w:p>
    <w:p w:rsidR="0026786C" w:rsidRDefault="00641C2E">
      <w:pPr>
        <w:pStyle w:val="GvdeMetni"/>
      </w:pPr>
      <w:r>
        <w:t xml:space="preserve">Baseline Arm (No SMOTE): Mean AUC= </w:t>
      </w:r>
      <w:r>
        <w:rPr>
          <w:rFonts w:eastAsia="Times New Roman"/>
        </w:rPr>
        <w:t>51</w:t>
      </w:r>
      <w:r>
        <w:t xml:space="preserve">±0.20 </w:t>
      </w:r>
    </w:p>
    <w:p w:rsidR="0026786C" w:rsidRDefault="00641C2E">
      <w:pPr>
        <w:pStyle w:val="GvdeMetni"/>
      </w:pPr>
      <w:r>
        <w:t>→ Boundary unresovable unassisted</w:t>
      </w:r>
    </w:p>
    <w:p w:rsidR="0026786C" w:rsidRDefault="00641C2E">
      <w:pPr>
        <w:pStyle w:val="GvdeMetni"/>
      </w:pPr>
      <w:r>
        <w:t xml:space="preserve">Resampled Arm (No SMOTE): Mean AUC= </w:t>
      </w:r>
      <w:r>
        <w:rPr>
          <w:rFonts w:eastAsia="Times New Roman"/>
        </w:rPr>
        <w:t>49</w:t>
      </w:r>
      <w:r>
        <w:t>±0.19</w:t>
      </w:r>
    </w:p>
    <w:p w:rsidR="0026786C" w:rsidRDefault="00641C2E">
      <w:pPr>
        <w:pStyle w:val="GvdeMetni"/>
      </w:pPr>
      <w:r>
        <w:t>→Oversampling f</w:t>
      </w:r>
      <w:r>
        <w:t>ails to recover signal</w:t>
      </w:r>
    </w:p>
    <w:p w:rsidR="0026786C" w:rsidRDefault="00641C2E">
      <w:pPr>
        <w:pStyle w:val="GvdeMetni"/>
      </w:pPr>
      <w:r>
        <w:t>Because an industry-standard resampling technique completely failed to rescue the baseline—and instead merely induced volatile single-fold spikes—we draw a definitive two-fold conclusion: tabular oversampling is an invalid fix for sm</w:t>
      </w:r>
      <w:r>
        <w:t>all minority sets (N</w:t>
      </w:r>
      <w:r>
        <w:rPr>
          <w:vertAlign w:val="subscript"/>
        </w:rPr>
        <w:t xml:space="preserve">minority </w:t>
      </w:r>
      <w:r>
        <w:t>&lt; 15), and these un-augmented radiomic features lack a robust, separable biological signal for this clinical task [20].</w:t>
      </w:r>
    </w:p>
    <w:p w:rsidR="0026786C" w:rsidRDefault="00641C2E">
      <w:pPr>
        <w:pStyle w:val="Balk2"/>
      </w:pPr>
      <w:r>
        <w:t>The risk of Performance Inflation in the Radiomics Literature</w:t>
      </w:r>
    </w:p>
    <w:p w:rsidR="0026786C" w:rsidRDefault="00641C2E">
      <w:pPr>
        <w:pStyle w:val="GvdeMetni"/>
      </w:pPr>
      <w:r>
        <w:t>A broader implication of these findings conce</w:t>
      </w:r>
      <w:r>
        <w:t>rns reporting practices across the radiomics field. Systematic reviews in medical imaging repeatedly highlight widespread reporting and methodological flaws, characterized by studies reporting single train-test splits, selective "favorable folds," or pre-s</w:t>
      </w:r>
      <w:r>
        <w:t>plit oversampling that causes catastrophic data leakage [13]. Our isolated Fold 2 result (AUC = 0.81, accuracy = 94.1%, F1 = 0.75) mirrors the inflated headline metrics that populate much of the published small-cohort radiomics literature. Only by exposing</w:t>
      </w:r>
      <w:r>
        <w:t xml:space="preserve"> the full nested cross-validation distribution and contrasting the volatile folds does this underlying instability become visible. Transparent distribution reporting, rather than the pursuit of a single optimized metric, must become the standard for data-c</w:t>
      </w:r>
      <w:r>
        <w:t>onstrained radiomics studies.</w:t>
      </w:r>
    </w:p>
    <w:p w:rsidR="0026786C" w:rsidRDefault="00641C2E">
      <w:pPr>
        <w:pStyle w:val="Balk2"/>
      </w:pPr>
      <w:r>
        <w:t xml:space="preserve">Shift </w:t>
      </w:r>
      <w:proofErr w:type="gramStart"/>
      <w:r>
        <w:t>Toward</w:t>
      </w:r>
      <w:proofErr w:type="gramEnd"/>
      <w:r>
        <w:t xml:space="preserve"> Image-Level Data Augmentation</w:t>
      </w:r>
    </w:p>
    <w:p w:rsidR="0026786C" w:rsidRDefault="00641C2E">
      <w:pPr>
        <w:pStyle w:val="GvdeMetni"/>
      </w:pPr>
      <w:r>
        <w:t xml:space="preserve">These findings motivate a crucial shift in adresing data scarcity. SMOTE and tabular oversampling operate blindly within an abstract, decontextualized mathematical feature space that </w:t>
      </w:r>
      <w:r>
        <w:t xml:space="preserve">loses all direct correspondence to anatomical structures once the CT volume is vectorized. Conversely, augmentation performed directly in the image domain preserves spatial anatomy and pixel relationships, anchoring </w:t>
      </w:r>
      <w:r>
        <w:lastRenderedPageBreak/>
        <w:t>any resulting features in physically and</w:t>
      </w:r>
      <w:r>
        <w:t xml:space="preserve"> biologically plausible variations:</w:t>
      </w:r>
    </w:p>
    <w:p w:rsidR="0026786C" w:rsidRDefault="00641C2E">
      <w:pPr>
        <w:pStyle w:val="GvdeMetni"/>
        <w:numPr>
          <w:ilvl w:val="0"/>
          <w:numId w:val="11"/>
        </w:numPr>
      </w:pPr>
      <w:r>
        <w:t>Geometric and Intensity Manipulations: Standard 3D random rotations, translations, and scaling of the CT volume, combined with controlled Gaussian noise added to the Hounsfield Unit distribution to simulate multi-scanner</w:t>
      </w:r>
      <w:r>
        <w:t xml:space="preserve"> and protocol variability.</w:t>
      </w:r>
    </w:p>
    <w:p w:rsidR="0026786C" w:rsidRDefault="00641C2E">
      <w:pPr>
        <w:pStyle w:val="GvdeMetni"/>
        <w:numPr>
          <w:ilvl w:val="0"/>
          <w:numId w:val="11"/>
        </w:numPr>
      </w:pPr>
      <w:r>
        <w:t xml:space="preserve">ROI (Region of Interest) Perturbations: Small modifications to the tumor segmentation boundary (e.g., eroding or dilating the contour by one voxel, or </w:t>
      </w:r>
      <w:r>
        <w:t>applying contour randomization) [15]. This forces the pipeline to extract feat</w:t>
      </w:r>
      <w:r>
        <w:t>ures from clinically plausible variations of the same tumor mass, building model stability rather than introducing synthetic statistical noise.</w:t>
      </w:r>
    </w:p>
    <w:p w:rsidR="0026786C" w:rsidRDefault="00641C2E">
      <w:pPr>
        <w:pStyle w:val="GvdeMetni"/>
      </w:pPr>
      <w:r>
        <w:t>Morphological perturbation chains have already been validated to distinguish robust from non-robust radiomic fea</w:t>
      </w:r>
      <w:r>
        <w:t>tures without requiring repeat imaging [15, 19]. Unlike abstract tabular extrapolation, image-level manipulation anchors the pipeline in genuine, 3D anatomical variability.</w:t>
      </w:r>
    </w:p>
    <w:p w:rsidR="0026786C" w:rsidRDefault="0026786C">
      <w:pPr>
        <w:sectPr w:rsidR="0026786C">
          <w:type w:val="continuous"/>
          <w:pgSz w:w="11906" w:h="16838"/>
          <w:pgMar w:top="540" w:right="893" w:bottom="1440" w:left="893" w:header="0" w:footer="0" w:gutter="0"/>
          <w:cols w:num="2" w:space="360"/>
          <w:formProt w:val="0"/>
          <w:docGrid w:linePitch="360" w:charSpace="16384"/>
        </w:sectPr>
      </w:pPr>
    </w:p>
    <w:p w:rsidR="0026786C" w:rsidRDefault="00641C2E">
      <w:pPr>
        <w:pStyle w:val="NormalWeb"/>
        <w:spacing w:before="280" w:after="280"/>
        <w:ind w:firstLine="288"/>
        <w:jc w:val="both"/>
        <w:rPr>
          <w:sz w:val="16"/>
          <w:szCs w:val="16"/>
        </w:rPr>
      </w:pPr>
      <w:r>
        <w:rPr>
          <w:sz w:val="16"/>
          <w:szCs w:val="16"/>
        </w:rPr>
        <w:t xml:space="preserve">TABLE </w:t>
      </w:r>
      <w:proofErr w:type="gramStart"/>
      <w:r>
        <w:rPr>
          <w:sz w:val="16"/>
          <w:szCs w:val="16"/>
        </w:rPr>
        <w:t>II : NESTED</w:t>
      </w:r>
      <w:proofErr w:type="gramEnd"/>
      <w:r>
        <w:rPr>
          <w:sz w:val="16"/>
          <w:szCs w:val="16"/>
        </w:rPr>
        <w:t xml:space="preserve"> CROSS-VALIDATION PERFORMANCE AND </w:t>
      </w:r>
      <w:r>
        <w:rPr>
          <w:sz w:val="16"/>
          <w:szCs w:val="16"/>
        </w:rPr>
        <w:t>OPTIMAL HYPERPARAMETER CONFIGURATIONS FOR SVC</w:t>
      </w:r>
    </w:p>
    <w:tbl>
      <w:tblPr>
        <w:tblW w:w="9726" w:type="dxa"/>
        <w:jc w:val="center"/>
        <w:tblLayout w:type="fixed"/>
        <w:tblCellMar>
          <w:top w:w="55" w:type="dxa"/>
          <w:left w:w="55" w:type="dxa"/>
          <w:bottom w:w="55" w:type="dxa"/>
          <w:right w:w="55" w:type="dxa"/>
        </w:tblCellMar>
        <w:tblLook w:val="04A0" w:firstRow="1" w:lastRow="0" w:firstColumn="1" w:lastColumn="0" w:noHBand="0" w:noVBand="1"/>
      </w:tblPr>
      <w:tblGrid>
        <w:gridCol w:w="1598"/>
        <w:gridCol w:w="1349"/>
        <w:gridCol w:w="1268"/>
        <w:gridCol w:w="1175"/>
        <w:gridCol w:w="525"/>
        <w:gridCol w:w="828"/>
        <w:gridCol w:w="734"/>
        <w:gridCol w:w="1161"/>
        <w:gridCol w:w="1088"/>
      </w:tblGrid>
      <w:tr w:rsidR="0026786C">
        <w:trPr>
          <w:jc w:val="center"/>
        </w:trPr>
        <w:tc>
          <w:tcPr>
            <w:tcW w:w="1597"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Outer</w:t>
            </w:r>
          </w:p>
          <w:p w:rsidR="0026786C" w:rsidRDefault="00641C2E">
            <w:pPr>
              <w:pStyle w:val="TableContents"/>
              <w:rPr>
                <w:b/>
                <w:bCs/>
                <w:sz w:val="16"/>
                <w:szCs w:val="16"/>
              </w:rPr>
            </w:pPr>
            <w:r>
              <w:rPr>
                <w:b/>
                <w:bCs/>
                <w:sz w:val="16"/>
                <w:szCs w:val="16"/>
              </w:rPr>
              <w:t>Fold</w:t>
            </w:r>
          </w:p>
        </w:tc>
        <w:tc>
          <w:tcPr>
            <w:tcW w:w="1349"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Metrics</w:t>
            </w:r>
          </w:p>
          <w:p w:rsidR="0026786C" w:rsidRDefault="0026786C">
            <w:pPr>
              <w:pStyle w:val="TableContents"/>
              <w:rPr>
                <w:b/>
                <w:bCs/>
                <w:sz w:val="16"/>
                <w:szCs w:val="16"/>
              </w:rPr>
            </w:pPr>
          </w:p>
          <w:p w:rsidR="0026786C" w:rsidRDefault="0026786C">
            <w:pPr>
              <w:pStyle w:val="TableContents"/>
              <w:rPr>
                <w:b/>
                <w:bCs/>
                <w:sz w:val="16"/>
                <w:szCs w:val="16"/>
              </w:rPr>
            </w:pPr>
          </w:p>
          <w:p w:rsidR="0026786C" w:rsidRDefault="00641C2E">
            <w:pPr>
              <w:pStyle w:val="TableContents"/>
              <w:jc w:val="left"/>
              <w:rPr>
                <w:b/>
                <w:bCs/>
                <w:sz w:val="16"/>
                <w:szCs w:val="16"/>
              </w:rPr>
            </w:pPr>
            <w:r>
              <w:rPr>
                <w:b/>
                <w:bCs/>
                <w:sz w:val="16"/>
                <w:szCs w:val="16"/>
              </w:rPr>
              <w:t>AUC</w:t>
            </w:r>
          </w:p>
          <w:p w:rsidR="0026786C" w:rsidRDefault="00641C2E">
            <w:pPr>
              <w:pStyle w:val="TableContents"/>
              <w:jc w:val="left"/>
              <w:rPr>
                <w:b/>
                <w:bCs/>
                <w:sz w:val="16"/>
                <w:szCs w:val="16"/>
              </w:rPr>
            </w:pPr>
            <w:r>
              <w:rPr>
                <w:b/>
                <w:bCs/>
                <w:sz w:val="16"/>
                <w:szCs w:val="16"/>
              </w:rPr>
              <w:t>ACCURACY</w:t>
            </w:r>
          </w:p>
          <w:p w:rsidR="0026786C" w:rsidRDefault="00641C2E">
            <w:pPr>
              <w:pStyle w:val="TableContents"/>
              <w:jc w:val="left"/>
              <w:rPr>
                <w:b/>
                <w:bCs/>
                <w:sz w:val="16"/>
                <w:szCs w:val="16"/>
              </w:rPr>
            </w:pPr>
            <w:r>
              <w:rPr>
                <w:b/>
                <w:bCs/>
                <w:sz w:val="16"/>
                <w:szCs w:val="16"/>
              </w:rPr>
              <w:t>F1-SCORE</w:t>
            </w:r>
          </w:p>
        </w:tc>
        <w:tc>
          <w:tcPr>
            <w:tcW w:w="1268"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Smote</w:t>
            </w:r>
          </w:p>
          <w:p w:rsidR="0026786C" w:rsidRDefault="0026786C">
            <w:pPr>
              <w:pStyle w:val="TableContents"/>
              <w:rPr>
                <w:b/>
                <w:bCs/>
                <w:sz w:val="16"/>
                <w:szCs w:val="16"/>
              </w:rPr>
            </w:pPr>
          </w:p>
          <w:p w:rsidR="0026786C" w:rsidRDefault="0026786C">
            <w:pPr>
              <w:pStyle w:val="TableContents"/>
              <w:rPr>
                <w:b/>
                <w:bCs/>
                <w:sz w:val="16"/>
                <w:szCs w:val="16"/>
              </w:rPr>
            </w:pPr>
          </w:p>
          <w:p w:rsidR="0026786C" w:rsidRDefault="00641C2E">
            <w:pPr>
              <w:pStyle w:val="TableContents"/>
              <w:rPr>
                <w:b/>
                <w:bCs/>
                <w:sz w:val="16"/>
                <w:szCs w:val="16"/>
              </w:rPr>
            </w:pPr>
            <w:r>
              <w:rPr>
                <w:b/>
                <w:bCs/>
                <w:sz w:val="16"/>
                <w:szCs w:val="16"/>
              </w:rPr>
              <w:t>k_neighbors:</w:t>
            </w:r>
          </w:p>
        </w:tc>
        <w:tc>
          <w:tcPr>
            <w:tcW w:w="1175"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SelectKBest</w:t>
            </w:r>
          </w:p>
          <w:p w:rsidR="0026786C" w:rsidRDefault="0026786C">
            <w:pPr>
              <w:pStyle w:val="TableContents"/>
              <w:rPr>
                <w:b/>
                <w:bCs/>
                <w:sz w:val="16"/>
                <w:szCs w:val="16"/>
              </w:rPr>
            </w:pPr>
          </w:p>
          <w:p w:rsidR="0026786C" w:rsidRDefault="0026786C">
            <w:pPr>
              <w:pStyle w:val="TableContents"/>
              <w:rPr>
                <w:b/>
                <w:bCs/>
                <w:sz w:val="16"/>
                <w:szCs w:val="16"/>
              </w:rPr>
            </w:pPr>
          </w:p>
          <w:p w:rsidR="0026786C" w:rsidRDefault="00641C2E">
            <w:pPr>
              <w:pStyle w:val="TableContents"/>
              <w:rPr>
                <w:b/>
                <w:bCs/>
                <w:sz w:val="16"/>
                <w:szCs w:val="16"/>
              </w:rPr>
            </w:pPr>
            <w:r>
              <w:rPr>
                <w:b/>
                <w:bCs/>
                <w:sz w:val="16"/>
                <w:szCs w:val="16"/>
              </w:rPr>
              <w:t>k:</w:t>
            </w:r>
          </w:p>
        </w:tc>
        <w:tc>
          <w:tcPr>
            <w:tcW w:w="525"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SVC</w:t>
            </w:r>
          </w:p>
          <w:p w:rsidR="0026786C" w:rsidRDefault="0026786C">
            <w:pPr>
              <w:pStyle w:val="TableContents"/>
              <w:rPr>
                <w:b/>
                <w:bCs/>
                <w:sz w:val="16"/>
                <w:szCs w:val="16"/>
              </w:rPr>
            </w:pPr>
          </w:p>
          <w:p w:rsidR="0026786C" w:rsidRDefault="0026786C">
            <w:pPr>
              <w:pStyle w:val="TableContents"/>
              <w:rPr>
                <w:b/>
                <w:bCs/>
                <w:sz w:val="16"/>
                <w:szCs w:val="16"/>
              </w:rPr>
            </w:pPr>
          </w:p>
          <w:p w:rsidR="0026786C" w:rsidRDefault="00641C2E">
            <w:pPr>
              <w:pStyle w:val="TableContents"/>
              <w:rPr>
                <w:b/>
                <w:bCs/>
                <w:sz w:val="16"/>
                <w:szCs w:val="16"/>
              </w:rPr>
            </w:pPr>
            <w:r>
              <w:rPr>
                <w:b/>
                <w:bCs/>
                <w:sz w:val="16"/>
                <w:szCs w:val="16"/>
              </w:rPr>
              <w:t>C:</w:t>
            </w:r>
          </w:p>
        </w:tc>
        <w:tc>
          <w:tcPr>
            <w:tcW w:w="828"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SVC</w:t>
            </w:r>
          </w:p>
          <w:p w:rsidR="0026786C" w:rsidRDefault="0026786C">
            <w:pPr>
              <w:pStyle w:val="TableContents"/>
              <w:rPr>
                <w:b/>
                <w:bCs/>
                <w:sz w:val="16"/>
                <w:szCs w:val="16"/>
              </w:rPr>
            </w:pPr>
          </w:p>
          <w:p w:rsidR="0026786C" w:rsidRDefault="0026786C">
            <w:pPr>
              <w:pStyle w:val="TableContents"/>
              <w:rPr>
                <w:b/>
                <w:bCs/>
                <w:sz w:val="16"/>
                <w:szCs w:val="16"/>
              </w:rPr>
            </w:pPr>
          </w:p>
          <w:p w:rsidR="0026786C" w:rsidRDefault="00641C2E">
            <w:pPr>
              <w:pStyle w:val="TableContents"/>
              <w:rPr>
                <w:b/>
                <w:bCs/>
                <w:sz w:val="16"/>
                <w:szCs w:val="16"/>
              </w:rPr>
            </w:pPr>
            <w:r>
              <w:rPr>
                <w:b/>
                <w:bCs/>
                <w:sz w:val="16"/>
                <w:szCs w:val="16"/>
              </w:rPr>
              <w:t>gamma:</w:t>
            </w:r>
          </w:p>
        </w:tc>
        <w:tc>
          <w:tcPr>
            <w:tcW w:w="734" w:type="dxa"/>
            <w:vMerge w:val="restart"/>
            <w:tcBorders>
              <w:top w:val="single" w:sz="4" w:space="0" w:color="000000"/>
              <w:left w:val="single" w:sz="4" w:space="0" w:color="000000"/>
              <w:bottom w:val="single" w:sz="4" w:space="0" w:color="000000"/>
            </w:tcBorders>
          </w:tcPr>
          <w:p w:rsidR="0026786C" w:rsidRDefault="00641C2E">
            <w:pPr>
              <w:pStyle w:val="TableContents"/>
              <w:rPr>
                <w:b/>
                <w:bCs/>
                <w:sz w:val="16"/>
                <w:szCs w:val="16"/>
              </w:rPr>
            </w:pPr>
            <w:r>
              <w:rPr>
                <w:b/>
                <w:bCs/>
                <w:sz w:val="16"/>
                <w:szCs w:val="16"/>
              </w:rPr>
              <w:t>SVC</w:t>
            </w:r>
          </w:p>
          <w:p w:rsidR="0026786C" w:rsidRDefault="0026786C">
            <w:pPr>
              <w:pStyle w:val="TableContents"/>
              <w:rPr>
                <w:b/>
                <w:bCs/>
                <w:sz w:val="16"/>
                <w:szCs w:val="16"/>
              </w:rPr>
            </w:pPr>
          </w:p>
          <w:p w:rsidR="0026786C" w:rsidRDefault="0026786C">
            <w:pPr>
              <w:pStyle w:val="TableContents"/>
              <w:rPr>
                <w:b/>
                <w:bCs/>
                <w:sz w:val="16"/>
                <w:szCs w:val="16"/>
              </w:rPr>
            </w:pPr>
          </w:p>
          <w:p w:rsidR="0026786C" w:rsidRDefault="00641C2E">
            <w:pPr>
              <w:pStyle w:val="TableContents"/>
              <w:rPr>
                <w:b/>
                <w:bCs/>
                <w:sz w:val="16"/>
                <w:szCs w:val="16"/>
              </w:rPr>
            </w:pPr>
            <w:r>
              <w:rPr>
                <w:b/>
                <w:bCs/>
                <w:sz w:val="16"/>
                <w:szCs w:val="16"/>
              </w:rPr>
              <w:t>kernel:</w:t>
            </w:r>
          </w:p>
        </w:tc>
        <w:tc>
          <w:tcPr>
            <w:tcW w:w="2249" w:type="dxa"/>
            <w:gridSpan w:val="2"/>
            <w:tcBorders>
              <w:top w:val="single" w:sz="4" w:space="0" w:color="000000"/>
              <w:left w:val="single" w:sz="4" w:space="0" w:color="000000"/>
              <w:bottom w:val="single" w:sz="4" w:space="0" w:color="000000"/>
              <w:right w:val="single" w:sz="4" w:space="0" w:color="000000"/>
            </w:tcBorders>
          </w:tcPr>
          <w:p w:rsidR="0026786C" w:rsidRDefault="00641C2E">
            <w:pPr>
              <w:pStyle w:val="TableContents"/>
              <w:rPr>
                <w:b/>
                <w:bCs/>
                <w:sz w:val="16"/>
                <w:szCs w:val="16"/>
              </w:rPr>
            </w:pPr>
            <w:r>
              <w:rPr>
                <w:b/>
                <w:bCs/>
                <w:sz w:val="16"/>
                <w:szCs w:val="16"/>
              </w:rPr>
              <w:t>Confusion</w:t>
            </w:r>
          </w:p>
          <w:p w:rsidR="0026786C" w:rsidRDefault="00641C2E">
            <w:pPr>
              <w:pStyle w:val="TableContents"/>
              <w:rPr>
                <w:b/>
                <w:bCs/>
                <w:sz w:val="16"/>
                <w:szCs w:val="16"/>
              </w:rPr>
            </w:pPr>
            <w:r>
              <w:rPr>
                <w:b/>
                <w:bCs/>
                <w:sz w:val="16"/>
                <w:szCs w:val="16"/>
              </w:rPr>
              <w:t>Matrix</w:t>
            </w:r>
          </w:p>
          <w:p w:rsidR="0026786C" w:rsidRDefault="0026786C">
            <w:pPr>
              <w:pStyle w:val="TableContents"/>
              <w:rPr>
                <w:b/>
                <w:bCs/>
                <w:sz w:val="16"/>
                <w:szCs w:val="16"/>
              </w:rPr>
            </w:pPr>
          </w:p>
        </w:tc>
      </w:tr>
      <w:tr w:rsidR="0026786C">
        <w:trPr>
          <w:trHeight w:val="352"/>
          <w:jc w:val="center"/>
        </w:trPr>
        <w:tc>
          <w:tcPr>
            <w:tcW w:w="1597" w:type="dxa"/>
            <w:vMerge/>
            <w:tcBorders>
              <w:top w:val="single" w:sz="4" w:space="0" w:color="000000"/>
              <w:left w:val="single" w:sz="4" w:space="0" w:color="000000"/>
              <w:bottom w:val="single" w:sz="4" w:space="0" w:color="000000"/>
            </w:tcBorders>
          </w:tcPr>
          <w:p w:rsidR="0026786C" w:rsidRDefault="0026786C">
            <w:pPr>
              <w:pStyle w:val="TableContents"/>
              <w:rPr>
                <w:sz w:val="16"/>
                <w:szCs w:val="16"/>
              </w:rPr>
            </w:pPr>
          </w:p>
        </w:tc>
        <w:tc>
          <w:tcPr>
            <w:tcW w:w="1349" w:type="dxa"/>
            <w:vMerge/>
            <w:tcBorders>
              <w:left w:val="single" w:sz="4" w:space="0" w:color="000000"/>
              <w:bottom w:val="single" w:sz="4" w:space="0" w:color="000000"/>
            </w:tcBorders>
          </w:tcPr>
          <w:p w:rsidR="0026786C" w:rsidRDefault="0026786C">
            <w:pPr>
              <w:pStyle w:val="TableContents"/>
              <w:rPr>
                <w:sz w:val="16"/>
                <w:szCs w:val="16"/>
              </w:rPr>
            </w:pPr>
          </w:p>
        </w:tc>
        <w:tc>
          <w:tcPr>
            <w:tcW w:w="1268" w:type="dxa"/>
            <w:vMerge/>
            <w:tcBorders>
              <w:left w:val="single" w:sz="4" w:space="0" w:color="000000"/>
              <w:bottom w:val="single" w:sz="4" w:space="0" w:color="000000"/>
            </w:tcBorders>
          </w:tcPr>
          <w:p w:rsidR="0026786C" w:rsidRDefault="0026786C">
            <w:pPr>
              <w:pStyle w:val="TableContents"/>
              <w:rPr>
                <w:sz w:val="16"/>
                <w:szCs w:val="16"/>
              </w:rPr>
            </w:pPr>
          </w:p>
        </w:tc>
        <w:tc>
          <w:tcPr>
            <w:tcW w:w="1175" w:type="dxa"/>
            <w:vMerge/>
            <w:tcBorders>
              <w:left w:val="single" w:sz="4" w:space="0" w:color="000000"/>
              <w:bottom w:val="single" w:sz="4" w:space="0" w:color="000000"/>
            </w:tcBorders>
          </w:tcPr>
          <w:p w:rsidR="0026786C" w:rsidRDefault="0026786C">
            <w:pPr>
              <w:pStyle w:val="TableContents"/>
              <w:rPr>
                <w:sz w:val="16"/>
                <w:szCs w:val="16"/>
              </w:rPr>
            </w:pPr>
          </w:p>
        </w:tc>
        <w:tc>
          <w:tcPr>
            <w:tcW w:w="525" w:type="dxa"/>
            <w:vMerge/>
            <w:tcBorders>
              <w:left w:val="single" w:sz="4" w:space="0" w:color="000000"/>
              <w:bottom w:val="single" w:sz="4" w:space="0" w:color="000000"/>
            </w:tcBorders>
          </w:tcPr>
          <w:p w:rsidR="0026786C" w:rsidRDefault="0026786C">
            <w:pPr>
              <w:pStyle w:val="TableContents"/>
              <w:rPr>
                <w:sz w:val="16"/>
                <w:szCs w:val="16"/>
              </w:rPr>
            </w:pPr>
          </w:p>
        </w:tc>
        <w:tc>
          <w:tcPr>
            <w:tcW w:w="828" w:type="dxa"/>
            <w:vMerge/>
            <w:tcBorders>
              <w:left w:val="single" w:sz="4" w:space="0" w:color="000000"/>
              <w:bottom w:val="single" w:sz="4" w:space="0" w:color="000000"/>
            </w:tcBorders>
          </w:tcPr>
          <w:p w:rsidR="0026786C" w:rsidRDefault="0026786C">
            <w:pPr>
              <w:pStyle w:val="TableContents"/>
              <w:rPr>
                <w:sz w:val="16"/>
                <w:szCs w:val="16"/>
              </w:rPr>
            </w:pPr>
          </w:p>
        </w:tc>
        <w:tc>
          <w:tcPr>
            <w:tcW w:w="734" w:type="dxa"/>
            <w:vMerge/>
            <w:tcBorders>
              <w:left w:val="single" w:sz="4" w:space="0" w:color="000000"/>
              <w:bottom w:val="single" w:sz="4" w:space="0" w:color="000000"/>
            </w:tcBorders>
          </w:tcPr>
          <w:p w:rsidR="0026786C" w:rsidRDefault="0026786C">
            <w:pPr>
              <w:pStyle w:val="TableContents"/>
              <w:rPr>
                <w:sz w:val="16"/>
                <w:szCs w:val="16"/>
              </w:rPr>
            </w:pPr>
          </w:p>
        </w:tc>
        <w:tc>
          <w:tcPr>
            <w:tcW w:w="1161" w:type="dxa"/>
            <w:tcBorders>
              <w:left w:val="single" w:sz="16" w:space="0" w:color="000000"/>
              <w:bottom w:val="single" w:sz="16" w:space="0" w:color="000000"/>
            </w:tcBorders>
          </w:tcPr>
          <w:p w:rsidR="0026786C" w:rsidRDefault="00641C2E">
            <w:pPr>
              <w:pStyle w:val="TableContents"/>
              <w:rPr>
                <w:b/>
                <w:bCs/>
                <w:sz w:val="16"/>
                <w:szCs w:val="16"/>
              </w:rPr>
            </w:pPr>
            <w:r>
              <w:rPr>
                <w:b/>
                <w:bCs/>
                <w:sz w:val="16"/>
                <w:szCs w:val="16"/>
              </w:rPr>
              <w:t>TN</w:t>
            </w:r>
          </w:p>
        </w:tc>
        <w:tc>
          <w:tcPr>
            <w:tcW w:w="1088" w:type="dxa"/>
            <w:tcBorders>
              <w:left w:val="single" w:sz="16" w:space="0" w:color="000000"/>
              <w:bottom w:val="single" w:sz="16" w:space="0" w:color="000000"/>
              <w:right w:val="single" w:sz="16" w:space="0" w:color="000000"/>
            </w:tcBorders>
          </w:tcPr>
          <w:p w:rsidR="0026786C" w:rsidRDefault="00641C2E">
            <w:pPr>
              <w:pStyle w:val="TableContents"/>
              <w:rPr>
                <w:b/>
                <w:bCs/>
                <w:sz w:val="16"/>
                <w:szCs w:val="16"/>
              </w:rPr>
            </w:pPr>
            <w:r>
              <w:rPr>
                <w:b/>
                <w:bCs/>
                <w:sz w:val="16"/>
                <w:szCs w:val="16"/>
              </w:rPr>
              <w:t>FP</w:t>
            </w:r>
          </w:p>
        </w:tc>
      </w:tr>
      <w:tr w:rsidR="0026786C">
        <w:trPr>
          <w:jc w:val="center"/>
        </w:trPr>
        <w:tc>
          <w:tcPr>
            <w:tcW w:w="1597" w:type="dxa"/>
            <w:vMerge/>
            <w:tcBorders>
              <w:top w:val="single" w:sz="4" w:space="0" w:color="000000"/>
              <w:left w:val="single" w:sz="4" w:space="0" w:color="000000"/>
              <w:bottom w:val="single" w:sz="4" w:space="0" w:color="000000"/>
            </w:tcBorders>
          </w:tcPr>
          <w:p w:rsidR="0026786C" w:rsidRDefault="0026786C">
            <w:pPr>
              <w:pStyle w:val="TableContents"/>
              <w:rPr>
                <w:sz w:val="16"/>
                <w:szCs w:val="16"/>
              </w:rPr>
            </w:pPr>
          </w:p>
        </w:tc>
        <w:tc>
          <w:tcPr>
            <w:tcW w:w="1349" w:type="dxa"/>
            <w:vMerge/>
            <w:tcBorders>
              <w:left w:val="single" w:sz="4" w:space="0" w:color="000000"/>
              <w:bottom w:val="single" w:sz="4" w:space="0" w:color="000000"/>
            </w:tcBorders>
          </w:tcPr>
          <w:p w:rsidR="0026786C" w:rsidRDefault="0026786C">
            <w:pPr>
              <w:pStyle w:val="TableContents"/>
              <w:rPr>
                <w:sz w:val="16"/>
                <w:szCs w:val="16"/>
              </w:rPr>
            </w:pPr>
          </w:p>
        </w:tc>
        <w:tc>
          <w:tcPr>
            <w:tcW w:w="1268" w:type="dxa"/>
            <w:vMerge/>
            <w:tcBorders>
              <w:left w:val="single" w:sz="4" w:space="0" w:color="000000"/>
              <w:bottom w:val="single" w:sz="4" w:space="0" w:color="000000"/>
            </w:tcBorders>
          </w:tcPr>
          <w:p w:rsidR="0026786C" w:rsidRDefault="0026786C">
            <w:pPr>
              <w:pStyle w:val="TableContents"/>
              <w:rPr>
                <w:sz w:val="16"/>
                <w:szCs w:val="16"/>
              </w:rPr>
            </w:pPr>
          </w:p>
        </w:tc>
        <w:tc>
          <w:tcPr>
            <w:tcW w:w="1175" w:type="dxa"/>
            <w:vMerge/>
            <w:tcBorders>
              <w:left w:val="single" w:sz="4" w:space="0" w:color="000000"/>
              <w:bottom w:val="single" w:sz="4" w:space="0" w:color="000000"/>
            </w:tcBorders>
          </w:tcPr>
          <w:p w:rsidR="0026786C" w:rsidRDefault="0026786C">
            <w:pPr>
              <w:pStyle w:val="TableContents"/>
              <w:rPr>
                <w:sz w:val="16"/>
                <w:szCs w:val="16"/>
              </w:rPr>
            </w:pPr>
          </w:p>
        </w:tc>
        <w:tc>
          <w:tcPr>
            <w:tcW w:w="525" w:type="dxa"/>
            <w:vMerge/>
            <w:tcBorders>
              <w:left w:val="single" w:sz="4" w:space="0" w:color="000000"/>
              <w:bottom w:val="single" w:sz="4" w:space="0" w:color="000000"/>
            </w:tcBorders>
          </w:tcPr>
          <w:p w:rsidR="0026786C" w:rsidRDefault="0026786C">
            <w:pPr>
              <w:pStyle w:val="TableContents"/>
              <w:rPr>
                <w:sz w:val="16"/>
                <w:szCs w:val="16"/>
              </w:rPr>
            </w:pPr>
          </w:p>
        </w:tc>
        <w:tc>
          <w:tcPr>
            <w:tcW w:w="828" w:type="dxa"/>
            <w:vMerge/>
            <w:tcBorders>
              <w:left w:val="single" w:sz="4" w:space="0" w:color="000000"/>
              <w:bottom w:val="single" w:sz="4" w:space="0" w:color="000000"/>
            </w:tcBorders>
          </w:tcPr>
          <w:p w:rsidR="0026786C" w:rsidRDefault="0026786C">
            <w:pPr>
              <w:pStyle w:val="TableContents"/>
              <w:rPr>
                <w:sz w:val="16"/>
                <w:szCs w:val="16"/>
              </w:rPr>
            </w:pPr>
          </w:p>
        </w:tc>
        <w:tc>
          <w:tcPr>
            <w:tcW w:w="734" w:type="dxa"/>
            <w:vMerge/>
            <w:tcBorders>
              <w:left w:val="single" w:sz="4" w:space="0" w:color="000000"/>
              <w:bottom w:val="single" w:sz="4" w:space="0" w:color="000000"/>
            </w:tcBorders>
          </w:tcPr>
          <w:p w:rsidR="0026786C" w:rsidRDefault="0026786C">
            <w:pPr>
              <w:pStyle w:val="TableContents"/>
              <w:rPr>
                <w:sz w:val="16"/>
                <w:szCs w:val="16"/>
              </w:rPr>
            </w:pPr>
          </w:p>
        </w:tc>
        <w:tc>
          <w:tcPr>
            <w:tcW w:w="1161" w:type="dxa"/>
            <w:tcBorders>
              <w:left w:val="single" w:sz="16" w:space="0" w:color="000000"/>
              <w:bottom w:val="single" w:sz="16" w:space="0" w:color="000000"/>
            </w:tcBorders>
          </w:tcPr>
          <w:p w:rsidR="0026786C" w:rsidRDefault="00641C2E">
            <w:pPr>
              <w:pStyle w:val="TableContents"/>
              <w:rPr>
                <w:b/>
                <w:bCs/>
                <w:sz w:val="16"/>
                <w:szCs w:val="16"/>
              </w:rPr>
            </w:pPr>
            <w:r>
              <w:rPr>
                <w:b/>
                <w:bCs/>
                <w:sz w:val="16"/>
                <w:szCs w:val="16"/>
              </w:rPr>
              <w:t>FN</w:t>
            </w:r>
          </w:p>
        </w:tc>
        <w:tc>
          <w:tcPr>
            <w:tcW w:w="1088" w:type="dxa"/>
            <w:tcBorders>
              <w:left w:val="single" w:sz="16" w:space="0" w:color="000000"/>
              <w:bottom w:val="single" w:sz="16" w:space="0" w:color="000000"/>
              <w:right w:val="single" w:sz="16" w:space="0" w:color="000000"/>
            </w:tcBorders>
          </w:tcPr>
          <w:p w:rsidR="0026786C" w:rsidRDefault="00641C2E">
            <w:pPr>
              <w:pStyle w:val="TableContents"/>
              <w:rPr>
                <w:b/>
                <w:bCs/>
                <w:sz w:val="16"/>
                <w:szCs w:val="16"/>
              </w:rPr>
            </w:pPr>
            <w:r>
              <w:rPr>
                <w:b/>
                <w:bCs/>
                <w:sz w:val="16"/>
                <w:szCs w:val="16"/>
              </w:rPr>
              <w:t>TP</w:t>
            </w:r>
          </w:p>
        </w:tc>
      </w:tr>
      <w:tr w:rsidR="0026786C">
        <w:trPr>
          <w:jc w:val="center"/>
        </w:trPr>
        <w:tc>
          <w:tcPr>
            <w:tcW w:w="1597"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1</w:t>
            </w:r>
          </w:p>
          <w:p w:rsidR="0026786C" w:rsidRDefault="0026786C">
            <w:pPr>
              <w:pStyle w:val="TableContents"/>
              <w:rPr>
                <w:sz w:val="16"/>
                <w:szCs w:val="16"/>
              </w:rPr>
            </w:pPr>
          </w:p>
        </w:tc>
        <w:tc>
          <w:tcPr>
            <w:tcW w:w="1349" w:type="dxa"/>
            <w:vMerge w:val="restart"/>
            <w:tcBorders>
              <w:left w:val="single" w:sz="4" w:space="0" w:color="000000"/>
              <w:bottom w:val="single" w:sz="4" w:space="0" w:color="000000"/>
            </w:tcBorders>
          </w:tcPr>
          <w:p w:rsidR="0026786C" w:rsidRDefault="00641C2E">
            <w:pPr>
              <w:pStyle w:val="TableContents"/>
              <w:jc w:val="left"/>
              <w:rPr>
                <w:sz w:val="16"/>
                <w:szCs w:val="16"/>
              </w:rPr>
            </w:pPr>
            <w:r>
              <w:rPr>
                <w:sz w:val="16"/>
                <w:szCs w:val="16"/>
              </w:rPr>
              <w:t>AUC : 0.45</w:t>
            </w:r>
          </w:p>
          <w:p w:rsidR="0026786C" w:rsidRDefault="00641C2E">
            <w:pPr>
              <w:pStyle w:val="TableContents"/>
              <w:jc w:val="left"/>
              <w:rPr>
                <w:sz w:val="16"/>
                <w:szCs w:val="16"/>
              </w:rPr>
            </w:pPr>
            <w:r>
              <w:rPr>
                <w:sz w:val="16"/>
                <w:szCs w:val="16"/>
              </w:rPr>
              <w:t>ACC. : 91.1%</w:t>
            </w:r>
          </w:p>
          <w:p w:rsidR="0026786C" w:rsidRDefault="00641C2E">
            <w:pPr>
              <w:pStyle w:val="TableContents"/>
              <w:jc w:val="left"/>
              <w:rPr>
                <w:sz w:val="16"/>
                <w:szCs w:val="16"/>
              </w:rPr>
            </w:pPr>
            <w:r>
              <w:rPr>
                <w:sz w:val="16"/>
                <w:szCs w:val="16"/>
              </w:rPr>
              <w:t>F1-SCORE : 0.66</w:t>
            </w:r>
          </w:p>
        </w:tc>
        <w:tc>
          <w:tcPr>
            <w:tcW w:w="126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6</w:t>
            </w:r>
          </w:p>
        </w:tc>
        <w:tc>
          <w:tcPr>
            <w:tcW w:w="117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17</w:t>
            </w:r>
          </w:p>
        </w:tc>
        <w:tc>
          <w:tcPr>
            <w:tcW w:w="52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0.5</w:t>
            </w:r>
          </w:p>
        </w:tc>
        <w:tc>
          <w:tcPr>
            <w:tcW w:w="82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‘auto’</w:t>
            </w:r>
          </w:p>
        </w:tc>
        <w:tc>
          <w:tcPr>
            <w:tcW w:w="734"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‘rbf’</w:t>
            </w: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28</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1</w:t>
            </w:r>
          </w:p>
        </w:tc>
      </w:tr>
      <w:tr w:rsidR="0026786C">
        <w:trPr>
          <w:jc w:val="center"/>
        </w:trPr>
        <w:tc>
          <w:tcPr>
            <w:tcW w:w="1597" w:type="dxa"/>
            <w:vMerge/>
            <w:tcBorders>
              <w:left w:val="single" w:sz="4" w:space="0" w:color="000000"/>
              <w:bottom w:val="single" w:sz="4" w:space="0" w:color="000000"/>
            </w:tcBorders>
          </w:tcPr>
          <w:p w:rsidR="0026786C" w:rsidRDefault="0026786C">
            <w:pPr>
              <w:pStyle w:val="TableContents"/>
              <w:rPr>
                <w:sz w:val="16"/>
                <w:szCs w:val="16"/>
              </w:rPr>
            </w:pPr>
          </w:p>
        </w:tc>
        <w:tc>
          <w:tcPr>
            <w:tcW w:w="1349" w:type="dxa"/>
            <w:vMerge/>
            <w:tcBorders>
              <w:left w:val="single" w:sz="4" w:space="0" w:color="000000"/>
              <w:bottom w:val="single" w:sz="4" w:space="0" w:color="000000"/>
            </w:tcBorders>
          </w:tcPr>
          <w:p w:rsidR="0026786C" w:rsidRDefault="0026786C">
            <w:pPr>
              <w:pStyle w:val="TableContents"/>
              <w:rPr>
                <w:sz w:val="16"/>
                <w:szCs w:val="16"/>
              </w:rPr>
            </w:pPr>
          </w:p>
        </w:tc>
        <w:tc>
          <w:tcPr>
            <w:tcW w:w="1268" w:type="dxa"/>
            <w:vMerge/>
            <w:tcBorders>
              <w:left w:val="single" w:sz="4" w:space="0" w:color="000000"/>
              <w:bottom w:val="single" w:sz="4" w:space="0" w:color="000000"/>
            </w:tcBorders>
          </w:tcPr>
          <w:p w:rsidR="0026786C" w:rsidRDefault="0026786C">
            <w:pPr>
              <w:pStyle w:val="TableContents"/>
              <w:rPr>
                <w:sz w:val="16"/>
                <w:szCs w:val="16"/>
              </w:rPr>
            </w:pPr>
          </w:p>
        </w:tc>
        <w:tc>
          <w:tcPr>
            <w:tcW w:w="1175" w:type="dxa"/>
            <w:vMerge/>
            <w:tcBorders>
              <w:left w:val="single" w:sz="4" w:space="0" w:color="000000"/>
              <w:bottom w:val="single" w:sz="4" w:space="0" w:color="000000"/>
            </w:tcBorders>
          </w:tcPr>
          <w:p w:rsidR="0026786C" w:rsidRDefault="0026786C">
            <w:pPr>
              <w:pStyle w:val="TableContents"/>
              <w:rPr>
                <w:sz w:val="16"/>
                <w:szCs w:val="16"/>
              </w:rPr>
            </w:pPr>
          </w:p>
        </w:tc>
        <w:tc>
          <w:tcPr>
            <w:tcW w:w="525" w:type="dxa"/>
            <w:vMerge/>
            <w:tcBorders>
              <w:left w:val="single" w:sz="4" w:space="0" w:color="000000"/>
              <w:bottom w:val="single" w:sz="4" w:space="0" w:color="000000"/>
            </w:tcBorders>
          </w:tcPr>
          <w:p w:rsidR="0026786C" w:rsidRDefault="0026786C">
            <w:pPr>
              <w:pStyle w:val="TableContents"/>
              <w:rPr>
                <w:sz w:val="16"/>
                <w:szCs w:val="16"/>
              </w:rPr>
            </w:pPr>
          </w:p>
        </w:tc>
        <w:tc>
          <w:tcPr>
            <w:tcW w:w="828" w:type="dxa"/>
            <w:vMerge/>
            <w:tcBorders>
              <w:left w:val="single" w:sz="4" w:space="0" w:color="000000"/>
              <w:bottom w:val="single" w:sz="4" w:space="0" w:color="000000"/>
            </w:tcBorders>
          </w:tcPr>
          <w:p w:rsidR="0026786C" w:rsidRDefault="0026786C">
            <w:pPr>
              <w:pStyle w:val="TableContents"/>
              <w:rPr>
                <w:sz w:val="16"/>
                <w:szCs w:val="16"/>
              </w:rPr>
            </w:pPr>
          </w:p>
        </w:tc>
        <w:tc>
          <w:tcPr>
            <w:tcW w:w="734" w:type="dxa"/>
            <w:vMerge/>
            <w:tcBorders>
              <w:left w:val="single" w:sz="4" w:space="0" w:color="000000"/>
              <w:bottom w:val="single" w:sz="4" w:space="0" w:color="000000"/>
            </w:tcBorders>
          </w:tcPr>
          <w:p w:rsidR="0026786C" w:rsidRDefault="0026786C">
            <w:pPr>
              <w:pStyle w:val="TableContents"/>
              <w:rPr>
                <w:sz w:val="16"/>
                <w:szCs w:val="16"/>
              </w:rPr>
            </w:pP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2</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3</w:t>
            </w:r>
          </w:p>
        </w:tc>
      </w:tr>
      <w:tr w:rsidR="0026786C">
        <w:trPr>
          <w:jc w:val="center"/>
        </w:trPr>
        <w:tc>
          <w:tcPr>
            <w:tcW w:w="1597" w:type="dxa"/>
            <w:vMerge w:val="restart"/>
            <w:tcBorders>
              <w:left w:val="single" w:sz="4" w:space="0" w:color="000000"/>
              <w:bottom w:val="single" w:sz="4" w:space="0" w:color="000000"/>
            </w:tcBorders>
            <w:shd w:val="clear" w:color="auto" w:fill="CCCCCC"/>
          </w:tcPr>
          <w:p w:rsidR="0026786C" w:rsidRDefault="00641C2E">
            <w:pPr>
              <w:pStyle w:val="TableContents"/>
              <w:rPr>
                <w:sz w:val="16"/>
                <w:szCs w:val="16"/>
              </w:rPr>
            </w:pPr>
            <w:r>
              <w:rPr>
                <w:sz w:val="16"/>
                <w:szCs w:val="16"/>
              </w:rPr>
              <w:t>2</w:t>
            </w:r>
          </w:p>
        </w:tc>
        <w:tc>
          <w:tcPr>
            <w:tcW w:w="1349" w:type="dxa"/>
            <w:vMerge w:val="restart"/>
            <w:tcBorders>
              <w:left w:val="single" w:sz="4" w:space="0" w:color="000000"/>
              <w:bottom w:val="single" w:sz="4" w:space="0" w:color="000000"/>
            </w:tcBorders>
            <w:shd w:val="clear" w:color="auto" w:fill="CCCCCC"/>
          </w:tcPr>
          <w:p w:rsidR="0026786C" w:rsidRDefault="00641C2E">
            <w:pPr>
              <w:pStyle w:val="TableContents"/>
              <w:jc w:val="left"/>
              <w:rPr>
                <w:sz w:val="16"/>
                <w:szCs w:val="16"/>
              </w:rPr>
            </w:pPr>
            <w:r>
              <w:rPr>
                <w:sz w:val="16"/>
                <w:szCs w:val="16"/>
              </w:rPr>
              <w:t>AUC : 0.81</w:t>
            </w:r>
          </w:p>
          <w:p w:rsidR="0026786C" w:rsidRDefault="00641C2E">
            <w:pPr>
              <w:pStyle w:val="TableContents"/>
              <w:jc w:val="left"/>
              <w:rPr>
                <w:sz w:val="16"/>
                <w:szCs w:val="16"/>
              </w:rPr>
            </w:pPr>
            <w:r>
              <w:rPr>
                <w:sz w:val="16"/>
                <w:szCs w:val="16"/>
              </w:rPr>
              <w:t>ACC. : 94.1%</w:t>
            </w:r>
          </w:p>
          <w:p w:rsidR="0026786C" w:rsidRDefault="00641C2E">
            <w:pPr>
              <w:pStyle w:val="TableContents"/>
              <w:jc w:val="left"/>
              <w:rPr>
                <w:sz w:val="16"/>
                <w:szCs w:val="16"/>
              </w:rPr>
            </w:pPr>
            <w:r>
              <w:rPr>
                <w:sz w:val="16"/>
                <w:szCs w:val="16"/>
              </w:rPr>
              <w:t>F1-SCORE: 0.75</w:t>
            </w:r>
          </w:p>
        </w:tc>
        <w:tc>
          <w:tcPr>
            <w:tcW w:w="1268" w:type="dxa"/>
            <w:vMerge w:val="restart"/>
            <w:tcBorders>
              <w:left w:val="single" w:sz="4" w:space="0" w:color="000000"/>
              <w:bottom w:val="single" w:sz="4" w:space="0" w:color="000000"/>
            </w:tcBorders>
            <w:shd w:val="clear" w:color="auto" w:fill="CCCCCC"/>
          </w:tcPr>
          <w:p w:rsidR="0026786C" w:rsidRDefault="00641C2E">
            <w:pPr>
              <w:pStyle w:val="TableContents"/>
              <w:rPr>
                <w:sz w:val="16"/>
                <w:szCs w:val="16"/>
              </w:rPr>
            </w:pPr>
            <w:r>
              <w:rPr>
                <w:sz w:val="16"/>
                <w:szCs w:val="16"/>
              </w:rPr>
              <w:t>4</w:t>
            </w:r>
          </w:p>
        </w:tc>
        <w:tc>
          <w:tcPr>
            <w:tcW w:w="1175" w:type="dxa"/>
            <w:vMerge w:val="restart"/>
            <w:tcBorders>
              <w:left w:val="single" w:sz="4" w:space="0" w:color="000000"/>
              <w:bottom w:val="single" w:sz="4" w:space="0" w:color="000000"/>
            </w:tcBorders>
            <w:shd w:val="clear" w:color="auto" w:fill="CCCCCC"/>
          </w:tcPr>
          <w:p w:rsidR="0026786C" w:rsidRDefault="00641C2E">
            <w:pPr>
              <w:pStyle w:val="TableContents"/>
              <w:rPr>
                <w:sz w:val="16"/>
                <w:szCs w:val="16"/>
              </w:rPr>
            </w:pPr>
            <w:r>
              <w:rPr>
                <w:sz w:val="16"/>
                <w:szCs w:val="16"/>
              </w:rPr>
              <w:t>7</w:t>
            </w:r>
          </w:p>
        </w:tc>
        <w:tc>
          <w:tcPr>
            <w:tcW w:w="525" w:type="dxa"/>
            <w:vMerge w:val="restart"/>
            <w:tcBorders>
              <w:left w:val="single" w:sz="4" w:space="0" w:color="000000"/>
              <w:bottom w:val="single" w:sz="4" w:space="0" w:color="000000"/>
            </w:tcBorders>
            <w:shd w:val="clear" w:color="auto" w:fill="CCCCCC"/>
          </w:tcPr>
          <w:p w:rsidR="0026786C" w:rsidRDefault="00641C2E">
            <w:pPr>
              <w:pStyle w:val="TableContents"/>
              <w:rPr>
                <w:sz w:val="16"/>
                <w:szCs w:val="16"/>
              </w:rPr>
            </w:pPr>
            <w:r>
              <w:rPr>
                <w:sz w:val="16"/>
                <w:szCs w:val="16"/>
              </w:rPr>
              <w:t>50</w:t>
            </w:r>
          </w:p>
        </w:tc>
        <w:tc>
          <w:tcPr>
            <w:tcW w:w="828" w:type="dxa"/>
            <w:vMerge w:val="restart"/>
            <w:tcBorders>
              <w:left w:val="single" w:sz="4" w:space="0" w:color="000000"/>
              <w:bottom w:val="single" w:sz="4" w:space="0" w:color="000000"/>
            </w:tcBorders>
            <w:shd w:val="clear" w:color="auto" w:fill="CCCCCC"/>
          </w:tcPr>
          <w:p w:rsidR="0026786C" w:rsidRDefault="00641C2E">
            <w:pPr>
              <w:pStyle w:val="TableContents"/>
              <w:rPr>
                <w:sz w:val="16"/>
                <w:szCs w:val="16"/>
              </w:rPr>
            </w:pPr>
            <w:r>
              <w:rPr>
                <w:sz w:val="16"/>
                <w:szCs w:val="16"/>
              </w:rPr>
              <w:t>0.01</w:t>
            </w:r>
          </w:p>
        </w:tc>
        <w:tc>
          <w:tcPr>
            <w:tcW w:w="734" w:type="dxa"/>
            <w:vMerge w:val="restart"/>
            <w:tcBorders>
              <w:left w:val="single" w:sz="4" w:space="0" w:color="000000"/>
              <w:bottom w:val="single" w:sz="4" w:space="0" w:color="000000"/>
            </w:tcBorders>
            <w:shd w:val="clear" w:color="auto" w:fill="CCCCCC"/>
          </w:tcPr>
          <w:p w:rsidR="0026786C" w:rsidRDefault="00641C2E">
            <w:pPr>
              <w:pStyle w:val="TableContents"/>
              <w:rPr>
                <w:sz w:val="16"/>
                <w:szCs w:val="16"/>
              </w:rPr>
            </w:pPr>
            <w:r>
              <w:rPr>
                <w:sz w:val="16"/>
                <w:szCs w:val="16"/>
              </w:rPr>
              <w:t>‘rbf’</w:t>
            </w:r>
          </w:p>
        </w:tc>
        <w:tc>
          <w:tcPr>
            <w:tcW w:w="1161" w:type="dxa"/>
            <w:tcBorders>
              <w:left w:val="single" w:sz="18" w:space="0" w:color="000000"/>
              <w:bottom w:val="single" w:sz="18" w:space="0" w:color="000000"/>
            </w:tcBorders>
            <w:shd w:val="clear" w:color="auto" w:fill="CCCCCC"/>
          </w:tcPr>
          <w:p w:rsidR="0026786C" w:rsidRDefault="00641C2E">
            <w:pPr>
              <w:pStyle w:val="TableContents"/>
              <w:rPr>
                <w:sz w:val="16"/>
                <w:szCs w:val="16"/>
              </w:rPr>
            </w:pPr>
            <w:r>
              <w:rPr>
                <w:sz w:val="16"/>
                <w:szCs w:val="16"/>
              </w:rPr>
              <w:t>29</w:t>
            </w:r>
          </w:p>
        </w:tc>
        <w:tc>
          <w:tcPr>
            <w:tcW w:w="1088" w:type="dxa"/>
            <w:tcBorders>
              <w:left w:val="single" w:sz="18" w:space="0" w:color="000000"/>
              <w:bottom w:val="single" w:sz="18" w:space="0" w:color="000000"/>
              <w:right w:val="single" w:sz="18" w:space="0" w:color="000000"/>
            </w:tcBorders>
            <w:shd w:val="clear" w:color="auto" w:fill="CCCCCC"/>
          </w:tcPr>
          <w:p w:rsidR="0026786C" w:rsidRDefault="00641C2E">
            <w:pPr>
              <w:pStyle w:val="TableContents"/>
              <w:rPr>
                <w:sz w:val="16"/>
                <w:szCs w:val="16"/>
              </w:rPr>
            </w:pPr>
            <w:r>
              <w:rPr>
                <w:sz w:val="16"/>
                <w:szCs w:val="16"/>
              </w:rPr>
              <w:t>0</w:t>
            </w:r>
          </w:p>
        </w:tc>
      </w:tr>
      <w:tr w:rsidR="0026786C">
        <w:trPr>
          <w:jc w:val="center"/>
        </w:trPr>
        <w:tc>
          <w:tcPr>
            <w:tcW w:w="1597"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1349"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1268"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1175"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525"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828"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734" w:type="dxa"/>
            <w:vMerge/>
            <w:tcBorders>
              <w:left w:val="single" w:sz="4" w:space="0" w:color="000000"/>
              <w:bottom w:val="single" w:sz="4" w:space="0" w:color="000000"/>
            </w:tcBorders>
            <w:shd w:val="clear" w:color="auto" w:fill="CCCCCC"/>
          </w:tcPr>
          <w:p w:rsidR="0026786C" w:rsidRDefault="0026786C">
            <w:pPr>
              <w:pStyle w:val="TableContents"/>
              <w:rPr>
                <w:sz w:val="16"/>
                <w:szCs w:val="16"/>
              </w:rPr>
            </w:pPr>
          </w:p>
        </w:tc>
        <w:tc>
          <w:tcPr>
            <w:tcW w:w="1161" w:type="dxa"/>
            <w:tcBorders>
              <w:left w:val="single" w:sz="18" w:space="0" w:color="000000"/>
              <w:bottom w:val="single" w:sz="18" w:space="0" w:color="000000"/>
            </w:tcBorders>
            <w:shd w:val="clear" w:color="auto" w:fill="CCCCCC"/>
          </w:tcPr>
          <w:p w:rsidR="0026786C" w:rsidRDefault="00641C2E">
            <w:pPr>
              <w:pStyle w:val="TableContents"/>
              <w:rPr>
                <w:sz w:val="16"/>
                <w:szCs w:val="16"/>
              </w:rPr>
            </w:pPr>
            <w:r>
              <w:rPr>
                <w:sz w:val="16"/>
                <w:szCs w:val="16"/>
              </w:rPr>
              <w:t>2</w:t>
            </w:r>
          </w:p>
        </w:tc>
        <w:tc>
          <w:tcPr>
            <w:tcW w:w="1088" w:type="dxa"/>
            <w:tcBorders>
              <w:left w:val="single" w:sz="18" w:space="0" w:color="000000"/>
              <w:bottom w:val="single" w:sz="18" w:space="0" w:color="000000"/>
              <w:right w:val="single" w:sz="18" w:space="0" w:color="000000"/>
            </w:tcBorders>
            <w:shd w:val="clear" w:color="auto" w:fill="CCCCCC"/>
          </w:tcPr>
          <w:p w:rsidR="0026786C" w:rsidRDefault="00641C2E">
            <w:pPr>
              <w:pStyle w:val="TableContents"/>
              <w:rPr>
                <w:sz w:val="16"/>
                <w:szCs w:val="16"/>
              </w:rPr>
            </w:pPr>
            <w:r>
              <w:rPr>
                <w:sz w:val="16"/>
                <w:szCs w:val="16"/>
              </w:rPr>
              <w:t>3</w:t>
            </w:r>
          </w:p>
        </w:tc>
      </w:tr>
      <w:tr w:rsidR="0026786C">
        <w:trPr>
          <w:jc w:val="center"/>
        </w:trPr>
        <w:tc>
          <w:tcPr>
            <w:tcW w:w="1597"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3</w:t>
            </w:r>
          </w:p>
        </w:tc>
        <w:tc>
          <w:tcPr>
            <w:tcW w:w="1349" w:type="dxa"/>
            <w:vMerge w:val="restart"/>
            <w:tcBorders>
              <w:left w:val="single" w:sz="4" w:space="0" w:color="000000"/>
              <w:bottom w:val="single" w:sz="4" w:space="0" w:color="000000"/>
            </w:tcBorders>
          </w:tcPr>
          <w:p w:rsidR="0026786C" w:rsidRDefault="00641C2E">
            <w:pPr>
              <w:pStyle w:val="TableContents"/>
              <w:jc w:val="left"/>
              <w:rPr>
                <w:sz w:val="16"/>
                <w:szCs w:val="16"/>
              </w:rPr>
            </w:pPr>
            <w:r>
              <w:rPr>
                <w:sz w:val="16"/>
                <w:szCs w:val="16"/>
              </w:rPr>
              <w:t>AUC : 0.56</w:t>
            </w:r>
          </w:p>
          <w:p w:rsidR="0026786C" w:rsidRDefault="00641C2E">
            <w:pPr>
              <w:pStyle w:val="TableContents"/>
              <w:jc w:val="left"/>
              <w:rPr>
                <w:sz w:val="16"/>
                <w:szCs w:val="16"/>
              </w:rPr>
            </w:pPr>
            <w:r>
              <w:rPr>
                <w:sz w:val="16"/>
                <w:szCs w:val="16"/>
              </w:rPr>
              <w:t>ACC.: 88.2%</w:t>
            </w:r>
          </w:p>
          <w:p w:rsidR="0026786C" w:rsidRDefault="00641C2E">
            <w:pPr>
              <w:pStyle w:val="TableContents"/>
              <w:jc w:val="left"/>
              <w:rPr>
                <w:sz w:val="16"/>
                <w:szCs w:val="16"/>
              </w:rPr>
            </w:pPr>
            <w:r>
              <w:rPr>
                <w:sz w:val="16"/>
                <w:szCs w:val="16"/>
              </w:rPr>
              <w:t>F1-SCORE: 0.50</w:t>
            </w:r>
          </w:p>
        </w:tc>
        <w:tc>
          <w:tcPr>
            <w:tcW w:w="126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4</w:t>
            </w:r>
          </w:p>
        </w:tc>
        <w:tc>
          <w:tcPr>
            <w:tcW w:w="117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9</w:t>
            </w:r>
          </w:p>
        </w:tc>
        <w:tc>
          <w:tcPr>
            <w:tcW w:w="52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5</w:t>
            </w:r>
          </w:p>
        </w:tc>
        <w:tc>
          <w:tcPr>
            <w:tcW w:w="82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0.1</w:t>
            </w:r>
          </w:p>
        </w:tc>
        <w:tc>
          <w:tcPr>
            <w:tcW w:w="734"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‘rbf’</w:t>
            </w: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28</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1</w:t>
            </w:r>
          </w:p>
        </w:tc>
      </w:tr>
      <w:tr w:rsidR="0026786C">
        <w:trPr>
          <w:jc w:val="center"/>
        </w:trPr>
        <w:tc>
          <w:tcPr>
            <w:tcW w:w="1597" w:type="dxa"/>
            <w:vMerge/>
            <w:tcBorders>
              <w:left w:val="single" w:sz="4" w:space="0" w:color="000000"/>
              <w:bottom w:val="single" w:sz="4" w:space="0" w:color="000000"/>
            </w:tcBorders>
          </w:tcPr>
          <w:p w:rsidR="0026786C" w:rsidRDefault="0026786C">
            <w:pPr>
              <w:pStyle w:val="TableContents"/>
              <w:rPr>
                <w:sz w:val="16"/>
                <w:szCs w:val="16"/>
              </w:rPr>
            </w:pPr>
          </w:p>
        </w:tc>
        <w:tc>
          <w:tcPr>
            <w:tcW w:w="1349" w:type="dxa"/>
            <w:vMerge/>
            <w:tcBorders>
              <w:left w:val="single" w:sz="4" w:space="0" w:color="000000"/>
              <w:bottom w:val="single" w:sz="4" w:space="0" w:color="000000"/>
            </w:tcBorders>
          </w:tcPr>
          <w:p w:rsidR="0026786C" w:rsidRDefault="0026786C">
            <w:pPr>
              <w:pStyle w:val="TableContents"/>
              <w:jc w:val="left"/>
              <w:rPr>
                <w:sz w:val="16"/>
                <w:szCs w:val="16"/>
              </w:rPr>
            </w:pPr>
          </w:p>
        </w:tc>
        <w:tc>
          <w:tcPr>
            <w:tcW w:w="1268" w:type="dxa"/>
            <w:vMerge/>
            <w:tcBorders>
              <w:left w:val="single" w:sz="4" w:space="0" w:color="000000"/>
              <w:bottom w:val="single" w:sz="4" w:space="0" w:color="000000"/>
            </w:tcBorders>
          </w:tcPr>
          <w:p w:rsidR="0026786C" w:rsidRDefault="0026786C">
            <w:pPr>
              <w:pStyle w:val="TableContents"/>
              <w:rPr>
                <w:sz w:val="16"/>
                <w:szCs w:val="16"/>
              </w:rPr>
            </w:pPr>
          </w:p>
        </w:tc>
        <w:tc>
          <w:tcPr>
            <w:tcW w:w="1175" w:type="dxa"/>
            <w:vMerge/>
            <w:tcBorders>
              <w:left w:val="single" w:sz="4" w:space="0" w:color="000000"/>
              <w:bottom w:val="single" w:sz="4" w:space="0" w:color="000000"/>
            </w:tcBorders>
          </w:tcPr>
          <w:p w:rsidR="0026786C" w:rsidRDefault="0026786C">
            <w:pPr>
              <w:pStyle w:val="TableContents"/>
              <w:rPr>
                <w:sz w:val="16"/>
                <w:szCs w:val="16"/>
              </w:rPr>
            </w:pPr>
          </w:p>
        </w:tc>
        <w:tc>
          <w:tcPr>
            <w:tcW w:w="525" w:type="dxa"/>
            <w:vMerge/>
            <w:tcBorders>
              <w:left w:val="single" w:sz="4" w:space="0" w:color="000000"/>
              <w:bottom w:val="single" w:sz="4" w:space="0" w:color="000000"/>
            </w:tcBorders>
          </w:tcPr>
          <w:p w:rsidR="0026786C" w:rsidRDefault="0026786C">
            <w:pPr>
              <w:pStyle w:val="TableContents"/>
              <w:rPr>
                <w:sz w:val="16"/>
                <w:szCs w:val="16"/>
              </w:rPr>
            </w:pPr>
          </w:p>
        </w:tc>
        <w:tc>
          <w:tcPr>
            <w:tcW w:w="828" w:type="dxa"/>
            <w:vMerge/>
            <w:tcBorders>
              <w:left w:val="single" w:sz="4" w:space="0" w:color="000000"/>
              <w:bottom w:val="single" w:sz="4" w:space="0" w:color="000000"/>
            </w:tcBorders>
          </w:tcPr>
          <w:p w:rsidR="0026786C" w:rsidRDefault="0026786C">
            <w:pPr>
              <w:pStyle w:val="TableContents"/>
              <w:rPr>
                <w:sz w:val="16"/>
                <w:szCs w:val="16"/>
              </w:rPr>
            </w:pPr>
          </w:p>
        </w:tc>
        <w:tc>
          <w:tcPr>
            <w:tcW w:w="734" w:type="dxa"/>
            <w:vMerge/>
            <w:tcBorders>
              <w:left w:val="single" w:sz="4" w:space="0" w:color="000000"/>
              <w:bottom w:val="single" w:sz="4" w:space="0" w:color="000000"/>
            </w:tcBorders>
          </w:tcPr>
          <w:p w:rsidR="0026786C" w:rsidRDefault="0026786C">
            <w:pPr>
              <w:pStyle w:val="TableContents"/>
              <w:rPr>
                <w:sz w:val="16"/>
                <w:szCs w:val="16"/>
              </w:rPr>
            </w:pP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3</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2</w:t>
            </w:r>
          </w:p>
        </w:tc>
      </w:tr>
      <w:tr w:rsidR="0026786C">
        <w:trPr>
          <w:jc w:val="center"/>
        </w:trPr>
        <w:tc>
          <w:tcPr>
            <w:tcW w:w="1597"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4</w:t>
            </w:r>
          </w:p>
        </w:tc>
        <w:tc>
          <w:tcPr>
            <w:tcW w:w="1349" w:type="dxa"/>
            <w:vMerge w:val="restart"/>
            <w:tcBorders>
              <w:left w:val="single" w:sz="4" w:space="0" w:color="000000"/>
              <w:bottom w:val="single" w:sz="4" w:space="0" w:color="000000"/>
            </w:tcBorders>
          </w:tcPr>
          <w:p w:rsidR="0026786C" w:rsidRDefault="00641C2E">
            <w:pPr>
              <w:pStyle w:val="TableContents"/>
              <w:jc w:val="left"/>
              <w:rPr>
                <w:sz w:val="16"/>
                <w:szCs w:val="16"/>
              </w:rPr>
            </w:pPr>
            <w:r>
              <w:rPr>
                <w:sz w:val="16"/>
                <w:szCs w:val="16"/>
              </w:rPr>
              <w:t>AUC : 0.24</w:t>
            </w:r>
          </w:p>
          <w:p w:rsidR="0026786C" w:rsidRDefault="00641C2E">
            <w:pPr>
              <w:pStyle w:val="TableContents"/>
              <w:jc w:val="left"/>
              <w:rPr>
                <w:sz w:val="16"/>
                <w:szCs w:val="16"/>
              </w:rPr>
            </w:pPr>
            <w:r>
              <w:rPr>
                <w:sz w:val="16"/>
                <w:szCs w:val="16"/>
              </w:rPr>
              <w:t>ACC. : 75.7%</w:t>
            </w:r>
          </w:p>
          <w:p w:rsidR="0026786C" w:rsidRDefault="00641C2E">
            <w:pPr>
              <w:pStyle w:val="TableContents"/>
              <w:jc w:val="left"/>
              <w:rPr>
                <w:sz w:val="16"/>
                <w:szCs w:val="16"/>
              </w:rPr>
            </w:pPr>
            <w:r>
              <w:rPr>
                <w:sz w:val="16"/>
                <w:szCs w:val="16"/>
              </w:rPr>
              <w:t>F1-SCORE : 0.0</w:t>
            </w:r>
          </w:p>
        </w:tc>
        <w:tc>
          <w:tcPr>
            <w:tcW w:w="126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5</w:t>
            </w:r>
          </w:p>
        </w:tc>
        <w:tc>
          <w:tcPr>
            <w:tcW w:w="117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7</w:t>
            </w:r>
          </w:p>
        </w:tc>
        <w:tc>
          <w:tcPr>
            <w:tcW w:w="52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5</w:t>
            </w:r>
          </w:p>
        </w:tc>
        <w:tc>
          <w:tcPr>
            <w:tcW w:w="82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0.1</w:t>
            </w:r>
          </w:p>
        </w:tc>
        <w:tc>
          <w:tcPr>
            <w:tcW w:w="734"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‘rbf’</w:t>
            </w: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25</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3</w:t>
            </w:r>
          </w:p>
        </w:tc>
      </w:tr>
      <w:tr w:rsidR="0026786C">
        <w:trPr>
          <w:jc w:val="center"/>
        </w:trPr>
        <w:tc>
          <w:tcPr>
            <w:tcW w:w="1597" w:type="dxa"/>
            <w:vMerge/>
            <w:tcBorders>
              <w:left w:val="single" w:sz="4" w:space="0" w:color="000000"/>
              <w:bottom w:val="single" w:sz="4" w:space="0" w:color="000000"/>
            </w:tcBorders>
          </w:tcPr>
          <w:p w:rsidR="0026786C" w:rsidRDefault="0026786C">
            <w:pPr>
              <w:pStyle w:val="TableContents"/>
              <w:rPr>
                <w:sz w:val="16"/>
                <w:szCs w:val="16"/>
              </w:rPr>
            </w:pPr>
          </w:p>
        </w:tc>
        <w:tc>
          <w:tcPr>
            <w:tcW w:w="1349" w:type="dxa"/>
            <w:vMerge/>
            <w:tcBorders>
              <w:left w:val="single" w:sz="4" w:space="0" w:color="000000"/>
              <w:bottom w:val="single" w:sz="4" w:space="0" w:color="000000"/>
            </w:tcBorders>
          </w:tcPr>
          <w:p w:rsidR="0026786C" w:rsidRDefault="0026786C">
            <w:pPr>
              <w:pStyle w:val="TableContents"/>
              <w:jc w:val="left"/>
              <w:rPr>
                <w:sz w:val="16"/>
                <w:szCs w:val="16"/>
              </w:rPr>
            </w:pPr>
          </w:p>
        </w:tc>
        <w:tc>
          <w:tcPr>
            <w:tcW w:w="1268" w:type="dxa"/>
            <w:vMerge/>
            <w:tcBorders>
              <w:left w:val="single" w:sz="4" w:space="0" w:color="000000"/>
              <w:bottom w:val="single" w:sz="4" w:space="0" w:color="000000"/>
            </w:tcBorders>
          </w:tcPr>
          <w:p w:rsidR="0026786C" w:rsidRDefault="0026786C">
            <w:pPr>
              <w:pStyle w:val="TableContents"/>
              <w:rPr>
                <w:sz w:val="16"/>
                <w:szCs w:val="16"/>
              </w:rPr>
            </w:pPr>
          </w:p>
        </w:tc>
        <w:tc>
          <w:tcPr>
            <w:tcW w:w="1175" w:type="dxa"/>
            <w:vMerge/>
            <w:tcBorders>
              <w:left w:val="single" w:sz="4" w:space="0" w:color="000000"/>
              <w:bottom w:val="single" w:sz="4" w:space="0" w:color="000000"/>
            </w:tcBorders>
          </w:tcPr>
          <w:p w:rsidR="0026786C" w:rsidRDefault="0026786C">
            <w:pPr>
              <w:pStyle w:val="TableContents"/>
              <w:rPr>
                <w:sz w:val="16"/>
                <w:szCs w:val="16"/>
              </w:rPr>
            </w:pPr>
          </w:p>
        </w:tc>
        <w:tc>
          <w:tcPr>
            <w:tcW w:w="525" w:type="dxa"/>
            <w:vMerge/>
            <w:tcBorders>
              <w:left w:val="single" w:sz="4" w:space="0" w:color="000000"/>
              <w:bottom w:val="single" w:sz="4" w:space="0" w:color="000000"/>
            </w:tcBorders>
          </w:tcPr>
          <w:p w:rsidR="0026786C" w:rsidRDefault="0026786C">
            <w:pPr>
              <w:pStyle w:val="TableContents"/>
              <w:rPr>
                <w:sz w:val="16"/>
                <w:szCs w:val="16"/>
              </w:rPr>
            </w:pPr>
          </w:p>
        </w:tc>
        <w:tc>
          <w:tcPr>
            <w:tcW w:w="828" w:type="dxa"/>
            <w:vMerge/>
            <w:tcBorders>
              <w:left w:val="single" w:sz="4" w:space="0" w:color="000000"/>
              <w:bottom w:val="single" w:sz="4" w:space="0" w:color="000000"/>
            </w:tcBorders>
          </w:tcPr>
          <w:p w:rsidR="0026786C" w:rsidRDefault="0026786C">
            <w:pPr>
              <w:pStyle w:val="TableContents"/>
              <w:rPr>
                <w:sz w:val="16"/>
                <w:szCs w:val="16"/>
              </w:rPr>
            </w:pPr>
          </w:p>
        </w:tc>
        <w:tc>
          <w:tcPr>
            <w:tcW w:w="734" w:type="dxa"/>
            <w:vMerge/>
            <w:tcBorders>
              <w:left w:val="single" w:sz="4" w:space="0" w:color="000000"/>
              <w:bottom w:val="single" w:sz="4" w:space="0" w:color="000000"/>
            </w:tcBorders>
          </w:tcPr>
          <w:p w:rsidR="0026786C" w:rsidRDefault="0026786C">
            <w:pPr>
              <w:pStyle w:val="TableContents"/>
              <w:rPr>
                <w:sz w:val="16"/>
                <w:szCs w:val="16"/>
              </w:rPr>
            </w:pP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5</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0</w:t>
            </w:r>
          </w:p>
        </w:tc>
      </w:tr>
      <w:tr w:rsidR="0026786C">
        <w:trPr>
          <w:jc w:val="center"/>
        </w:trPr>
        <w:tc>
          <w:tcPr>
            <w:tcW w:w="1597"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5</w:t>
            </w:r>
          </w:p>
        </w:tc>
        <w:tc>
          <w:tcPr>
            <w:tcW w:w="1349" w:type="dxa"/>
            <w:vMerge w:val="restart"/>
            <w:tcBorders>
              <w:left w:val="single" w:sz="4" w:space="0" w:color="000000"/>
              <w:bottom w:val="single" w:sz="4" w:space="0" w:color="000000"/>
            </w:tcBorders>
          </w:tcPr>
          <w:p w:rsidR="0026786C" w:rsidRDefault="00641C2E">
            <w:pPr>
              <w:pStyle w:val="TableContents"/>
              <w:jc w:val="left"/>
              <w:rPr>
                <w:sz w:val="16"/>
                <w:szCs w:val="16"/>
              </w:rPr>
            </w:pPr>
            <w:r>
              <w:rPr>
                <w:sz w:val="16"/>
                <w:szCs w:val="16"/>
              </w:rPr>
              <w:t>AUC : 0.39</w:t>
            </w:r>
          </w:p>
          <w:p w:rsidR="0026786C" w:rsidRDefault="00641C2E">
            <w:pPr>
              <w:pStyle w:val="TableContents"/>
              <w:jc w:val="left"/>
              <w:rPr>
                <w:sz w:val="16"/>
                <w:szCs w:val="16"/>
              </w:rPr>
            </w:pPr>
            <w:r>
              <w:rPr>
                <w:sz w:val="16"/>
                <w:szCs w:val="16"/>
              </w:rPr>
              <w:t>ACC:  84.8%</w:t>
            </w:r>
          </w:p>
          <w:p w:rsidR="0026786C" w:rsidRDefault="00641C2E">
            <w:pPr>
              <w:pStyle w:val="TableContents"/>
              <w:jc w:val="left"/>
              <w:rPr>
                <w:sz w:val="16"/>
                <w:szCs w:val="16"/>
              </w:rPr>
            </w:pPr>
            <w:r>
              <w:rPr>
                <w:sz w:val="16"/>
                <w:szCs w:val="16"/>
              </w:rPr>
              <w:t>F1-SCORE: 0.54</w:t>
            </w:r>
          </w:p>
        </w:tc>
        <w:tc>
          <w:tcPr>
            <w:tcW w:w="126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6</w:t>
            </w:r>
          </w:p>
        </w:tc>
        <w:tc>
          <w:tcPr>
            <w:tcW w:w="117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17</w:t>
            </w:r>
          </w:p>
        </w:tc>
        <w:tc>
          <w:tcPr>
            <w:tcW w:w="525"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5</w:t>
            </w:r>
          </w:p>
        </w:tc>
        <w:tc>
          <w:tcPr>
            <w:tcW w:w="828"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‘scale’</w:t>
            </w:r>
          </w:p>
        </w:tc>
        <w:tc>
          <w:tcPr>
            <w:tcW w:w="734" w:type="dxa"/>
            <w:vMerge w:val="restart"/>
            <w:tcBorders>
              <w:left w:val="single" w:sz="4" w:space="0" w:color="000000"/>
              <w:bottom w:val="single" w:sz="4" w:space="0" w:color="000000"/>
            </w:tcBorders>
          </w:tcPr>
          <w:p w:rsidR="0026786C" w:rsidRDefault="00641C2E">
            <w:pPr>
              <w:pStyle w:val="TableContents"/>
              <w:rPr>
                <w:sz w:val="16"/>
                <w:szCs w:val="16"/>
              </w:rPr>
            </w:pPr>
            <w:r>
              <w:rPr>
                <w:sz w:val="16"/>
                <w:szCs w:val="16"/>
              </w:rPr>
              <w:t>‘linear’</w:t>
            </w:r>
          </w:p>
        </w:tc>
        <w:tc>
          <w:tcPr>
            <w:tcW w:w="1161" w:type="dxa"/>
            <w:tcBorders>
              <w:left w:val="single" w:sz="18" w:space="0" w:color="000000"/>
              <w:bottom w:val="single" w:sz="18" w:space="0" w:color="000000"/>
            </w:tcBorders>
          </w:tcPr>
          <w:p w:rsidR="0026786C" w:rsidRDefault="00641C2E">
            <w:pPr>
              <w:pStyle w:val="TableContents"/>
              <w:rPr>
                <w:sz w:val="16"/>
                <w:szCs w:val="16"/>
              </w:rPr>
            </w:pPr>
            <w:r>
              <w:rPr>
                <w:sz w:val="16"/>
                <w:szCs w:val="16"/>
              </w:rPr>
              <w:t>25</w:t>
            </w:r>
          </w:p>
        </w:tc>
        <w:tc>
          <w:tcPr>
            <w:tcW w:w="1088" w:type="dxa"/>
            <w:tcBorders>
              <w:left w:val="single" w:sz="18" w:space="0" w:color="000000"/>
              <w:bottom w:val="single" w:sz="18" w:space="0" w:color="000000"/>
              <w:right w:val="single" w:sz="18" w:space="0" w:color="000000"/>
            </w:tcBorders>
          </w:tcPr>
          <w:p w:rsidR="0026786C" w:rsidRDefault="00641C2E">
            <w:pPr>
              <w:pStyle w:val="TableContents"/>
              <w:rPr>
                <w:sz w:val="16"/>
                <w:szCs w:val="16"/>
              </w:rPr>
            </w:pPr>
            <w:r>
              <w:rPr>
                <w:sz w:val="16"/>
                <w:szCs w:val="16"/>
              </w:rPr>
              <w:t>3</w:t>
            </w:r>
          </w:p>
        </w:tc>
      </w:tr>
      <w:tr w:rsidR="0026786C">
        <w:trPr>
          <w:jc w:val="center"/>
        </w:trPr>
        <w:tc>
          <w:tcPr>
            <w:tcW w:w="1597" w:type="dxa"/>
            <w:vMerge/>
            <w:tcBorders>
              <w:left w:val="single" w:sz="4" w:space="0" w:color="000000"/>
              <w:bottom w:val="single" w:sz="4" w:space="0" w:color="000000"/>
            </w:tcBorders>
          </w:tcPr>
          <w:p w:rsidR="0026786C" w:rsidRDefault="0026786C">
            <w:pPr>
              <w:pStyle w:val="TableContents"/>
              <w:rPr>
                <w:sz w:val="16"/>
                <w:szCs w:val="16"/>
              </w:rPr>
            </w:pPr>
          </w:p>
        </w:tc>
        <w:tc>
          <w:tcPr>
            <w:tcW w:w="1349" w:type="dxa"/>
            <w:vMerge/>
            <w:tcBorders>
              <w:left w:val="single" w:sz="4" w:space="0" w:color="000000"/>
              <w:bottom w:val="single" w:sz="4" w:space="0" w:color="000000"/>
            </w:tcBorders>
          </w:tcPr>
          <w:p w:rsidR="0026786C" w:rsidRDefault="0026786C">
            <w:pPr>
              <w:pStyle w:val="TableContents"/>
              <w:rPr>
                <w:sz w:val="16"/>
                <w:szCs w:val="16"/>
              </w:rPr>
            </w:pPr>
          </w:p>
        </w:tc>
        <w:tc>
          <w:tcPr>
            <w:tcW w:w="1268" w:type="dxa"/>
            <w:vMerge/>
            <w:tcBorders>
              <w:left w:val="single" w:sz="4" w:space="0" w:color="000000"/>
              <w:bottom w:val="single" w:sz="4" w:space="0" w:color="000000"/>
            </w:tcBorders>
          </w:tcPr>
          <w:p w:rsidR="0026786C" w:rsidRDefault="0026786C">
            <w:pPr>
              <w:pStyle w:val="TableContents"/>
              <w:rPr>
                <w:sz w:val="16"/>
                <w:szCs w:val="16"/>
              </w:rPr>
            </w:pPr>
          </w:p>
        </w:tc>
        <w:tc>
          <w:tcPr>
            <w:tcW w:w="1175" w:type="dxa"/>
            <w:vMerge/>
            <w:tcBorders>
              <w:left w:val="single" w:sz="4" w:space="0" w:color="000000"/>
              <w:bottom w:val="single" w:sz="4" w:space="0" w:color="000000"/>
            </w:tcBorders>
          </w:tcPr>
          <w:p w:rsidR="0026786C" w:rsidRDefault="0026786C">
            <w:pPr>
              <w:pStyle w:val="TableContents"/>
              <w:rPr>
                <w:sz w:val="16"/>
                <w:szCs w:val="16"/>
              </w:rPr>
            </w:pPr>
          </w:p>
        </w:tc>
        <w:tc>
          <w:tcPr>
            <w:tcW w:w="525" w:type="dxa"/>
            <w:vMerge/>
            <w:tcBorders>
              <w:left w:val="single" w:sz="4" w:space="0" w:color="000000"/>
              <w:bottom w:val="single" w:sz="4" w:space="0" w:color="000000"/>
            </w:tcBorders>
          </w:tcPr>
          <w:p w:rsidR="0026786C" w:rsidRDefault="0026786C">
            <w:pPr>
              <w:pStyle w:val="TableContents"/>
              <w:rPr>
                <w:sz w:val="16"/>
                <w:szCs w:val="16"/>
              </w:rPr>
            </w:pPr>
          </w:p>
        </w:tc>
        <w:tc>
          <w:tcPr>
            <w:tcW w:w="828" w:type="dxa"/>
            <w:vMerge/>
            <w:tcBorders>
              <w:left w:val="single" w:sz="4" w:space="0" w:color="000000"/>
              <w:bottom w:val="single" w:sz="4" w:space="0" w:color="000000"/>
            </w:tcBorders>
          </w:tcPr>
          <w:p w:rsidR="0026786C" w:rsidRDefault="0026786C">
            <w:pPr>
              <w:pStyle w:val="TableContents"/>
              <w:rPr>
                <w:sz w:val="16"/>
                <w:szCs w:val="16"/>
              </w:rPr>
            </w:pPr>
          </w:p>
        </w:tc>
        <w:tc>
          <w:tcPr>
            <w:tcW w:w="734" w:type="dxa"/>
            <w:vMerge/>
            <w:tcBorders>
              <w:left w:val="single" w:sz="4" w:space="0" w:color="000000"/>
              <w:bottom w:val="single" w:sz="4" w:space="0" w:color="000000"/>
            </w:tcBorders>
          </w:tcPr>
          <w:p w:rsidR="0026786C" w:rsidRDefault="0026786C">
            <w:pPr>
              <w:pStyle w:val="TableContents"/>
              <w:rPr>
                <w:sz w:val="16"/>
                <w:szCs w:val="16"/>
              </w:rPr>
            </w:pPr>
          </w:p>
        </w:tc>
        <w:tc>
          <w:tcPr>
            <w:tcW w:w="1161" w:type="dxa"/>
            <w:tcBorders>
              <w:left w:val="single" w:sz="18" w:space="0" w:color="000000"/>
              <w:bottom w:val="single" w:sz="16" w:space="0" w:color="000000"/>
            </w:tcBorders>
          </w:tcPr>
          <w:p w:rsidR="0026786C" w:rsidRDefault="00641C2E">
            <w:pPr>
              <w:pStyle w:val="TableContents"/>
              <w:rPr>
                <w:sz w:val="16"/>
                <w:szCs w:val="16"/>
              </w:rPr>
            </w:pPr>
            <w:r>
              <w:rPr>
                <w:sz w:val="16"/>
                <w:szCs w:val="16"/>
              </w:rPr>
              <w:t>2</w:t>
            </w:r>
          </w:p>
        </w:tc>
        <w:tc>
          <w:tcPr>
            <w:tcW w:w="1088" w:type="dxa"/>
            <w:tcBorders>
              <w:left w:val="single" w:sz="18" w:space="0" w:color="000000"/>
              <w:bottom w:val="single" w:sz="16" w:space="0" w:color="000000"/>
              <w:right w:val="single" w:sz="18" w:space="0" w:color="000000"/>
            </w:tcBorders>
          </w:tcPr>
          <w:p w:rsidR="0026786C" w:rsidRDefault="00641C2E">
            <w:pPr>
              <w:pStyle w:val="TableContents"/>
              <w:rPr>
                <w:sz w:val="16"/>
                <w:szCs w:val="16"/>
              </w:rPr>
            </w:pPr>
            <w:r>
              <w:rPr>
                <w:sz w:val="16"/>
                <w:szCs w:val="16"/>
              </w:rPr>
              <w:t>3</w:t>
            </w:r>
          </w:p>
        </w:tc>
      </w:tr>
    </w:tbl>
    <w:p w:rsidR="0026786C" w:rsidRDefault="00641C2E">
      <w:pPr>
        <w:jc w:val="left"/>
      </w:pPr>
      <w:r>
        <w:tab/>
      </w:r>
    </w:p>
    <w:p w:rsidR="0026786C" w:rsidRDefault="00641C2E">
      <w:pPr>
        <w:jc w:val="left"/>
        <w:rPr>
          <w:sz w:val="16"/>
          <w:szCs w:val="16"/>
        </w:rPr>
      </w:pPr>
      <w:r>
        <w:rPr>
          <w:sz w:val="16"/>
          <w:szCs w:val="16"/>
        </w:rPr>
        <w:t xml:space="preserve">     </w:t>
      </w:r>
    </w:p>
    <w:p w:rsidR="0026786C" w:rsidRDefault="0026786C">
      <w:pPr>
        <w:sectPr w:rsidR="0026786C">
          <w:type w:val="continuous"/>
          <w:pgSz w:w="11906" w:h="16838"/>
          <w:pgMar w:top="540" w:right="893" w:bottom="1440" w:left="893" w:header="0" w:footer="0" w:gutter="0"/>
          <w:cols w:space="708"/>
          <w:formProt w:val="0"/>
          <w:docGrid w:linePitch="360" w:charSpace="16384"/>
        </w:sectPr>
      </w:pPr>
    </w:p>
    <w:p w:rsidR="0026786C" w:rsidRDefault="00641C2E">
      <w:pPr>
        <w:pStyle w:val="Balk2"/>
      </w:pPr>
      <w:r>
        <w:t>Limitations</w:t>
      </w:r>
    </w:p>
    <w:p w:rsidR="0026786C" w:rsidRDefault="00641C2E">
      <w:pPr>
        <w:pStyle w:val="GvdeMetni"/>
        <w:ind w:firstLine="0"/>
      </w:pPr>
      <w:r>
        <w:tab/>
        <w:t xml:space="preserve">Three primary limitations qualify these findings. First, the small cohort size (N = 69, 11 AML cases) is a deliberate </w:t>
      </w:r>
      <w:r>
        <w:t>subject of investigation rather than an incidental constraint; while specific volatility magnitudes vary, the underlying high-dimensional interpolation mechanism generalizes to any scarce cohort. Second, this study relies on a single-institution dataset an</w:t>
      </w:r>
      <w:r>
        <w:t xml:space="preserve">d a single imaging phase (arterial); multi-center external validation remains necessary before drawing generalizable clinical conclusions. Third, while shifting toward image-level augmentation is theoretically well-motivated, its capacity to stabilize the </w:t>
      </w:r>
      <w:r>
        <w:t>SVM decision boundary in this specific task remains a hypothesis for future empirical validation.</w:t>
      </w:r>
    </w:p>
    <w:p w:rsidR="0026786C" w:rsidRDefault="00641C2E">
      <w:pPr>
        <w:pStyle w:val="Balk1"/>
      </w:pPr>
      <w:r>
        <w:t>Conclusion and future work</w:t>
      </w:r>
    </w:p>
    <w:p w:rsidR="0026786C" w:rsidRDefault="00641C2E">
      <w:pPr>
        <w:pStyle w:val="GvdeMetni"/>
      </w:pPr>
      <w:r>
        <w:t>This study establishes that standard tabular oversampling via SMOTE is structurally incapable of recovering a discriminative signal or anchoring a stable decision boundary  when differentiating malignant Renal Cell Carcinoma (RCC) from benign Angiomyolipom</w:t>
      </w:r>
      <w:r>
        <w:t>a (AML) if the minority class is limited to a handful of high-dimensional vectors. While isolated data partitions yielded deceptive, highly publishable peaks (AUC of 0.81 to 0.94), rigorous nested cross-validation exposed a complete collapse of average per</w:t>
      </w:r>
      <w:r>
        <w:t>formance to chance level.</w:t>
      </w:r>
    </w:p>
    <w:p w:rsidR="0026786C" w:rsidRDefault="00641C2E">
      <w:pPr>
        <w:pStyle w:val="GvdeMetni"/>
      </w:pPr>
      <w:r>
        <w:t xml:space="preserve">What makes this study methodologically unique is its direct, dual-state comparison of "with-SMOTE" versus "without-SMOTE" baseline configurations under rigorous cross-validation. Beyond a simple pipeline evaluation, this approach </w:t>
      </w:r>
      <w:r>
        <w:t>serves as a critical methodological critique addressing widespread reporting flaws in peer-reviewed radiomics literature, where single-split reporting and pre-split data leakage frequently mask model instability. The core contribution of our work lies in t</w:t>
      </w:r>
      <w:r>
        <w:t>he joint analysis of these baseline and oversampled configurations: while a severe class imbalance (84:16) crushes the unassisted baseline performance to chance level (AUC = 0.51±0.20), the addition of SMOTE completely fails to rescue the model, leaving th</w:t>
      </w:r>
      <w:r>
        <w:t>e cross-validated mean entirely flat (AUC = 0.49±0.19). Rather than successfully weighting the minority distribution, standard tabular interpolation among scarce minority cases (N &lt; 15) within high-dimensional space (D &gt; 1000) merely generates unphysical m</w:t>
      </w:r>
      <w:r>
        <w:t>athematical noise, creating a dangerous 0.81 AUC illusion on isolated splits. By contrasting these dual states, we provide an empirical proof that is highly valuable to the broader scientific community: it definitively demonstrates that tabular oversamplin</w:t>
      </w:r>
      <w:r>
        <w:t xml:space="preserve">g is structurally incapable of anchoring a stable boundary in this regime, while providing strong evidence that these un-augmented radiomic features lack an easily separable biological signal. Ultimately, this work highlights that medical imaging progress </w:t>
      </w:r>
      <w:r>
        <w:t>relies not just on publishing successful algorithms, but on rigorously documenting why widespread feature-space shortcuts fail in data-scarce clinical tasks.</w:t>
      </w:r>
    </w:p>
    <w:p w:rsidR="0026786C" w:rsidRDefault="00641C2E">
      <w:pPr>
        <w:pStyle w:val="GvdeMetni"/>
      </w:pPr>
      <w:r>
        <w:lastRenderedPageBreak/>
        <w:t>To break this cycle of performance inflation and false optimism, the field must transition away fr</w:t>
      </w:r>
      <w:r>
        <w:t>om abstract feature-space hacks and toward physically grounded approaches. We propose that future radiomics augmentation strategies shift exclusively to image-level data augmentation, including 3D geometric transformations, Hounsfield Unit intensity shifti</w:t>
      </w:r>
      <w:r>
        <w:t>ng, and morphological ROI boundary perturbations (erosion and dilation) performed directly on the source CT volumes. Because these features represent physical interactions between X-ray photons and biological structures, augmentation must respect spatial r</w:t>
      </w:r>
      <w:r>
        <w:t>eality.Implementing image-level manipulation followed by rigorous cross-validation represents a methodologically superior hypothesis: it anchors every synthetic sample in genuine 3D tumor anatomy. If future multi-fold mean performance rises above AUC = 0.5</w:t>
      </w:r>
      <w:r>
        <w:t>0 under image-augmented frameworks, it will definitively prove that tabular SMOTE was destroying underlying spatial relationships; if it remains at chance level, it will provide conclusive evidence that the radiomic features themselves carry no discriminat</w:t>
      </w:r>
      <w:r>
        <w:t>ive power for the clinical task at hand within this current sample scope.</w:t>
      </w:r>
    </w:p>
    <w:p w:rsidR="0026786C" w:rsidRDefault="00641C2E">
      <w:pPr>
        <w:pStyle w:val="GvdeMetni"/>
      </w:pPr>
      <w:r>
        <w:t>Crucially, regardless of whether image-level augmentation succeeds in uncovering a hidden biological signal or definitively confirms feature irrelevance, an extensive and long-term a</w:t>
      </w:r>
      <w:r>
        <w:t>lternative strategy remains necessary. The ultimate path forward to bypass the physical constraints of data scarcity requires moving beyond single-institution cohorts. To address this, the publication of this framework and its cautionary findings is intend</w:t>
      </w:r>
      <w:r>
        <w:t xml:space="preserve">ed to catalyze a broad multidisciplinary collaboration within both local and universal urology communities. Although there are advanced deep-learning models offering highly accurate AML/RCC classification [16], looking beyond image-level augmentation, our </w:t>
      </w:r>
      <w:r>
        <w:t>extensive long-term plan proposes extending their study and work by integrating the distinct mathematical, physical, and biological interpretability of radiomics. This grounded framework directly counters our current scarcity of multicenter datasets and do</w:t>
      </w:r>
      <w:r>
        <w:t>main expert collaboration. By anchoring the pipeline in transparent, physically aligned features, we can maximize the value of limited data while building a trusted, interpretable diagnostic tool.</w:t>
      </w:r>
    </w:p>
    <w:p w:rsidR="0026786C" w:rsidRDefault="00641C2E">
      <w:pPr>
        <w:pStyle w:val="Balk5"/>
      </w:pPr>
      <w:r>
        <w:t xml:space="preserve">Acknowledgment </w:t>
      </w:r>
    </w:p>
    <w:p w:rsidR="0026786C" w:rsidRDefault="00641C2E">
      <w:pPr>
        <w:pStyle w:val="Balk5"/>
        <w:jc w:val="both"/>
        <w:rPr>
          <w:smallCaps w:val="0"/>
          <w:spacing w:val="-1"/>
          <w:lang w:val="x-none" w:eastAsia="x-none"/>
        </w:rPr>
      </w:pPr>
      <w:r>
        <w:rPr>
          <w:smallCaps w:val="0"/>
          <w:spacing w:val="-1"/>
          <w:lang w:val="x-none" w:eastAsia="x-none"/>
        </w:rPr>
        <w:tab/>
        <w:t>Special thanks go to the UCSF RMaC researc</w:t>
      </w:r>
      <w:r>
        <w:rPr>
          <w:smallCaps w:val="0"/>
          <w:spacing w:val="-1"/>
          <w:lang w:val="x-none" w:eastAsia="x-none"/>
        </w:rPr>
        <w:t>h team [8]  for curating the 3D</w:t>
      </w:r>
      <w:r>
        <w:rPr>
          <w:smallCaps w:val="0"/>
          <w:spacing w:val="-1"/>
          <w:lang w:eastAsia="x-none"/>
        </w:rPr>
        <w:t xml:space="preserve"> </w:t>
      </w:r>
      <w:r>
        <w:rPr>
          <w:smallCaps w:val="0"/>
          <w:spacing w:val="-1"/>
          <w:lang w:val="x-none" w:eastAsia="x-none"/>
        </w:rPr>
        <w:t>Multi-Phase Renal Mass CT Dataset. Their provision of ready-to-use, pre-segmented CT images was essential for the successful implementation of this radiomics framework.</w:t>
      </w:r>
    </w:p>
    <w:p w:rsidR="0026786C" w:rsidRDefault="00641C2E">
      <w:pPr>
        <w:pStyle w:val="Balk5"/>
      </w:pPr>
      <w:r>
        <w:t>References</w:t>
      </w:r>
    </w:p>
    <w:p w:rsidR="0026786C" w:rsidRDefault="00641C2E">
      <w:pPr>
        <w:pStyle w:val="references"/>
        <w:ind w:left="354" w:hanging="354"/>
      </w:pPr>
      <w:r>
        <w:t xml:space="preserve">I. A. Kawalit, Z. H. Kalaji, A. M. Ibrahim, </w:t>
      </w:r>
      <w:r>
        <w:t>E. M. Emtair, and L. F. Al-Rabati, “Multidisciplinary Approach to a Complicate Renal Angiomyolipoma: A Case Report Review”, Medical Research Archives, vol. 12, no. 10, October 2024, doi://doi.org//10.18103/mra.v12i10.5880.</w:t>
      </w:r>
    </w:p>
    <w:p w:rsidR="0026786C" w:rsidRDefault="00641C2E">
      <w:pPr>
        <w:pStyle w:val="references"/>
        <w:ind w:left="354" w:hanging="354"/>
      </w:pPr>
      <w:r>
        <w:rPr>
          <w:rFonts w:ascii="Times New Roman;serif" w:hAnsi="Times New Roman;serif"/>
          <w:color w:val="000000"/>
        </w:rPr>
        <w:t>F.Dehghani Firouzabadi, et al., “</w:t>
      </w:r>
      <w:r>
        <w:rPr>
          <w:rFonts w:ascii="Times New Roman;serif" w:hAnsi="Times New Roman;serif"/>
          <w:color w:val="000000"/>
        </w:rPr>
        <w:t xml:space="preserve">CT radiomics for differentiating fat poor angiomyolipoma from clear cell renal cell carcinoma: Systematic review and meta-analysis,” PLOS </w:t>
      </w:r>
      <w:proofErr w:type="gramStart"/>
      <w:r>
        <w:rPr>
          <w:rFonts w:ascii="Times New Roman;serif" w:hAnsi="Times New Roman;serif"/>
          <w:color w:val="000000"/>
        </w:rPr>
        <w:t>ONE</w:t>
      </w:r>
      <w:proofErr w:type="gramEnd"/>
      <w:r>
        <w:rPr>
          <w:rFonts w:ascii="Times New Roman;serif" w:hAnsi="Times New Roman;serif"/>
          <w:color w:val="000000"/>
        </w:rPr>
        <w:t>, doi: 10.1371/journal.pone.0287299, 2023.</w:t>
      </w:r>
    </w:p>
    <w:p w:rsidR="0026786C" w:rsidRDefault="00641C2E">
      <w:pPr>
        <w:pStyle w:val="references"/>
        <w:ind w:left="354" w:hanging="354"/>
      </w:pPr>
      <w:r>
        <w:rPr>
          <w:rFonts w:ascii="Times New Roman;serif" w:hAnsi="Times New Roman;serif"/>
          <w:color w:val="000000"/>
        </w:rPr>
        <w:t>S.H. Moon, J. Kim, J-G Joung, et al, “Correlations between metabolic tex</w:t>
      </w:r>
      <w:r>
        <w:rPr>
          <w:rFonts w:ascii="Times New Roman;serif" w:hAnsi="Times New Roman;serif"/>
          <w:color w:val="000000"/>
        </w:rPr>
        <w:t>ture features, genetic heterogeneity, and mutation burden in patients with lung cancer”, Eur J  Nucl Med Mol Imaging, 2019, 46, 446-454, doi: 10.1007/s00259-018-4138-5</w:t>
      </w:r>
    </w:p>
    <w:p w:rsidR="0026786C" w:rsidRDefault="00641C2E">
      <w:pPr>
        <w:pStyle w:val="references"/>
        <w:ind w:left="354" w:hanging="354"/>
      </w:pPr>
      <w:r>
        <w:t xml:space="preserve">N. Altinok </w:t>
      </w:r>
      <w:bookmarkStart w:id="1" w:name="docs-internal-guid-4a2e8e4e-7fff-1b4a-3d"/>
      <w:bookmarkEnd w:id="1"/>
      <w:r>
        <w:rPr>
          <w:color w:val="000000"/>
        </w:rPr>
        <w:t xml:space="preserve">and A. Guvenis, “Interpretable radiomics method for predicting human </w:t>
      </w:r>
      <w:bookmarkStart w:id="2" w:name="docs-internal-guid-8cfdfbc8-7fff-4e54-a6"/>
      <w:bookmarkEnd w:id="2"/>
      <w:r>
        <w:rPr>
          <w:color w:val="000000"/>
        </w:rPr>
        <w:t>papillom</w:t>
      </w:r>
      <w:r>
        <w:rPr>
          <w:color w:val="000000"/>
        </w:rPr>
        <w:t xml:space="preserve">avirus status in oropharyngeal cancer using Bayesian networks,” Physica Medica: </w:t>
      </w:r>
      <w:bookmarkStart w:id="3" w:name="docs-internal-guid-b57b41b9-7fff-7292-ac"/>
      <w:bookmarkEnd w:id="3"/>
      <w:r>
        <w:rPr>
          <w:color w:val="000000"/>
        </w:rPr>
        <w:t>European Journal of Medical Physics, vol. 114, doi: 10.1016/j.ejmp.2023.102671, 2023.</w:t>
      </w:r>
    </w:p>
    <w:p w:rsidR="0026786C" w:rsidRDefault="00641C2E">
      <w:pPr>
        <w:pStyle w:val="references"/>
        <w:ind w:left="354" w:hanging="354"/>
      </w:pPr>
      <w:r>
        <w:rPr>
          <w:rFonts w:ascii="Times New Roman;serif" w:hAnsi="Times New Roman;serif"/>
          <w:color w:val="000000"/>
        </w:rPr>
        <w:t xml:space="preserve">K. Sarac </w:t>
      </w:r>
      <w:bookmarkStart w:id="4" w:name="docs-internal-guid-e1e48720-7fff-b3ab-87"/>
      <w:bookmarkEnd w:id="4"/>
      <w:r>
        <w:rPr>
          <w:rFonts w:ascii="Times New Roman;serif" w:hAnsi="Times New Roman;serif"/>
          <w:color w:val="000000"/>
        </w:rPr>
        <w:t>and A. Guvenis, “Using radiomics for predicting the HPV status of oropharyngeal t</w:t>
      </w:r>
      <w:r>
        <w:rPr>
          <w:rFonts w:ascii="Times New Roman;serif" w:hAnsi="Times New Roman;serif"/>
          <w:color w:val="000000"/>
        </w:rPr>
        <w:t>umors,” Journal of Engineering and Applied Science, vol. 71, no. 11, doi: 10.1186/s44147-023-00355-w, 2024.</w:t>
      </w:r>
    </w:p>
    <w:p w:rsidR="0026786C" w:rsidRDefault="00641C2E">
      <w:pPr>
        <w:pStyle w:val="references"/>
        <w:ind w:left="354" w:hanging="354"/>
      </w:pPr>
      <w:r>
        <w:rPr>
          <w:rFonts w:ascii="Times New Roman;serif" w:hAnsi="Times New Roman;serif"/>
          <w:color w:val="000000"/>
        </w:rPr>
        <w:t xml:space="preserve">H. Beste Okmen, </w:t>
      </w:r>
      <w:bookmarkStart w:id="5" w:name="docs-internal-guid-81978bb5-7fff-ba4f-75"/>
      <w:bookmarkEnd w:id="5"/>
      <w:r>
        <w:rPr>
          <w:rFonts w:ascii="Times New Roman;serif" w:hAnsi="Times New Roman;serif"/>
          <w:color w:val="000000"/>
        </w:rPr>
        <w:t>A. Guvenis, and H. Uysal, “Predicting the polybromo-1 (PBRM1) mutation of a clear cell renal cell carcinoma using computed tomograph</w:t>
      </w:r>
      <w:r>
        <w:rPr>
          <w:rFonts w:ascii="Times New Roman;serif" w:hAnsi="Times New Roman;serif"/>
          <w:color w:val="000000"/>
        </w:rPr>
        <w:t>y images and KNN classification with random subspace,” Vibroengineering Procedia, vol. 26, doi: 10.21595/vp.2019.20931, 2019.</w:t>
      </w:r>
    </w:p>
    <w:p w:rsidR="0026786C" w:rsidRDefault="00641C2E">
      <w:pPr>
        <w:pStyle w:val="references"/>
        <w:ind w:left="354" w:hanging="354"/>
      </w:pPr>
      <w:r>
        <w:rPr>
          <w:rFonts w:ascii="Times New Roman;serif" w:hAnsi="Times New Roman;serif"/>
          <w:color w:val="000000"/>
        </w:rPr>
        <w:t>L. Russo, D. Charles-Davies, S. Bottazzi, L. Boldrini, “Radiomics for clinical decision support in radiation oncology”, Clinical O</w:t>
      </w:r>
      <w:r>
        <w:rPr>
          <w:rFonts w:ascii="Times New Roman;serif" w:hAnsi="Times New Roman;serif"/>
          <w:color w:val="000000"/>
        </w:rPr>
        <w:t>ncology, vol.36,pp. 269-281, 2024, doi: 10.1016/j.clon.2024.03.003</w:t>
      </w:r>
    </w:p>
    <w:p w:rsidR="0026786C" w:rsidRDefault="00641C2E">
      <w:pPr>
        <w:pStyle w:val="references"/>
        <w:ind w:left="354" w:hanging="354"/>
      </w:pPr>
      <w:r>
        <w:t xml:space="preserve">S. </w:t>
      </w:r>
      <w:proofErr w:type="gramStart"/>
      <w:r>
        <w:t xml:space="preserve">Sahin </w:t>
      </w:r>
      <w:bookmarkStart w:id="6" w:name="docs-internal-guid-0d852507-7fff-b55e-ec"/>
      <w:bookmarkEnd w:id="6"/>
      <w:r>
        <w:rPr>
          <w:color w:val="000000"/>
        </w:rPr>
        <w:t>,</w:t>
      </w:r>
      <w:proofErr w:type="gramEnd"/>
      <w:r>
        <w:rPr>
          <w:color w:val="000000"/>
        </w:rPr>
        <w:t xml:space="preserve"> E. Diaz, A. Rajagopal, et al., “UCSF RMaC: University of California San Francisco 3D Multi-Phase Renal Mass CT Dataset with Tumor Segmentations,” medRxiv preprint, doi: 10.64898/</w:t>
      </w:r>
      <w:r>
        <w:rPr>
          <w:color w:val="000000"/>
        </w:rPr>
        <w:t>2026.02.11.26346096, 2026.</w:t>
      </w:r>
    </w:p>
    <w:p w:rsidR="0026786C" w:rsidRDefault="00641C2E">
      <w:pPr>
        <w:pStyle w:val="references"/>
        <w:ind w:left="354" w:hanging="354"/>
      </w:pPr>
      <w:r>
        <w:rPr>
          <w:color w:val="000000"/>
        </w:rPr>
        <w:t>M.E. Mayerhoefer, et al., “Introduction to Radiomics”, The Journal of Nuclear Medicine, vol. 61, April 2020, DOI: 10.2967/jnumed. 118.222893.</w:t>
      </w:r>
    </w:p>
    <w:p w:rsidR="0026786C" w:rsidRDefault="00641C2E">
      <w:pPr>
        <w:pStyle w:val="references"/>
        <w:ind w:left="354" w:hanging="354"/>
      </w:pPr>
      <w:r>
        <w:rPr>
          <w:color w:val="000000"/>
        </w:rPr>
        <w:t xml:space="preserve">H. Karagoz </w:t>
      </w:r>
      <w:bookmarkStart w:id="7" w:name="docs-internal-guid-51a34e27-7fff-e8dc-e7"/>
      <w:bookmarkEnd w:id="7"/>
      <w:r>
        <w:rPr>
          <w:color w:val="000000"/>
        </w:rPr>
        <w:t>and A. Guvenis, “Predicting the Grade of Clear Cell Renal Cell Carcinoma fro</w:t>
      </w:r>
      <w:r>
        <w:rPr>
          <w:color w:val="000000"/>
        </w:rPr>
        <w:t>m CT Images Using Random Subspace-KNN and Random Forest Classifiers,” in Proceedings of USBEREIT, doi: 10.1109/USBEREIT51232.2021.9455032, 2021.</w:t>
      </w:r>
    </w:p>
    <w:p w:rsidR="0026786C" w:rsidRDefault="00641C2E">
      <w:pPr>
        <w:pStyle w:val="references"/>
        <w:ind w:left="354" w:hanging="354"/>
      </w:pPr>
      <w:r>
        <w:t xml:space="preserve">S. Rizzo, et al., </w:t>
      </w:r>
      <w:proofErr w:type="gramStart"/>
      <w:r>
        <w:t>“ Radiomics</w:t>
      </w:r>
      <w:proofErr w:type="gramEnd"/>
      <w:r>
        <w:t>: the facts and the challenges of image analysis”, European Radiology Experimental</w:t>
      </w:r>
      <w:r>
        <w:t xml:space="preserve"> 2, 36 (2018), doi : 10.1186/s41747-018-0068-z. </w:t>
      </w:r>
    </w:p>
    <w:p w:rsidR="0026786C" w:rsidRDefault="00641C2E">
      <w:pPr>
        <w:pStyle w:val="references"/>
        <w:ind w:left="354" w:hanging="354"/>
      </w:pPr>
      <w:r>
        <w:rPr>
          <w:color w:val="000000"/>
        </w:rPr>
        <w:t>Y. Lee, “Support Vector Machines for Classification: A Statistical Portrait,” in Statistical Methods in Molecular Biology (Methods in Molecular Biology, Vol. 620), H. Bang et al., Eds. New York, NY: Springer</w:t>
      </w:r>
      <w:r>
        <w:rPr>
          <w:color w:val="000000"/>
        </w:rPr>
        <w:t xml:space="preserve"> Science+Business Media, LLC, 2010, pp. 347–368. </w:t>
      </w:r>
      <w:proofErr w:type="gramStart"/>
      <w:r>
        <w:rPr>
          <w:color w:val="000000"/>
        </w:rPr>
        <w:t>doi</w:t>
      </w:r>
      <w:proofErr w:type="gramEnd"/>
      <w:r>
        <w:rPr>
          <w:color w:val="000000"/>
        </w:rPr>
        <w:t>: 10.1007/978-1-60761-580-4_11.</w:t>
      </w:r>
    </w:p>
    <w:p w:rsidR="0026786C" w:rsidRDefault="00641C2E">
      <w:pPr>
        <w:pStyle w:val="references"/>
        <w:ind w:left="354" w:hanging="354"/>
      </w:pPr>
      <w:r>
        <w:t>C. Cortes and  V. Vapnik, “Support-vector network,, “Machine Learning, vol.20, no. 3, pp. 273-297, 1995, doi: 10.1007/BF00994018.</w:t>
      </w:r>
    </w:p>
    <w:p w:rsidR="0026786C" w:rsidRDefault="00641C2E">
      <w:pPr>
        <w:pStyle w:val="references"/>
        <w:ind w:left="354" w:hanging="354"/>
      </w:pPr>
      <w:r>
        <w:t>S. Parvandeh, H-W. Yeh, M. P. Paulus, B. A</w:t>
      </w:r>
      <w:r>
        <w:t>. McKinney, “Consensus features nested cross-validation”, Bioinformatics, 36(10), 2020, 3093-3098, doi: 10.1093/bioinformatics/btaa046.</w:t>
      </w:r>
    </w:p>
    <w:p w:rsidR="0026786C" w:rsidRDefault="00641C2E">
      <w:pPr>
        <w:pStyle w:val="references"/>
        <w:ind w:left="354" w:hanging="354"/>
      </w:pPr>
      <w:r>
        <w:t>G. Lo Iacono</w:t>
      </w:r>
      <w:proofErr w:type="gramStart"/>
      <w:r>
        <w:t xml:space="preserve">, </w:t>
      </w:r>
      <w:bookmarkStart w:id="8" w:name="docs-internal-guid-691ab8bd-7fff-5541-c1"/>
      <w:bookmarkEnd w:id="8"/>
      <w:r>
        <w:rPr>
          <w:color w:val="000000"/>
        </w:rPr>
        <w:t> et</w:t>
      </w:r>
      <w:proofErr w:type="gramEnd"/>
      <w:r>
        <w:rPr>
          <w:color w:val="000000"/>
        </w:rPr>
        <w:t xml:space="preserve"> al., “A Novel Data Augmentation Method for Radiomics Analysis Using Image Perturbations,” Journal of I</w:t>
      </w:r>
      <w:r>
        <w:rPr>
          <w:color w:val="000000"/>
        </w:rPr>
        <w:t>maging Informatics in Medicine, vol. 37, pp. 2401–2414, doi: 10.1007/s10278-024-01013-0, 2024.</w:t>
      </w:r>
    </w:p>
    <w:p w:rsidR="0026786C" w:rsidRDefault="00641C2E">
      <w:pPr>
        <w:pStyle w:val="references"/>
        <w:ind w:left="354" w:hanging="354"/>
      </w:pPr>
      <w:r>
        <w:t xml:space="preserve">L.Han, </w:t>
      </w:r>
      <w:bookmarkStart w:id="9" w:name="docs-internal-guid-64a7cad5-7fff-281b-46"/>
      <w:bookmarkEnd w:id="9"/>
      <w:r>
        <w:rPr>
          <w:color w:val="000000"/>
        </w:rPr>
        <w:t>et al., “Fully automated segmentation and classification of renal tumors on CT scans via machine learning,” BMC Cancer, vol. 25, no. 173, doi: 10.1186/s12</w:t>
      </w:r>
      <w:r>
        <w:rPr>
          <w:color w:val="000000"/>
        </w:rPr>
        <w:t>885-025-13582-6, 2025.</w:t>
      </w:r>
    </w:p>
    <w:p w:rsidR="0026786C" w:rsidRDefault="00641C2E">
      <w:pPr>
        <w:pStyle w:val="references"/>
        <w:ind w:left="354" w:hanging="354"/>
      </w:pPr>
      <w:r>
        <w:t>B. Kocak, E. S. Durmaz, E. Ates, &amp;O. Kilickesmez, “Radiomics with artificial intelligence: a practical guide for beginners” Diagnostic and Interventional Radiology, 2019, doi: 10.5152/dir.2019.19321.</w:t>
      </w:r>
    </w:p>
    <w:p w:rsidR="0026786C" w:rsidRDefault="00641C2E">
      <w:pPr>
        <w:pStyle w:val="references"/>
        <w:ind w:left="354" w:hanging="354"/>
      </w:pPr>
      <w:r>
        <w:t>N. V. Chawla, K. W. Bowyer, L. O.</w:t>
      </w:r>
      <w:r>
        <w:t xml:space="preserve"> Hall, and W. P. Kegelmeyer, “SMOTE:Synthetic Minority Over-sampling Technique”, Journal of Artifical Intelligence Research, 16, 321-357, doi: 10.1613/jair.953</w:t>
      </w:r>
    </w:p>
    <w:p w:rsidR="0026786C" w:rsidRDefault="00641C2E">
      <w:pPr>
        <w:pStyle w:val="references"/>
      </w:pPr>
      <w:r>
        <w:t>R. Blagus and L. Lusa, “SMOTE for high-dimensional class-imbalanced data,” BMC Bioinformatics, v</w:t>
      </w:r>
      <w:r>
        <w:t>ol. 14, no. 106, 2013, doi: 10.1186/1471-2105-14-106.</w:t>
      </w:r>
    </w:p>
    <w:p w:rsidR="0026786C" w:rsidRDefault="00641C2E">
      <w:pPr>
        <w:pStyle w:val="references"/>
      </w:pPr>
      <w:r>
        <w:t xml:space="preserve">J. E. Park, et al., “Radiomics machine learning study with a small sample size: Single random training-test set split may lead to unreliable results,” PLOS </w:t>
      </w:r>
      <w:proofErr w:type="gramStart"/>
      <w:r>
        <w:t>ONE</w:t>
      </w:r>
      <w:proofErr w:type="gramEnd"/>
      <w:r>
        <w:t>, vol. 16, no. 8, e0256152, 2021, doi: 10.1</w:t>
      </w:r>
      <w:r>
        <w:t>371/journal.pone.0256152.</w:t>
      </w:r>
    </w:p>
    <w:p w:rsidR="0026786C" w:rsidRDefault="0026786C">
      <w:pPr>
        <w:pStyle w:val="references"/>
        <w:numPr>
          <w:ilvl w:val="0"/>
          <w:numId w:val="0"/>
        </w:numPr>
        <w:ind w:left="354"/>
      </w:pPr>
    </w:p>
    <w:p w:rsidR="0026786C" w:rsidRDefault="0026786C">
      <w:pPr>
        <w:pStyle w:val="references"/>
        <w:numPr>
          <w:ilvl w:val="0"/>
          <w:numId w:val="0"/>
        </w:numPr>
        <w:ind w:left="360" w:hanging="360"/>
      </w:pPr>
    </w:p>
    <w:p w:rsidR="0026786C" w:rsidRDefault="0026786C">
      <w:pPr>
        <w:pStyle w:val="references"/>
        <w:numPr>
          <w:ilvl w:val="0"/>
          <w:numId w:val="0"/>
        </w:numPr>
        <w:spacing w:line="240" w:lineRule="auto"/>
        <w:rPr>
          <w:rFonts w:eastAsia="SimSun"/>
          <w:b/>
          <w:color w:val="FF0000"/>
          <w:spacing w:val="-1"/>
          <w:sz w:val="20"/>
          <w:szCs w:val="20"/>
          <w:lang w:eastAsia="x-none"/>
        </w:rPr>
      </w:pPr>
    </w:p>
    <w:p w:rsidR="0026786C" w:rsidRDefault="0026786C">
      <w:pPr>
        <w:sectPr w:rsidR="0026786C">
          <w:type w:val="continuous"/>
          <w:pgSz w:w="11906" w:h="16838"/>
          <w:pgMar w:top="540" w:right="893" w:bottom="1440" w:left="893" w:header="0" w:footer="0" w:gutter="0"/>
          <w:cols w:num="2" w:space="360"/>
          <w:formProt w:val="0"/>
          <w:docGrid w:linePitch="360" w:charSpace="16384"/>
        </w:sectPr>
      </w:pPr>
    </w:p>
    <w:p w:rsidR="0026786C" w:rsidRDefault="0026786C"/>
    <w:sectPr w:rsidR="0026786C">
      <w:type w:val="continuous"/>
      <w:pgSz w:w="11906" w:h="16838"/>
      <w:pgMar w:top="540" w:right="893" w:bottom="1440" w:left="893" w:header="0" w:footer="0" w:gutter="0"/>
      <w:cols w:space="708"/>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1C2E" w:rsidRDefault="00641C2E">
      <w:r>
        <w:separator/>
      </w:r>
    </w:p>
  </w:endnote>
  <w:endnote w:type="continuationSeparator" w:id="0">
    <w:p w:rsidR="00641C2E" w:rsidRDefault="0064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A2"/>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Ubuntu">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Times New Roman;serif">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86C" w:rsidRDefault="00641C2E">
    <w:pPr>
      <w:pStyle w:val="AltBilgi"/>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1C2E" w:rsidRDefault="00641C2E">
      <w:r>
        <w:separator/>
      </w:r>
    </w:p>
  </w:footnote>
  <w:footnote w:type="continuationSeparator" w:id="0">
    <w:p w:rsidR="00641C2E" w:rsidRDefault="00641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C4879"/>
    <w:multiLevelType w:val="multilevel"/>
    <w:tmpl w:val="3224DF0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D0315E"/>
    <w:multiLevelType w:val="multilevel"/>
    <w:tmpl w:val="2FEE227C"/>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4685D7A"/>
    <w:multiLevelType w:val="multilevel"/>
    <w:tmpl w:val="CEE22F4E"/>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2D4569C7"/>
    <w:multiLevelType w:val="multilevel"/>
    <w:tmpl w:val="A406F62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39970ECF"/>
    <w:multiLevelType w:val="multilevel"/>
    <w:tmpl w:val="B1A241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DC737E4"/>
    <w:multiLevelType w:val="multilevel"/>
    <w:tmpl w:val="B4CA48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2D77716"/>
    <w:multiLevelType w:val="multilevel"/>
    <w:tmpl w:val="D4D80D6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5000601E"/>
    <w:multiLevelType w:val="multilevel"/>
    <w:tmpl w:val="5510B8C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1613327"/>
    <w:multiLevelType w:val="multilevel"/>
    <w:tmpl w:val="1EA88368"/>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CD35C0D"/>
    <w:multiLevelType w:val="multilevel"/>
    <w:tmpl w:val="4C62AF1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67127229"/>
    <w:multiLevelType w:val="multilevel"/>
    <w:tmpl w:val="9D60145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68083943"/>
    <w:multiLevelType w:val="multilevel"/>
    <w:tmpl w:val="195A18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8"/>
  </w:num>
  <w:num w:numId="2">
    <w:abstractNumId w:val="10"/>
  </w:num>
  <w:num w:numId="3">
    <w:abstractNumId w:val="9"/>
  </w:num>
  <w:num w:numId="4">
    <w:abstractNumId w:val="2"/>
  </w:num>
  <w:num w:numId="5">
    <w:abstractNumId w:val="0"/>
  </w:num>
  <w:num w:numId="6">
    <w:abstractNumId w:val="7"/>
  </w:num>
  <w:num w:numId="7">
    <w:abstractNumId w:val="1"/>
  </w:num>
  <w:num w:numId="8">
    <w:abstractNumId w:val="4"/>
  </w:num>
  <w:num w:numId="9">
    <w:abstractNumId w:val="3"/>
  </w:num>
  <w:num w:numId="10">
    <w:abstractNumId w:val="6"/>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86C"/>
    <w:rsid w:val="0026786C"/>
    <w:rsid w:val="00323CDE"/>
    <w:rsid w:val="004C2E7A"/>
    <w:rsid w:val="00641C2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58E108-8D42-4379-9EB1-E780130B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4"/>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rPr>
  </w:style>
  <w:style w:type="paragraph" w:styleId="Balk4">
    <w:name w:val="heading 4"/>
    <w:basedOn w:val="Normal"/>
    <w:next w:val="Normal"/>
    <w:qFormat/>
    <w:rsid w:val="00794804"/>
    <w:pPr>
      <w:numPr>
        <w:ilvl w:val="3"/>
        <w:numId w:val="4"/>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customStyle="1" w:styleId="math-inline">
    <w:name w:val="math-inline"/>
    <w:basedOn w:val="VarsaylanParagrafYazTipi"/>
    <w:qFormat/>
    <w:rsid w:val="003338EB"/>
  </w:style>
  <w:style w:type="character" w:styleId="HTMLKodu">
    <w:name w:val="HTML Code"/>
    <w:basedOn w:val="VarsaylanParagrafYazTipi"/>
    <w:uiPriority w:val="99"/>
    <w:unhideWhenUsed/>
    <w:qFormat/>
    <w:rsid w:val="00E26A16"/>
    <w:rPr>
      <w:rFonts w:ascii="Courier New" w:eastAsia="Times New Roman" w:hAnsi="Courier New" w:cs="Courier New"/>
      <w:sz w:val="20"/>
      <w:szCs w:val="20"/>
    </w:rPr>
  </w:style>
  <w:style w:type="character" w:styleId="Kpr">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1"/>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sz w:val="16"/>
      <w:szCs w:val="16"/>
    </w:rPr>
  </w:style>
  <w:style w:type="paragraph" w:customStyle="1" w:styleId="footnote">
    <w:name w:val="footnote"/>
    <w:qFormat/>
    <w:pPr>
      <w:numPr>
        <w:numId w:val="3"/>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styleId="ListeParagraf">
    <w:name w:val="List Paragraph"/>
    <w:basedOn w:val="Normal"/>
    <w:uiPriority w:val="34"/>
    <w:qFormat/>
    <w:rsid w:val="002E2914"/>
    <w:pPr>
      <w:ind w:left="720"/>
      <w:contextualSpacing/>
    </w:pPr>
  </w:style>
  <w:style w:type="paragraph" w:customStyle="1" w:styleId="FrameContents">
    <w:name w:val="Frame Contents"/>
    <w:basedOn w:val="Normal"/>
    <w:qFormat/>
  </w:style>
  <w:style w:type="paragraph" w:styleId="NormalWeb">
    <w:name w:val="Normal (Web)"/>
    <w:basedOn w:val="Normal"/>
    <w:qFormat/>
    <w:pPr>
      <w:suppressAutoHyphens w:val="0"/>
      <w:spacing w:beforeAutospacing="1" w:afterAutospacing="1"/>
      <w:jc w:val="left"/>
    </w:pPr>
    <w:rPr>
      <w:rFonts w:eastAsia="Times New Roman"/>
      <w:sz w:val="24"/>
      <w:szCs w:val="24"/>
      <w:lang w:val="tr-TR" w:eastAsia="tr-TR"/>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GvdeMetni"/>
    <w:qFormat/>
    <w:pPr>
      <w:suppressLineNumbers/>
      <w:pBdr>
        <w:bottom w:val="double" w:sz="2" w:space="0" w:color="808080"/>
      </w:pBdr>
      <w:spacing w:after="283"/>
    </w:pPr>
    <w:rPr>
      <w:sz w:val="12"/>
      <w:szCs w:val="12"/>
    </w:rPr>
  </w:style>
  <w:style w:type="paragraph" w:customStyle="1" w:styleId="TableHeading">
    <w:name w:val="Table Heading"/>
    <w:basedOn w:val="TableContents"/>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42002-289E-42A7-AE5C-69C90C28C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4982</Words>
  <Characters>28400</Characters>
  <Application>Microsoft Office Word</Application>
  <DocSecurity>0</DocSecurity>
  <Lines>236</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33316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Resepsiyon</dc:creator>
  <cp:lastModifiedBy>Reception</cp:lastModifiedBy>
  <cp:revision>2</cp:revision>
  <dcterms:created xsi:type="dcterms:W3CDTF">2026-07-27T20:45:00Z</dcterms:created>
  <dcterms:modified xsi:type="dcterms:W3CDTF">2026-07-27T20:45:00Z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2026-07-27T10:10:47Z</dcterms:modified>
  <cp:revision>109</cp:revision>
  <dc:subject/>
  <dc:title>Paper Title (use style: paper title)</dc:title>
</cp:coreProperties>
</file>