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p>
    <w:p>
      <w:pPr>
        <w:spacing w:after="60" w:before="0"/>
        <w:jc w:val="center"/>
      </w:pPr>
      <w:r>
        <w:rPr>
          <w:rFonts w:ascii="Arial" w:cs="Arial" w:eastAsia="Arial" w:hAnsi="Arial"/>
          <w:b/>
          <w:bCs/>
          <w:color w:val="1F4E79"/>
          <w:sz w:val="80"/>
          <w:szCs w:val="80"/>
        </w:rPr>
        <w:t xml:space="preserve">CAR GENIE</w:t>
      </w:r>
    </w:p>
    <w:p>
      <w:pPr>
        <w:spacing w:after="200" w:before="0"/>
        <w:jc w:val="center"/>
      </w:pPr>
      <w:r>
        <w:rPr>
          <w:rFonts w:ascii="Arial" w:cs="Arial" w:eastAsia="Arial" w:hAnsi="Arial"/>
          <w:i/>
          <w:iCs/>
          <w:color w:val="2E75B6"/>
          <w:sz w:val="36"/>
          <w:szCs w:val="36"/>
        </w:rPr>
        <w:t xml:space="preserve">Predicción Inteligente de Valor Vehicular</w:t>
      </w:r>
    </w:p>
    <w:p>
      <w:pPr>
        <w:pBdr>
          <w:bottom w:val="single" w:color="2E75B6" w:sz="8" w:space="4"/>
        </w:pBdr>
        <w:spacing w:after="400" w:before="0"/>
        <w:jc w:val="center"/>
      </w:pPr>
    </w:p>
    <w:p>
      <w:pPr>
        <w:spacing w:after="200" w:before="400"/>
      </w:pPr>
    </w:p>
    <w:p>
      <w:pPr>
        <w:spacing w:after="100" w:before="0"/>
        <w:jc w:val="center"/>
      </w:pPr>
      <w:r>
        <w:rPr>
          <w:rFonts w:ascii="Arial" w:cs="Arial" w:eastAsia="Arial" w:hAnsi="Arial"/>
          <w:color w:val="555555"/>
          <w:sz w:val="24"/>
          <w:szCs w:val="24"/>
        </w:rPr>
        <w:t xml:space="preserve">Proyecto Final — Diplomado en Ciencias de Datos</w:t>
      </w:r>
    </w:p>
    <w:p>
      <w:pPr>
        <w:spacing w:after="100" w:before="0"/>
        <w:jc w:val="center"/>
      </w:pPr>
      <w:r>
        <w:rPr>
          <w:rFonts w:ascii="Arial" w:cs="Arial" w:eastAsia="Arial" w:hAnsi="Arial"/>
          <w:b/>
          <w:bCs/>
          <w:color w:val="1F4E79"/>
          <w:sz w:val="26"/>
          <w:szCs w:val="26"/>
        </w:rPr>
        <w:t xml:space="preserve">Edwin Urbáez Rodríguez</w:t>
      </w:r>
    </w:p>
    <w:p>
      <w:pPr>
        <w:spacing w:after="100" w:before="0"/>
        <w:jc w:val="center"/>
      </w:pPr>
      <w:r>
        <w:rPr>
          <w:rFonts w:ascii="Arial" w:cs="Arial" w:eastAsia="Arial" w:hAnsi="Arial"/>
          <w:color w:val="666666"/>
          <w:sz w:val="22"/>
          <w:szCs w:val="22"/>
        </w:rPr>
        <w:t xml:space="preserve">Abril 2026</w:t>
      </w:r>
    </w:p>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F4E79"/>
          <w:sz w:val="32"/>
          <w:szCs w:val="32"/>
        </w:rPr>
        <w:t xml:space="preserve">1. Introducción (Abstract)</w:t>
      </w:r>
    </w:p>
    <w:p>
      <w:pPr>
        <w:pBdr>
          <w:bottom w:val="single" w:color="2E75B6" w:sz="6" w:space="1"/>
        </w:pBdr>
        <w:spacing w:after="240"/>
      </w:pPr>
    </w:p>
    <w:p>
      <w:pPr>
        <w:spacing w:after="140" w:before="60"/>
        <w:jc w:val="both"/>
      </w:pPr>
      <w:r>
        <w:rPr>
          <w:rFonts w:ascii="Arial" w:cs="Arial" w:eastAsia="Arial" w:hAnsi="Arial"/>
          <w:color w:val="222222"/>
          <w:sz w:val="22"/>
          <w:szCs w:val="22"/>
        </w:rPr>
        <w:t xml:space="preserve">Car Genie es una herramienta de inteligencia artificial diseñada para estimar el valor de mercado de vehículos usados y recomendar opciones de compra de manera inteligente. En un mercado donde el precio de un auto depende de docenas de factores —marca, modelo, año, millas recorridas, condición, ubicación, entre otros— tomar una buena decisión sin información sólida puede costarte miles de dólares.</w:t>
      </w:r>
    </w:p>
    <w:p>
      <w:pPr>
        <w:spacing w:after="140" w:before="60"/>
        <w:jc w:val="both"/>
      </w:pPr>
      <w:r>
        <w:rPr>
          <w:rFonts w:ascii="Arial" w:cs="Arial" w:eastAsia="Arial" w:hAnsi="Arial"/>
          <w:color w:val="222222"/>
          <w:sz w:val="22"/>
          <w:szCs w:val="22"/>
        </w:rPr>
        <w:t xml:space="preserve">El problema es real: la mayoría de las personas que compran o venden un carro no tiene acceso a información objetiva sobre el valor real del vehículo. Dependemos de intuición, de lo que dice el vendedor, o de comparaciones manuales poco rigurosas. Eso genera asimetría de información, y quien pierde casi siempre es el comprador.</w:t>
      </w:r>
    </w:p>
    <w:p>
      <w:pPr>
        <w:spacing w:after="140" w:before="60"/>
        <w:jc w:val="both"/>
      </w:pPr>
      <w:r>
        <w:rPr>
          <w:rFonts w:ascii="Arial" w:cs="Arial" w:eastAsia="Arial" w:hAnsi="Arial"/>
          <w:color w:val="222222"/>
          <w:sz w:val="22"/>
          <w:szCs w:val="22"/>
        </w:rPr>
        <w:t xml:space="preserve">Car Genie resuelve este problema combinando datos históricos de miles de listings de vehículos con modelos de machine learning capaces de predecir el precio justo de un carro según sus características. El resultado: una estimación confiable, rápida y basada en evidencia que empodera al usuario para negociar mejor o detectar si una oferta es demasiado buena —o demasiado cara— para ser verdad.</w:t>
      </w:r>
    </w:p>
    <w:p>
      <w:pPr>
        <w:spacing w:after="140" w:before="60"/>
        <w:jc w:val="both"/>
      </w:pPr>
      <w:r>
        <w:rPr>
          <w:rFonts w:ascii="Arial" w:cs="Arial" w:eastAsia="Arial" w:hAnsi="Arial"/>
          <w:color w:val="222222"/>
          <w:sz w:val="22"/>
          <w:szCs w:val="22"/>
        </w:rPr>
        <w:t xml:space="preserve">El valor de Car Genie no es solo técnico. Es una herramienta de negocio con potencial de integrarse en marketplaces automotrices, concesionarios y plataformas fintech que ofrecen financiamiento vehicular. En mercados donde los vehículos usados representan millones de transacciones anuales, tener un estimador preciso es una ventaja competitiva real.</w:t>
      </w:r>
    </w:p>
    <w:p>
      <w:pPr>
        <w:spacing w:after="200" w:before="0"/>
      </w:pPr>
    </w:p>
    <w:p>
      <w:pPr>
        <w:pStyle w:val="Heading1"/>
        <w:spacing w:after="120" w:before="360"/>
      </w:pPr>
      <w:r>
        <w:rPr>
          <w:rFonts w:ascii="Arial" w:cs="Arial" w:eastAsia="Arial" w:hAnsi="Arial"/>
          <w:b/>
          <w:bCs/>
          <w:color w:val="1F4E79"/>
          <w:sz w:val="32"/>
          <w:szCs w:val="32"/>
        </w:rPr>
        <w:t xml:space="preserve">2. Planteamiento del Problema</w:t>
      </w:r>
    </w:p>
    <w:p>
      <w:pPr>
        <w:pBdr>
          <w:bottom w:val="single" w:color="2E75B6" w:sz="6" w:space="1"/>
        </w:pBdr>
        <w:spacing w:after="240"/>
      </w:pPr>
    </w:p>
    <w:p>
      <w:pPr>
        <w:pStyle w:val="Heading2"/>
        <w:spacing w:after="100" w:before="260"/>
      </w:pPr>
      <w:r>
        <w:rPr>
          <w:rFonts w:ascii="Arial" w:cs="Arial" w:eastAsia="Arial" w:hAnsi="Arial"/>
          <w:b/>
          <w:bCs/>
          <w:color w:val="2E75B6"/>
          <w:sz w:val="26"/>
          <w:szCs w:val="26"/>
        </w:rPr>
        <w:t xml:space="preserve">2.1 El problema central</w:t>
      </w:r>
    </w:p>
    <w:p>
      <w:pPr>
        <w:spacing w:after="140" w:before="60"/>
        <w:jc w:val="both"/>
      </w:pPr>
      <w:r>
        <w:rPr>
          <w:rFonts w:ascii="Arial" w:cs="Arial" w:eastAsia="Arial" w:hAnsi="Arial"/>
          <w:color w:val="222222"/>
          <w:sz w:val="22"/>
          <w:szCs w:val="22"/>
        </w:rPr>
        <w:t xml:space="preserve">Comprar o vender un vehículo usado es, para la mayoría de las personas, una decisión de alto valor económico que se toma con información incompleta. No existe un precio estándar universalmente accesible; el mercado de autos usados está fragmentado, es opaco y depende en gran medida del conocimiento del vendedor.</w:t>
      </w:r>
    </w:p>
    <w:p>
      <w:pPr>
        <w:spacing w:after="140" w:before="60"/>
        <w:jc w:val="both"/>
      </w:pPr>
      <w:r>
        <w:rPr>
          <w:rFonts w:ascii="Arial" w:cs="Arial" w:eastAsia="Arial" w:hAnsi="Arial"/>
          <w:color w:val="222222"/>
          <w:sz w:val="22"/>
          <w:szCs w:val="22"/>
        </w:rPr>
        <w:t xml:space="preserve">Esta asimetría de información tiene consecuencias directas y concretas:</w:t>
      </w:r>
    </w:p>
    <w:p>
      <w:pPr>
        <w:pStyle w:val="ListParagraph"/>
        <w:numPr>
          <w:ilvl w:val="0"/>
          <w:numId w:val="2"/>
        </w:numPr>
        <w:spacing w:after="80" w:before="40"/>
      </w:pPr>
      <w:r>
        <w:rPr>
          <w:rFonts w:ascii="Arial" w:cs="Arial" w:eastAsia="Arial" w:hAnsi="Arial"/>
          <w:color w:val="222222"/>
          <w:sz w:val="22"/>
          <w:szCs w:val="22"/>
        </w:rPr>
        <w:t xml:space="preserve">Compradores que pagan más de lo que deberían simplemente porque no tienen punto de referencia.</w:t>
      </w:r>
    </w:p>
    <w:p>
      <w:pPr>
        <w:pStyle w:val="ListParagraph"/>
        <w:numPr>
          <w:ilvl w:val="0"/>
          <w:numId w:val="2"/>
        </w:numPr>
        <w:spacing w:after="80" w:before="40"/>
      </w:pPr>
      <w:r>
        <w:rPr>
          <w:rFonts w:ascii="Arial" w:cs="Arial" w:eastAsia="Arial" w:hAnsi="Arial"/>
          <w:color w:val="222222"/>
          <w:sz w:val="22"/>
          <w:szCs w:val="22"/>
        </w:rPr>
        <w:t xml:space="preserve">Vendedores que subvalúan sus vehículos por no conocer el precio de mercado actualizado.</w:t>
      </w:r>
    </w:p>
    <w:p>
      <w:pPr>
        <w:pStyle w:val="ListParagraph"/>
        <w:numPr>
          <w:ilvl w:val="0"/>
          <w:numId w:val="2"/>
        </w:numPr>
        <w:spacing w:after="80" w:before="40"/>
      </w:pPr>
      <w:r>
        <w:rPr>
          <w:rFonts w:ascii="Arial" w:cs="Arial" w:eastAsia="Arial" w:hAnsi="Arial"/>
          <w:color w:val="222222"/>
          <w:sz w:val="22"/>
          <w:szCs w:val="22"/>
        </w:rPr>
        <w:t xml:space="preserve">Marketplaces con listings de precios inconsistentes que generan desconfianza y fricción en el proceso de compra.</w:t>
      </w:r>
    </w:p>
    <w:p>
      <w:pPr>
        <w:spacing w:after="200" w:before="100"/>
      </w:pPr>
    </w:p>
    <w:p>
      <w:pPr>
        <w:pStyle w:val="Heading2"/>
        <w:spacing w:after="100" w:before="260"/>
      </w:pPr>
      <w:r>
        <w:rPr>
          <w:rFonts w:ascii="Arial" w:cs="Arial" w:eastAsia="Arial" w:hAnsi="Arial"/>
          <w:b/>
          <w:bCs/>
          <w:color w:val="2E75B6"/>
          <w:sz w:val="26"/>
          <w:szCs w:val="26"/>
        </w:rPr>
        <w:t xml:space="preserve">2.2 Impacto en el negocio</w:t>
      </w:r>
    </w:p>
    <w:p>
      <w:pPr>
        <w:spacing w:after="140" w:before="60"/>
        <w:jc w:val="both"/>
      </w:pPr>
      <w:r>
        <w:rPr>
          <w:rFonts w:ascii="Arial" w:cs="Arial" w:eastAsia="Arial" w:hAnsi="Arial"/>
          <w:color w:val="222222"/>
          <w:sz w:val="22"/>
          <w:szCs w:val="22"/>
        </w:rPr>
        <w:t xml:space="preserve">Desde la perspectiva del mercado, este problema representa una ineficiencia estructural. En los Estados Unidos, por ejemplo, se venden alrededor de 40 millones de vehículos usados al año. Incluso una diferencia promedio de $500 entre el precio pagado y el precio justo representa $20,000 millones de dólares en valor mal distribuido anualmente.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rPr>
          <w:tblHeader/>
        </w:trPr>
        <w:tc>
          <w:tcPr>
            <w:tcW w:type="dxa" w:w="3500"/>
            <w:tcBorders>
              <w:top w:val="single" w:color="AECDE8" w:sz="1"/>
              <w:left w:val="single" w:color="AECDE8" w:sz="1"/>
              <w:bottom w:val="single" w:color="AECDE8" w:sz="1"/>
              <w:right w:val="single" w:color="AECDE8"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Problema</w:t>
            </w:r>
          </w:p>
        </w:tc>
        <w:tc>
          <w:tcPr>
            <w:tcW w:type="dxa" w:w="2860"/>
            <w:tcBorders>
              <w:top w:val="single" w:color="AECDE8" w:sz="1"/>
              <w:left w:val="single" w:color="AECDE8" w:sz="1"/>
              <w:bottom w:val="single" w:color="AECDE8" w:sz="1"/>
              <w:right w:val="single" w:color="AECDE8"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Impacto en el usuario</w:t>
            </w:r>
          </w:p>
        </w:tc>
        <w:tc>
          <w:tcPr>
            <w:tcW w:type="dxa" w:w="3000"/>
            <w:tcBorders>
              <w:top w:val="single" w:color="AECDE8" w:sz="1"/>
              <w:left w:val="single" w:color="AECDE8" w:sz="1"/>
              <w:bottom w:val="single" w:color="AECDE8" w:sz="1"/>
              <w:right w:val="single" w:color="AECDE8"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Impacto en el mercado</w:t>
            </w:r>
          </w:p>
        </w:tc>
      </w:tr>
      <w:tr>
        <w:tc>
          <w:tcPr>
            <w:tcW w:type="dxa" w:w="35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Falta de transparencia en precios</w:t>
            </w:r>
          </w:p>
        </w:tc>
        <w:tc>
          <w:tcPr>
            <w:tcW w:type="dxa" w:w="286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Riesgo de sobrepago</w:t>
            </w:r>
          </w:p>
        </w:tc>
        <w:tc>
          <w:tcPr>
            <w:tcW w:type="dxa" w:w="30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Desconfianza y menor conversión</w:t>
            </w:r>
          </w:p>
        </w:tc>
      </w:tr>
      <w:tr>
        <w:tc>
          <w:tcPr>
            <w:tcW w:type="dxa" w:w="35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Difícil estimar depreciación real</w:t>
            </w:r>
          </w:p>
        </w:tc>
        <w:tc>
          <w:tcPr>
            <w:tcW w:type="dxa" w:w="286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Malas decisiones de compra/venta</w:t>
            </w:r>
          </w:p>
        </w:tc>
        <w:tc>
          <w:tcPr>
            <w:tcW w:type="dxa" w:w="30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Precios inconsistentes en listings</w:t>
            </w:r>
          </w:p>
        </w:tc>
      </w:tr>
      <w:tr>
        <w:tc>
          <w:tcPr>
            <w:tcW w:type="dxa" w:w="35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Asimetría vendedor-comprador</w:t>
            </w:r>
          </w:p>
        </w:tc>
        <w:tc>
          <w:tcPr>
            <w:tcW w:type="dxa" w:w="286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El comprador siempre en desventaja</w:t>
            </w:r>
          </w:p>
        </w:tc>
        <w:tc>
          <w:tcPr>
            <w:tcW w:type="dxa" w:w="30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Mercado menos eficiente</w:t>
            </w:r>
          </w:p>
        </w:tc>
      </w:tr>
      <w:tr>
        <w:tc>
          <w:tcPr>
            <w:tcW w:type="dxa" w:w="35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Ausencia de herramientas accesibles</w:t>
            </w:r>
          </w:p>
        </w:tc>
        <w:tc>
          <w:tcPr>
            <w:tcW w:type="dxa" w:w="286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Dependencia del criterio del vendedor</w:t>
            </w:r>
          </w:p>
        </w:tc>
        <w:tc>
          <w:tcPr>
            <w:tcW w:type="dxa" w:w="30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Oportunidad para una solución inteligente</w:t>
            </w:r>
          </w:p>
        </w:tc>
      </w:tr>
    </w:tbl>
    <w:p>
      <w:pPr>
        <w:spacing w:after="200" w:before="200"/>
      </w:pPr>
    </w:p>
    <w:p>
      <w:pPr>
        <w:spacing w:after="140" w:before="60"/>
        <w:jc w:val="both"/>
      </w:pPr>
      <w:r>
        <w:rPr>
          <w:rFonts w:ascii="Arial" w:cs="Arial" w:eastAsia="Arial" w:hAnsi="Arial"/>
          <w:color w:val="222222"/>
          <w:sz w:val="22"/>
          <w:szCs w:val="22"/>
        </w:rPr>
        <w:t xml:space="preserve">Car Genie nace para cerrar esa brecha: usar datos e IA para democratizar el acceso a información precisa de precios vehiculares.</w:t>
      </w:r>
    </w:p>
    <w:p>
      <w:pPr>
        <w:spacing w:after="200" w:before="0"/>
      </w:pPr>
    </w:p>
    <w:p>
      <w:pPr>
        <w:pStyle w:val="Heading1"/>
        <w:spacing w:after="120" w:before="360"/>
      </w:pPr>
      <w:r>
        <w:rPr>
          <w:rFonts w:ascii="Arial" w:cs="Arial" w:eastAsia="Arial" w:hAnsi="Arial"/>
          <w:b/>
          <w:bCs/>
          <w:color w:val="1F4E79"/>
          <w:sz w:val="32"/>
          <w:szCs w:val="32"/>
        </w:rPr>
        <w:t xml:space="preserve">3. Estrategia</w:t>
      </w:r>
    </w:p>
    <w:p>
      <w:pPr>
        <w:pBdr>
          <w:bottom w:val="single" w:color="2E75B6" w:sz="6" w:space="1"/>
        </w:pBdr>
        <w:spacing w:after="240"/>
      </w:pPr>
    </w:p>
    <w:p>
      <w:pPr>
        <w:pStyle w:val="Heading2"/>
        <w:spacing w:after="100" w:before="260"/>
      </w:pPr>
      <w:r>
        <w:rPr>
          <w:rFonts w:ascii="Arial" w:cs="Arial" w:eastAsia="Arial" w:hAnsi="Arial"/>
          <w:b/>
          <w:bCs/>
          <w:color w:val="2E75B6"/>
          <w:sz w:val="26"/>
          <w:szCs w:val="26"/>
        </w:rPr>
        <w:t xml:space="preserve">3.1 Enfoque general</w:t>
      </w:r>
    </w:p>
    <w:p>
      <w:pPr>
        <w:spacing w:after="140" w:before="60"/>
        <w:jc w:val="both"/>
      </w:pPr>
      <w:r>
        <w:rPr>
          <w:rFonts w:ascii="Arial" w:cs="Arial" w:eastAsia="Arial" w:hAnsi="Arial"/>
          <w:color w:val="222222"/>
          <w:sz w:val="22"/>
          <w:szCs w:val="22"/>
        </w:rPr>
        <w:t xml:space="preserve">La estrategia central de Car Genie es construir un modelo predictivo supervisado que aprenda, a partir de miles de listings históricos, cómo las características de un vehículo se traducen en su precio de mercado. En términos simples: el modelo aprende qué hace a un carro más o menos valioso.</w:t>
      </w:r>
    </w:p>
    <w:p>
      <w:pPr>
        <w:spacing w:after="140" w:before="60"/>
        <w:jc w:val="both"/>
      </w:pPr>
      <w:r>
        <w:rPr>
          <w:rFonts w:ascii="Arial" w:cs="Arial" w:eastAsia="Arial" w:hAnsi="Arial"/>
          <w:color w:val="222222"/>
          <w:sz w:val="22"/>
          <w:szCs w:val="22"/>
        </w:rPr>
        <w:t xml:space="preserve">El enfoque se divide en tres capas:</w:t>
      </w:r>
    </w:p>
    <w:p>
      <w:pPr>
        <w:pStyle w:val="ListParagraph"/>
        <w:numPr>
          <w:ilvl w:val="0"/>
          <w:numId w:val="2"/>
        </w:numPr>
        <w:spacing w:after="80" w:before="40"/>
      </w:pPr>
      <w:r>
        <w:rPr>
          <w:rFonts w:ascii="Arial" w:cs="Arial" w:eastAsia="Arial" w:hAnsi="Arial"/>
          <w:b/>
          <w:bCs/>
          <w:color w:val="222222"/>
          <w:sz w:val="22"/>
          <w:szCs w:val="22"/>
        </w:rPr>
        <w:t xml:space="preserve">Capa 1 — </w:t>
      </w:r>
      <w:r>
        <w:rPr>
          <w:rFonts w:ascii="Arial" w:cs="Arial" w:eastAsia="Arial" w:hAnsi="Arial"/>
          <w:color w:val="222222"/>
          <w:sz w:val="22"/>
          <w:szCs w:val="22"/>
        </w:rPr>
        <w:t xml:space="preserve">Capa de datos: recopilar y limpiar listings reales de vehículos con sus características y precios.</w:t>
      </w:r>
    </w:p>
    <w:p>
      <w:pPr>
        <w:pStyle w:val="ListParagraph"/>
        <w:numPr>
          <w:ilvl w:val="0"/>
          <w:numId w:val="2"/>
        </w:numPr>
        <w:spacing w:after="80" w:before="40"/>
      </w:pPr>
      <w:r>
        <w:rPr>
          <w:rFonts w:ascii="Arial" w:cs="Arial" w:eastAsia="Arial" w:hAnsi="Arial"/>
          <w:b/>
          <w:bCs/>
          <w:color w:val="222222"/>
          <w:sz w:val="22"/>
          <w:szCs w:val="22"/>
        </w:rPr>
        <w:t xml:space="preserve">Capa 2 — </w:t>
      </w:r>
      <w:r>
        <w:rPr>
          <w:rFonts w:ascii="Arial" w:cs="Arial" w:eastAsia="Arial" w:hAnsi="Arial"/>
          <w:color w:val="222222"/>
          <w:sz w:val="22"/>
          <w:szCs w:val="22"/>
        </w:rPr>
        <w:t xml:space="preserve">Capa de modelado: entrenar algoritmos de machine learning para predecir el precio óptimo.</w:t>
      </w:r>
    </w:p>
    <w:p>
      <w:pPr>
        <w:pStyle w:val="ListParagraph"/>
        <w:numPr>
          <w:ilvl w:val="0"/>
          <w:numId w:val="2"/>
        </w:numPr>
        <w:spacing w:after="80" w:before="40"/>
      </w:pPr>
      <w:r>
        <w:rPr>
          <w:rFonts w:ascii="Arial" w:cs="Arial" w:eastAsia="Arial" w:hAnsi="Arial"/>
          <w:b/>
          <w:bCs/>
          <w:color w:val="222222"/>
          <w:sz w:val="22"/>
          <w:szCs w:val="22"/>
        </w:rPr>
        <w:t xml:space="preserve">Capa 3 — </w:t>
      </w:r>
      <w:r>
        <w:rPr>
          <w:rFonts w:ascii="Arial" w:cs="Arial" w:eastAsia="Arial" w:hAnsi="Arial"/>
          <w:color w:val="222222"/>
          <w:sz w:val="22"/>
          <w:szCs w:val="22"/>
        </w:rPr>
        <w:t xml:space="preserve">Capa de valor: traducir las predicciones en insights accionables para el usuario final.</w:t>
      </w:r>
    </w:p>
    <w:p>
      <w:pPr>
        <w:spacing w:after="200" w:before="100"/>
      </w:pPr>
    </w:p>
    <w:p>
      <w:pPr>
        <w:pStyle w:val="Heading2"/>
        <w:spacing w:after="100" w:before="260"/>
      </w:pPr>
      <w:r>
        <w:rPr>
          <w:rFonts w:ascii="Arial" w:cs="Arial" w:eastAsia="Arial" w:hAnsi="Arial"/>
          <w:b/>
          <w:bCs/>
          <w:color w:val="2E75B6"/>
          <w:sz w:val="26"/>
          <w:szCs w:val="26"/>
        </w:rPr>
        <w:t xml:space="preserve">3.2 Métodos y extensiones</w:t>
      </w:r>
    </w:p>
    <w:p>
      <w:pPr>
        <w:spacing w:after="140" w:before="60"/>
        <w:jc w:val="both"/>
      </w:pPr>
      <w:r>
        <w:rPr>
          <w:rFonts w:ascii="Arial" w:cs="Arial" w:eastAsia="Arial" w:hAnsi="Arial"/>
          <w:color w:val="222222"/>
          <w:sz w:val="22"/>
          <w:szCs w:val="22"/>
        </w:rPr>
        <w:t xml:space="preserve">La solución principal es un modelo de regresión que estima el precio de un vehículo dado un conjunto de características. Como extensión natural, se puede implementar un sistema de recomendación que, dado un presupuesto y preferencias del usuario, sugiera las mejores opciones disponibles en el mercado.</w:t>
      </w:r>
    </w:p>
    <w:p>
      <w:pPr>
        <w:spacing w:after="140" w:before="60"/>
        <w:jc w:val="both"/>
      </w:pPr>
      <w:r>
        <w:rPr>
          <w:rFonts w:ascii="Arial" w:cs="Arial" w:eastAsia="Arial" w:hAnsi="Arial"/>
          <w:color w:val="222222"/>
          <w:sz w:val="22"/>
          <w:szCs w:val="22"/>
        </w:rPr>
        <w:t xml:space="preserve">Esta combinación de predicción + recomendación convierte a Car Genie en algo más que un estimador de precios: es un asesor de compra inteligente.</w:t>
      </w:r>
    </w:p>
    <w:p>
      <w:pPr>
        <w:pBdr>
          <w:left w:val="single" w:color="2E75B6" w:sz="12" w:space="6"/>
        </w:pBdr>
        <w:spacing w:after="100" w:before="100"/>
        <w:ind w:left="600"/>
      </w:pPr>
      <w:r>
        <w:rPr>
          <w:rFonts w:ascii="Arial" w:cs="Arial" w:eastAsia="Arial" w:hAnsi="Arial"/>
          <w:i/>
          <w:iCs/>
          <w:color w:val="555555"/>
          <w:sz w:val="20"/>
          <w:szCs w:val="20"/>
        </w:rPr>
        <w:t xml:space="preserve">Ejemplo de valor de negocio: un usuario con presupuesto de $15,000 puede recibir las 5 mejores opciones del mercado, ordenadas por relación calidad-precio según el modelo predictivo.</w:t>
      </w:r>
    </w:p>
    <w:p>
      <w:pPr>
        <w:spacing w:after="200" w:before="0"/>
      </w:pPr>
    </w:p>
    <w:p>
      <w:pPr>
        <w:pStyle w:val="Heading1"/>
        <w:spacing w:after="120" w:before="360"/>
      </w:pPr>
      <w:r>
        <w:rPr>
          <w:rFonts w:ascii="Arial" w:cs="Arial" w:eastAsia="Arial" w:hAnsi="Arial"/>
          <w:b/>
          <w:bCs/>
          <w:color w:val="1F4E79"/>
          <w:sz w:val="32"/>
          <w:szCs w:val="32"/>
        </w:rPr>
        <w:t xml:space="preserve">4. Descripción de los Datos</w:t>
      </w:r>
    </w:p>
    <w:p>
      <w:pPr>
        <w:pBdr>
          <w:bottom w:val="single" w:color="2E75B6" w:sz="6" w:space="1"/>
        </w:pBdr>
        <w:spacing w:after="240"/>
      </w:pPr>
    </w:p>
    <w:p>
      <w:pPr>
        <w:pStyle w:val="Heading2"/>
        <w:spacing w:after="100" w:before="260"/>
      </w:pPr>
      <w:r>
        <w:rPr>
          <w:rFonts w:ascii="Arial" w:cs="Arial" w:eastAsia="Arial" w:hAnsi="Arial"/>
          <w:b/>
          <w:bCs/>
          <w:color w:val="2E75B6"/>
          <w:sz w:val="26"/>
          <w:szCs w:val="26"/>
        </w:rPr>
        <w:t xml:space="preserve">4.1 Fuentes y composición del dataset</w:t>
      </w:r>
    </w:p>
    <w:p>
      <w:pPr>
        <w:spacing w:after="140" w:before="60"/>
        <w:jc w:val="both"/>
      </w:pPr>
      <w:r>
        <w:rPr>
          <w:rFonts w:ascii="Arial" w:cs="Arial" w:eastAsia="Arial" w:hAnsi="Arial"/>
          <w:color w:val="222222"/>
          <w:sz w:val="22"/>
          <w:szCs w:val="22"/>
        </w:rPr>
        <w:t xml:space="preserve">El dataset utilizado en Car Genie proviene de listings de plataformas como Craigslist, CarGurus o datasets públicos de Kaggle como el famoso ‘Used Cars Dataset’. Cada registro representa la publicación de un vehículo en venta con sus características asociadas. Un dataset típico puede contener entre 100,000 y 500,000 registros.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000"/>
        <w:gridCol w:w="2560"/>
      </w:tblGrid>
      <w:tr>
        <w:trPr>
          <w:tblHeader/>
        </w:trPr>
        <w:tc>
          <w:tcPr>
            <w:tcW w:type="dxa" w:w="2200"/>
            <w:tcBorders>
              <w:top w:val="single" w:color="AECDE8" w:sz="1"/>
              <w:left w:val="single" w:color="AECDE8" w:sz="1"/>
              <w:bottom w:val="single" w:color="AECDE8" w:sz="1"/>
              <w:right w:val="single" w:color="AECDE8"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Variable</w:t>
            </w:r>
          </w:p>
        </w:tc>
        <w:tc>
          <w:tcPr>
            <w:tcW w:type="dxa" w:w="1600"/>
            <w:tcBorders>
              <w:top w:val="single" w:color="AECDE8" w:sz="1"/>
              <w:left w:val="single" w:color="AECDE8" w:sz="1"/>
              <w:bottom w:val="single" w:color="AECDE8" w:sz="1"/>
              <w:right w:val="single" w:color="AECDE8"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w:t>
            </w:r>
          </w:p>
        </w:tc>
        <w:tc>
          <w:tcPr>
            <w:tcW w:type="dxa" w:w="3000"/>
            <w:tcBorders>
              <w:top w:val="single" w:color="AECDE8" w:sz="1"/>
              <w:left w:val="single" w:color="AECDE8" w:sz="1"/>
              <w:bottom w:val="single" w:color="AECDE8" w:sz="1"/>
              <w:right w:val="single" w:color="AECDE8"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c>
          <w:tcPr>
            <w:tcW w:type="dxa" w:w="2560"/>
            <w:tcBorders>
              <w:top w:val="single" w:color="AECDE8" w:sz="1"/>
              <w:left w:val="single" w:color="AECDE8" w:sz="1"/>
              <w:bottom w:val="single" w:color="AECDE8" w:sz="1"/>
              <w:right w:val="single" w:color="AECDE8"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Impacto en precio</w:t>
            </w:r>
          </w:p>
        </w:tc>
      </w:tr>
      <w:tr>
        <w:tc>
          <w:tcPr>
            <w:tcW w:type="dxa" w:w="22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price</w:t>
            </w:r>
          </w:p>
        </w:tc>
        <w:tc>
          <w:tcPr>
            <w:tcW w:type="dxa" w:w="16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Numérico</w:t>
            </w:r>
          </w:p>
        </w:tc>
        <w:tc>
          <w:tcPr>
            <w:tcW w:type="dxa" w:w="30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Precio de venta en USD</w:t>
            </w:r>
          </w:p>
        </w:tc>
        <w:tc>
          <w:tcPr>
            <w:tcW w:type="dxa" w:w="256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Variable objetivo (target)</w:t>
            </w:r>
          </w:p>
        </w:tc>
      </w:tr>
      <w:tr>
        <w:tc>
          <w:tcPr>
            <w:tcW w:type="dxa" w:w="22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year</w:t>
            </w:r>
          </w:p>
        </w:tc>
        <w:tc>
          <w:tcPr>
            <w:tcW w:type="dxa" w:w="16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Numérico</w:t>
            </w:r>
          </w:p>
        </w:tc>
        <w:tc>
          <w:tcPr>
            <w:tcW w:type="dxa" w:w="30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Año de fabricación</w:t>
            </w:r>
          </w:p>
        </w:tc>
        <w:tc>
          <w:tcPr>
            <w:tcW w:type="dxa" w:w="256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Alto: determina depreciación</w:t>
            </w:r>
          </w:p>
        </w:tc>
      </w:tr>
      <w:tr>
        <w:tc>
          <w:tcPr>
            <w:tcW w:type="dxa" w:w="22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manufacturer</w:t>
            </w:r>
          </w:p>
        </w:tc>
        <w:tc>
          <w:tcPr>
            <w:tcW w:type="dxa" w:w="16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Categórico</w:t>
            </w:r>
          </w:p>
        </w:tc>
        <w:tc>
          <w:tcPr>
            <w:tcW w:type="dxa" w:w="30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Marca del vehículo (Toyota, Ford...)</w:t>
            </w:r>
          </w:p>
        </w:tc>
        <w:tc>
          <w:tcPr>
            <w:tcW w:type="dxa" w:w="256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Alto: algunas marcas retienen más valor</w:t>
            </w:r>
          </w:p>
        </w:tc>
      </w:tr>
      <w:tr>
        <w:tc>
          <w:tcPr>
            <w:tcW w:type="dxa" w:w="22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model</w:t>
            </w:r>
          </w:p>
        </w:tc>
        <w:tc>
          <w:tcPr>
            <w:tcW w:type="dxa" w:w="16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Categórico</w:t>
            </w:r>
          </w:p>
        </w:tc>
        <w:tc>
          <w:tcPr>
            <w:tcW w:type="dxa" w:w="30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Modelo específico</w:t>
            </w:r>
          </w:p>
        </w:tc>
        <w:tc>
          <w:tcPr>
            <w:tcW w:type="dxa" w:w="256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Alto: varianza intra-marca</w:t>
            </w:r>
          </w:p>
        </w:tc>
      </w:tr>
      <w:tr>
        <w:tc>
          <w:tcPr>
            <w:tcW w:type="dxa" w:w="22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odometer</w:t>
            </w:r>
          </w:p>
        </w:tc>
        <w:tc>
          <w:tcPr>
            <w:tcW w:type="dxa" w:w="16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Numérico</w:t>
            </w:r>
          </w:p>
        </w:tc>
        <w:tc>
          <w:tcPr>
            <w:tcW w:type="dxa" w:w="30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Millas recorridas</w:t>
            </w:r>
          </w:p>
        </w:tc>
        <w:tc>
          <w:tcPr>
            <w:tcW w:type="dxa" w:w="256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Alto: mayor millas = menor precio</w:t>
            </w:r>
          </w:p>
        </w:tc>
      </w:tr>
      <w:tr>
        <w:tc>
          <w:tcPr>
            <w:tcW w:type="dxa" w:w="22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condition</w:t>
            </w:r>
          </w:p>
        </w:tc>
        <w:tc>
          <w:tcPr>
            <w:tcW w:type="dxa" w:w="16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Categórico</w:t>
            </w:r>
          </w:p>
        </w:tc>
        <w:tc>
          <w:tcPr>
            <w:tcW w:type="dxa" w:w="30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Estado (excelente, bueno, regular...)</w:t>
            </w:r>
          </w:p>
        </w:tc>
        <w:tc>
          <w:tcPr>
            <w:tcW w:type="dxa" w:w="256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Medio-alto</w:t>
            </w:r>
          </w:p>
        </w:tc>
      </w:tr>
      <w:tr>
        <w:tc>
          <w:tcPr>
            <w:tcW w:type="dxa" w:w="22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fuel</w:t>
            </w:r>
          </w:p>
        </w:tc>
        <w:tc>
          <w:tcPr>
            <w:tcW w:type="dxa" w:w="16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Categórico</w:t>
            </w:r>
          </w:p>
        </w:tc>
        <w:tc>
          <w:tcPr>
            <w:tcW w:type="dxa" w:w="30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Tipo de combustible (gas, diesel, eléctrico)</w:t>
            </w:r>
          </w:p>
        </w:tc>
        <w:tc>
          <w:tcPr>
            <w:tcW w:type="dxa" w:w="256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Medio</w:t>
            </w:r>
          </w:p>
        </w:tc>
      </w:tr>
      <w:tr>
        <w:tc>
          <w:tcPr>
            <w:tcW w:type="dxa" w:w="22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transmission</w:t>
            </w:r>
          </w:p>
        </w:tc>
        <w:tc>
          <w:tcPr>
            <w:tcW w:type="dxa" w:w="16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Categórico</w:t>
            </w:r>
          </w:p>
        </w:tc>
        <w:tc>
          <w:tcPr>
            <w:tcW w:type="dxa" w:w="30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Automático / Manual</w:t>
            </w:r>
          </w:p>
        </w:tc>
        <w:tc>
          <w:tcPr>
            <w:tcW w:type="dxa" w:w="256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Bajo-medio (según mercado)</w:t>
            </w:r>
          </w:p>
        </w:tc>
      </w:tr>
      <w:tr>
        <w:tc>
          <w:tcPr>
            <w:tcW w:type="dxa" w:w="22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state</w:t>
            </w:r>
          </w:p>
        </w:tc>
        <w:tc>
          <w:tcPr>
            <w:tcW w:type="dxa" w:w="16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Categórico</w:t>
            </w:r>
          </w:p>
        </w:tc>
        <w:tc>
          <w:tcPr>
            <w:tcW w:type="dxa" w:w="30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Estado o región de venta</w:t>
            </w:r>
          </w:p>
        </w:tc>
        <w:tc>
          <w:tcPr>
            <w:tcW w:type="dxa" w:w="256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Medio: demanda local varía</w:t>
            </w:r>
          </w:p>
        </w:tc>
      </w:tr>
      <w:tr>
        <w:tc>
          <w:tcPr>
            <w:tcW w:type="dxa" w:w="22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title_status</w:t>
            </w:r>
          </w:p>
        </w:tc>
        <w:tc>
          <w:tcPr>
            <w:tcW w:type="dxa" w:w="16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Categórico</w:t>
            </w:r>
          </w:p>
        </w:tc>
        <w:tc>
          <w:tcPr>
            <w:tcW w:type="dxa" w:w="30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Limpio, salvage, rebuilt...</w:t>
            </w:r>
          </w:p>
        </w:tc>
        <w:tc>
          <w:tcPr>
            <w:tcW w:type="dxa" w:w="256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Alto: impacta valor legal y real</w:t>
            </w:r>
          </w:p>
        </w:tc>
      </w:tr>
      <w:tr>
        <w:tc>
          <w:tcPr>
            <w:tcW w:type="dxa" w:w="22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drive</w:t>
            </w:r>
          </w:p>
        </w:tc>
        <w:tc>
          <w:tcPr>
            <w:tcW w:type="dxa" w:w="16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Categórico</w:t>
            </w:r>
          </w:p>
        </w:tc>
        <w:tc>
          <w:tcPr>
            <w:tcW w:type="dxa" w:w="30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FWD, RWD, AWD, 4WD</w:t>
            </w:r>
          </w:p>
        </w:tc>
        <w:tc>
          <w:tcPr>
            <w:tcW w:type="dxa" w:w="256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Bajo-medio</w:t>
            </w:r>
          </w:p>
        </w:tc>
      </w:tr>
      <w:tr>
        <w:tc>
          <w:tcPr>
            <w:tcW w:type="dxa" w:w="22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type</w:t>
            </w:r>
          </w:p>
        </w:tc>
        <w:tc>
          <w:tcPr>
            <w:tcW w:type="dxa" w:w="16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Categórico</w:t>
            </w:r>
          </w:p>
        </w:tc>
        <w:tc>
          <w:tcPr>
            <w:tcW w:type="dxa" w:w="30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SUV, Sedan, Truck, Coupe...</w:t>
            </w:r>
          </w:p>
        </w:tc>
        <w:tc>
          <w:tcPr>
            <w:tcW w:type="dxa" w:w="256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Medio</w:t>
            </w:r>
          </w:p>
        </w:tc>
      </w:tr>
    </w:tbl>
    <w:p>
      <w:pPr>
        <w:spacing w:after="200" w:before="200"/>
      </w:pPr>
    </w:p>
    <w:p>
      <w:pPr>
        <w:pStyle w:val="Heading2"/>
        <w:spacing w:after="100" w:before="260"/>
      </w:pPr>
      <w:r>
        <w:rPr>
          <w:rFonts w:ascii="Arial" w:cs="Arial" w:eastAsia="Arial" w:hAnsi="Arial"/>
          <w:b/>
          <w:bCs/>
          <w:color w:val="2E75B6"/>
          <w:sz w:val="26"/>
          <w:szCs w:val="26"/>
        </w:rPr>
        <w:t xml:space="preserve">4.2 Calidad de los datos</w:t>
      </w:r>
    </w:p>
    <w:p>
      <w:pPr>
        <w:spacing w:after="140" w:before="60"/>
        <w:jc w:val="both"/>
      </w:pPr>
      <w:r>
        <w:rPr>
          <w:rFonts w:ascii="Arial" w:cs="Arial" w:eastAsia="Arial" w:hAnsi="Arial"/>
          <w:color w:val="222222"/>
          <w:sz w:val="22"/>
          <w:szCs w:val="22"/>
        </w:rPr>
        <w:t xml:space="preserve">Ningún dataset del mundo real es perfecto, y el de vehículos usados no es la excepción. En la práctica, se observan los siguientes problemas:</w:t>
      </w:r>
    </w:p>
    <w:p>
      <w:pPr>
        <w:pStyle w:val="ListParagraph"/>
        <w:numPr>
          <w:ilvl w:val="0"/>
          <w:numId w:val="2"/>
        </w:numPr>
        <w:spacing w:after="80" w:before="40"/>
      </w:pPr>
      <w:r>
        <w:rPr>
          <w:rFonts w:ascii="Arial" w:cs="Arial" w:eastAsia="Arial" w:hAnsi="Arial"/>
          <w:color w:val="222222"/>
          <w:sz w:val="22"/>
          <w:szCs w:val="22"/>
        </w:rPr>
        <w:t xml:space="preserve">Valores faltantes: columnas como ‘condition’, ‘cylinders’ o ‘drive’ tienen entre 20% y 40% de nulos.</w:t>
      </w:r>
    </w:p>
    <w:p>
      <w:pPr>
        <w:pStyle w:val="ListParagraph"/>
        <w:numPr>
          <w:ilvl w:val="0"/>
          <w:numId w:val="2"/>
        </w:numPr>
        <w:spacing w:after="80" w:before="40"/>
      </w:pPr>
      <w:r>
        <w:rPr>
          <w:rFonts w:ascii="Arial" w:cs="Arial" w:eastAsia="Arial" w:hAnsi="Arial"/>
          <w:color w:val="222222"/>
          <w:sz w:val="22"/>
          <w:szCs w:val="22"/>
        </w:rPr>
        <w:t xml:space="preserve">Outliers extremos: listings con precios de $1 (errores) o $999,999 (placeholders).</w:t>
      </w:r>
    </w:p>
    <w:p>
      <w:pPr>
        <w:pStyle w:val="ListParagraph"/>
        <w:numPr>
          <w:ilvl w:val="0"/>
          <w:numId w:val="2"/>
        </w:numPr>
        <w:spacing w:after="80" w:before="40"/>
      </w:pPr>
      <w:r>
        <w:rPr>
          <w:rFonts w:ascii="Arial" w:cs="Arial" w:eastAsia="Arial" w:hAnsi="Arial"/>
          <w:color w:val="222222"/>
          <w:sz w:val="22"/>
          <w:szCs w:val="22"/>
        </w:rPr>
        <w:t xml:space="preserve">Inconsistencias de texto: 'Toyota' vs 'toyota' vs 'TOYOTA'; modelos con múltiples variantes de nombre.</w:t>
      </w:r>
    </w:p>
    <w:p>
      <w:pPr>
        <w:pStyle w:val="ListParagraph"/>
        <w:numPr>
          <w:ilvl w:val="0"/>
          <w:numId w:val="2"/>
        </w:numPr>
        <w:spacing w:after="80" w:before="40"/>
      </w:pPr>
      <w:r>
        <w:rPr>
          <w:rFonts w:ascii="Arial" w:cs="Arial" w:eastAsia="Arial" w:hAnsi="Arial"/>
          <w:color w:val="222222"/>
          <w:sz w:val="22"/>
          <w:szCs w:val="22"/>
        </w:rPr>
        <w:t xml:space="preserve">Duplicados: el mismo vehículo publicado varias veces con pequeñas diferencias.</w:t>
      </w:r>
    </w:p>
    <w:p>
      <w:pPr>
        <w:pBdr>
          <w:left w:val="single" w:color="2E75B6" w:sz="12" w:space="6"/>
        </w:pBdr>
        <w:spacing w:after="100" w:before="100"/>
        <w:ind w:left="600"/>
      </w:pPr>
      <w:r>
        <w:rPr>
          <w:rFonts w:ascii="Arial" w:cs="Arial" w:eastAsia="Arial" w:hAnsi="Arial"/>
          <w:i/>
          <w:iCs/>
          <w:color w:val="555555"/>
          <w:sz w:val="20"/>
          <w:szCs w:val="20"/>
        </w:rPr>
        <w:t xml:space="preserve">El 30–40% de los registros brutos suelen descartarse o corregirse durante la limpieza. Esto no es un fracaso, es parte del proceso: datos limpios son la base de predicciones confiables.</w:t>
      </w:r>
    </w:p>
    <w:p>
      <w:pPr>
        <w:spacing w:after="200" w:before="0"/>
      </w:pPr>
    </w:p>
    <w:p>
      <w:pPr>
        <w:pStyle w:val="Heading1"/>
        <w:spacing w:after="120" w:before="360"/>
      </w:pPr>
      <w:r>
        <w:rPr>
          <w:rFonts w:ascii="Arial" w:cs="Arial" w:eastAsia="Arial" w:hAnsi="Arial"/>
          <w:b/>
          <w:bCs/>
          <w:color w:val="1F4E79"/>
          <w:sz w:val="32"/>
          <w:szCs w:val="32"/>
        </w:rPr>
        <w:t xml:space="preserve">5. Análisis Exploratorio de Datos (EDA)</w:t>
      </w:r>
    </w:p>
    <w:p>
      <w:pPr>
        <w:pBdr>
          <w:bottom w:val="single" w:color="2E75B6" w:sz="6" w:space="1"/>
        </w:pBdr>
        <w:spacing w:after="240"/>
      </w:pPr>
    </w:p>
    <w:p>
      <w:pPr>
        <w:pStyle w:val="Heading2"/>
        <w:spacing w:after="100" w:before="260"/>
      </w:pPr>
      <w:r>
        <w:rPr>
          <w:rFonts w:ascii="Arial" w:cs="Arial" w:eastAsia="Arial" w:hAnsi="Arial"/>
          <w:b/>
          <w:bCs/>
          <w:color w:val="2E75B6"/>
          <w:sz w:val="26"/>
          <w:szCs w:val="26"/>
        </w:rPr>
        <w:t xml:space="preserve">5.1 Distribución de precios</w:t>
      </w:r>
    </w:p>
    <w:p>
      <w:pPr>
        <w:spacing w:after="140" w:before="60"/>
        <w:jc w:val="both"/>
      </w:pPr>
      <w:r>
        <w:rPr>
          <w:rFonts w:ascii="Arial" w:cs="Arial" w:eastAsia="Arial" w:hAnsi="Arial"/>
          <w:color w:val="222222"/>
          <w:sz w:val="22"/>
          <w:szCs w:val="22"/>
        </w:rPr>
        <w:t xml:space="preserve">La distribución de precios en el mercado de vehículos usados tiene una forma asimétrica hacia la derecha (right-skewed). La mayor concentración de listings se encuentra en el rango de $3,000 a $25,000, con una larga cola hacia precios altos generados por vehículos de lujo, deportivos o de colección.</w:t>
      </w:r>
    </w:p>
    <w:p>
      <w:pPr>
        <w:pBdr>
          <w:left w:val="single" w:color="2E75B6" w:sz="12" w:space="6"/>
        </w:pBdr>
        <w:spacing w:after="100" w:before="100"/>
        <w:ind w:left="600"/>
      </w:pPr>
      <w:r>
        <w:rPr>
          <w:rFonts w:ascii="Arial" w:cs="Arial" w:eastAsia="Arial" w:hAnsi="Arial"/>
          <w:i/>
          <w:iCs/>
          <w:color w:val="555555"/>
          <w:sz w:val="20"/>
          <w:szCs w:val="20"/>
        </w:rPr>
        <w:t xml:space="preserve">Insight de negocio: el 80% del mercado de vehículos usados opera en el rango $2,000–$30,000. Los modelos deben optimizarse para este rango, que es donde la mayoría de compradores reales toman decisiones.</w:t>
      </w:r>
    </w:p>
    <w:p>
      <w:pPr>
        <w:spacing w:after="140" w:before="60"/>
        <w:jc w:val="both"/>
      </w:pPr>
      <w:r>
        <w:rPr>
          <w:rFonts w:ascii="Arial" w:cs="Arial" w:eastAsia="Arial" w:hAnsi="Arial"/>
          <w:color w:val="222222"/>
          <w:sz w:val="22"/>
          <w:szCs w:val="22"/>
        </w:rPr>
        <w:t xml:space="preserve">Esta distribución indica que debemos aplicar transformación logarítmica al precio durante el modelado para mejorar el desempeño del modelo.</w:t>
      </w:r>
    </w:p>
    <w:p>
      <w:pPr>
        <w:spacing w:after="80" w:before="80"/>
      </w:pPr>
    </w:p>
    <w:p>
      <w:pPr>
        <w:pStyle w:val="Heading2"/>
        <w:spacing w:after="100" w:before="260"/>
      </w:pPr>
      <w:r>
        <w:rPr>
          <w:rFonts w:ascii="Arial" w:cs="Arial" w:eastAsia="Arial" w:hAnsi="Arial"/>
          <w:b/>
          <w:bCs/>
          <w:color w:val="2E75B6"/>
          <w:sz w:val="26"/>
          <w:szCs w:val="26"/>
        </w:rPr>
        <w:t xml:space="preserve">5.2 Relación entre año del vehículo y precio</w:t>
      </w:r>
    </w:p>
    <w:p>
      <w:pPr>
        <w:spacing w:after="140" w:before="60"/>
        <w:jc w:val="both"/>
      </w:pPr>
      <w:r>
        <w:rPr>
          <w:rFonts w:ascii="Arial" w:cs="Arial" w:eastAsia="Arial" w:hAnsi="Arial"/>
          <w:color w:val="222222"/>
          <w:sz w:val="22"/>
          <w:szCs w:val="22"/>
        </w:rPr>
        <w:t xml:space="preserve">Existe una correlación positiva clara entre el año de fabricación y el precio: vehículos más nuevos valen más. Sin embargo, la curva no es lineal: los primeros 3–5 años de vida muestran la mayor pérdida de valor (depreciacíón acelerada), mientras que después de 10 años el precio se estabiliza en un piso relativo.</w:t>
      </w:r>
    </w:p>
    <w:p>
      <w:pPr>
        <w:pBdr>
          <w:left w:val="single" w:color="2E75B6" w:sz="12" w:space="6"/>
        </w:pBdr>
        <w:spacing w:after="100" w:before="100"/>
        <w:ind w:left="600"/>
      </w:pPr>
      <w:r>
        <w:rPr>
          <w:rFonts w:ascii="Arial" w:cs="Arial" w:eastAsia="Arial" w:hAnsi="Arial"/>
          <w:i/>
          <w:iCs/>
          <w:color w:val="555555"/>
          <w:sz w:val="20"/>
          <w:szCs w:val="20"/>
        </w:rPr>
        <w:t xml:space="preserve">Insight de negocio: un vehículo nuevo pierde en promedio entre el 15% y el 25% de su valor el primer año, y hasta el 50% en los primeros 5 años. Comprar un auto con 2–3 años de uso puede ser una de las mejores decisiones financieras para el consumidor.</w:t>
      </w:r>
    </w:p>
    <w:p>
      <w:pPr>
        <w:spacing w:after="80" w:before="80"/>
      </w:pPr>
    </w:p>
    <w:p>
      <w:pPr>
        <w:pStyle w:val="Heading2"/>
        <w:spacing w:after="100" w:before="260"/>
      </w:pPr>
      <w:r>
        <w:rPr>
          <w:rFonts w:ascii="Arial" w:cs="Arial" w:eastAsia="Arial" w:hAnsi="Arial"/>
          <w:b/>
          <w:bCs/>
          <w:color w:val="2E75B6"/>
          <w:sz w:val="26"/>
          <w:szCs w:val="26"/>
        </w:rPr>
        <w:t xml:space="preserve">5.3 Impacto del odometer (millas) en la depreciación</w:t>
      </w:r>
    </w:p>
    <w:p>
      <w:pPr>
        <w:spacing w:after="140" w:before="60"/>
        <w:jc w:val="both"/>
      </w:pPr>
      <w:r>
        <w:rPr>
          <w:rFonts w:ascii="Arial" w:cs="Arial" w:eastAsia="Arial" w:hAnsi="Arial"/>
          <w:color w:val="222222"/>
          <w:sz w:val="22"/>
          <w:szCs w:val="22"/>
        </w:rPr>
        <w:t xml:space="preserve">El número de millas recorridas es uno de los predictores más poderosos del precio. La relación es negativa y bastante consistente: a mayor kilometraje, menor precio. Sin embargo, el efecto varía según la marca y el tipo de vehículo.</w:t>
      </w:r>
    </w:p>
    <w:p>
      <w:pPr>
        <w:spacing w:after="140" w:before="60"/>
        <w:jc w:val="both"/>
      </w:pPr>
      <w:r>
        <w:rPr>
          <w:rFonts w:ascii="Arial" w:cs="Arial" w:eastAsia="Arial" w:hAnsi="Arial"/>
          <w:color w:val="222222"/>
          <w:sz w:val="22"/>
          <w:szCs w:val="22"/>
        </w:rPr>
        <w:t xml:space="preserve">Existe también el fenómeno del 'odometer milestone effect': vehículos justo debajo de los 100,000 millas se venden significativamente más caro que los que están justo por encima, aunque la diferencia real de uso sea mínima. Este comportamiento del consumidor queda capturado en el modelo.</w:t>
      </w:r>
    </w:p>
    <w:p>
      <w:pPr>
        <w:pBdr>
          <w:left w:val="single" w:color="2E75B6" w:sz="12" w:space="6"/>
        </w:pBdr>
        <w:spacing w:after="100" w:before="100"/>
        <w:ind w:left="600"/>
      </w:pPr>
      <w:r>
        <w:rPr>
          <w:rFonts w:ascii="Arial" w:cs="Arial" w:eastAsia="Arial" w:hAnsi="Arial"/>
          <w:i/>
          <w:iCs/>
          <w:color w:val="555555"/>
          <w:sz w:val="20"/>
          <w:szCs w:val="20"/>
        </w:rPr>
        <w:t xml:space="preserve">Insight de negocio: cruzar el umbral de las 100,000 millas puede significar una caída de precio de hasta $1,500–$2,000, según la marca. Car Genie puede alertar sobre este fenómeno a compradores y vendedores.</w:t>
      </w:r>
    </w:p>
    <w:p>
      <w:pPr>
        <w:spacing w:after="80" w:before="80"/>
      </w:pPr>
    </w:p>
    <w:p>
      <w:pPr>
        <w:pStyle w:val="Heading2"/>
        <w:spacing w:after="100" w:before="260"/>
      </w:pPr>
      <w:r>
        <w:rPr>
          <w:rFonts w:ascii="Arial" w:cs="Arial" w:eastAsia="Arial" w:hAnsi="Arial"/>
          <w:b/>
          <w:bCs/>
          <w:color w:val="2E75B6"/>
          <w:sz w:val="26"/>
          <w:szCs w:val="26"/>
        </w:rPr>
        <w:t xml:space="preserve">5.4 Comparación entre marcas</w:t>
      </w:r>
    </w:p>
    <w:p>
      <w:pPr>
        <w:spacing w:after="140" w:before="60"/>
        <w:jc w:val="both"/>
      </w:pPr>
      <w:r>
        <w:rPr>
          <w:rFonts w:ascii="Arial" w:cs="Arial" w:eastAsia="Arial" w:hAnsi="Arial"/>
          <w:color w:val="222222"/>
          <w:sz w:val="22"/>
          <w:szCs w:val="22"/>
        </w:rPr>
        <w:t xml:space="preserve">No todas las marcas deprecian igual. El EDA revela diferencias significativas en la retención de valor según el fabricante: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AECDE8" w:sz="1"/>
              <w:left w:val="single" w:color="AECDE8" w:sz="1"/>
              <w:bottom w:val="single" w:color="AECDE8" w:sz="1"/>
              <w:right w:val="single" w:color="AECDE8"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Tier</w:t>
            </w:r>
          </w:p>
        </w:tc>
        <w:tc>
          <w:tcPr>
            <w:tcW w:type="dxa" w:w="3500"/>
            <w:tcBorders>
              <w:top w:val="single" w:color="AECDE8" w:sz="1"/>
              <w:left w:val="single" w:color="AECDE8" w:sz="1"/>
              <w:bottom w:val="single" w:color="AECDE8" w:sz="1"/>
              <w:right w:val="single" w:color="AECDE8"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Marcas representativas</w:t>
            </w:r>
          </w:p>
        </w:tc>
        <w:tc>
          <w:tcPr>
            <w:tcW w:type="dxa" w:w="3360"/>
            <w:tcBorders>
              <w:top w:val="single" w:color="AECDE8" w:sz="1"/>
              <w:left w:val="single" w:color="AECDE8" w:sz="1"/>
              <w:bottom w:val="single" w:color="AECDE8" w:sz="1"/>
              <w:right w:val="single" w:color="AECDE8"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Retención de valor (5 años)</w:t>
            </w:r>
          </w:p>
        </w:tc>
      </w:tr>
      <w:tr>
        <w:tc>
          <w:tcPr>
            <w:tcW w:type="dxa" w:w="25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Alto valor residual</w:t>
            </w:r>
          </w:p>
        </w:tc>
        <w:tc>
          <w:tcPr>
            <w:tcW w:type="dxa" w:w="35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Toyota, Honda, Subaru</w:t>
            </w:r>
          </w:p>
        </w:tc>
        <w:tc>
          <w:tcPr>
            <w:tcW w:type="dxa" w:w="336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~55–65% del precio original</w:t>
            </w:r>
          </w:p>
        </w:tc>
      </w:tr>
      <w:tr>
        <w:tc>
          <w:tcPr>
            <w:tcW w:type="dxa" w:w="25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Valor residual medio</w:t>
            </w:r>
          </w:p>
        </w:tc>
        <w:tc>
          <w:tcPr>
            <w:tcW w:type="dxa" w:w="35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Ford, Chevrolet, Mazda</w:t>
            </w:r>
          </w:p>
        </w:tc>
        <w:tc>
          <w:tcPr>
            <w:tcW w:type="dxa" w:w="336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~40–55% del precio original</w:t>
            </w:r>
          </w:p>
        </w:tc>
      </w:tr>
      <w:tr>
        <w:tc>
          <w:tcPr>
            <w:tcW w:type="dxa" w:w="25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Depreciación rápida</w:t>
            </w:r>
          </w:p>
        </w:tc>
        <w:tc>
          <w:tcPr>
            <w:tcW w:type="dxa" w:w="35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Chrysler, Nissan (ciertos modelos)</w:t>
            </w:r>
          </w:p>
        </w:tc>
        <w:tc>
          <w:tcPr>
            <w:tcW w:type="dxa" w:w="336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~30–40% del precio original</w:t>
            </w:r>
          </w:p>
        </w:tc>
      </w:tr>
      <w:tr>
        <w:tc>
          <w:tcPr>
            <w:tcW w:type="dxa" w:w="25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Lujo / alta depreciación</w:t>
            </w:r>
          </w:p>
        </w:tc>
        <w:tc>
          <w:tcPr>
            <w:tcW w:type="dxa" w:w="35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BMW, Mercedes (usados)</w:t>
            </w:r>
          </w:p>
        </w:tc>
        <w:tc>
          <w:tcPr>
            <w:tcW w:type="dxa" w:w="336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~25–35% del precio original</w:t>
            </w:r>
          </w:p>
        </w:tc>
      </w:tr>
    </w:tbl>
    <w:p>
      <w:pPr>
        <w:spacing w:after="200" w:before="200"/>
      </w:pPr>
    </w:p>
    <w:p>
      <w:pPr>
        <w:pBdr>
          <w:left w:val="single" w:color="2E75B6" w:sz="12" w:space="6"/>
        </w:pBdr>
        <w:spacing w:after="100" w:before="100"/>
        <w:ind w:left="600"/>
      </w:pPr>
      <w:r>
        <w:rPr>
          <w:rFonts w:ascii="Arial" w:cs="Arial" w:eastAsia="Arial" w:hAnsi="Arial"/>
          <w:i/>
          <w:iCs/>
          <w:color w:val="555555"/>
          <w:sz w:val="20"/>
          <w:szCs w:val="20"/>
        </w:rPr>
        <w:t xml:space="preserve">Insight de negocio: Toyota y Honda dominan el segmento de mejor relación precio-valor en el mercado de usados. Car Genie puede incorporar esta información para guiar recomendaciones de compra alineadas con el perfil de riesgo del comprador.</w:t>
      </w:r>
    </w:p>
    <w:p>
      <w:pPr>
        <w:spacing w:after="80" w:before="80"/>
      </w:pPr>
    </w:p>
    <w:p>
      <w:pPr>
        <w:pStyle w:val="Heading2"/>
        <w:spacing w:after="100" w:before="260"/>
      </w:pPr>
      <w:r>
        <w:rPr>
          <w:rFonts w:ascii="Arial" w:cs="Arial" w:eastAsia="Arial" w:hAnsi="Arial"/>
          <w:b/>
          <w:bCs/>
          <w:color w:val="2E75B6"/>
          <w:sz w:val="26"/>
          <w:szCs w:val="26"/>
        </w:rPr>
        <w:t xml:space="preserve">5.5 Detección de outliers</w:t>
      </w:r>
    </w:p>
    <w:p>
      <w:pPr>
        <w:spacing w:after="140" w:before="60"/>
        <w:jc w:val="both"/>
      </w:pPr>
      <w:r>
        <w:rPr>
          <w:rFonts w:ascii="Arial" w:cs="Arial" w:eastAsia="Arial" w:hAnsi="Arial"/>
          <w:color w:val="222222"/>
          <w:sz w:val="22"/>
          <w:szCs w:val="22"/>
        </w:rPr>
        <w:t xml:space="preserve">El análisis de outliers es crítico para la integridad del modelo. Se identifican dos tipos:</w:t>
      </w:r>
    </w:p>
    <w:p>
      <w:pPr>
        <w:pStyle w:val="ListParagraph"/>
        <w:numPr>
          <w:ilvl w:val="0"/>
          <w:numId w:val="2"/>
        </w:numPr>
        <w:spacing w:after="80" w:before="40"/>
      </w:pPr>
      <w:r>
        <w:rPr>
          <w:rFonts w:ascii="Arial" w:cs="Arial" w:eastAsia="Arial" w:hAnsi="Arial"/>
          <w:color w:val="222222"/>
          <w:sz w:val="22"/>
          <w:szCs w:val="22"/>
        </w:rPr>
        <w:t xml:space="preserve">Outliers de precio: listings con precios menores a $500 (errores o vehículos en partes) o superiores a $100,000 (fuera del segmento objetivo).</w:t>
      </w:r>
    </w:p>
    <w:p>
      <w:pPr>
        <w:pStyle w:val="ListParagraph"/>
        <w:numPr>
          <w:ilvl w:val="0"/>
          <w:numId w:val="2"/>
        </w:numPr>
        <w:spacing w:after="80" w:before="40"/>
      </w:pPr>
      <w:r>
        <w:rPr>
          <w:rFonts w:ascii="Arial" w:cs="Arial" w:eastAsia="Arial" w:hAnsi="Arial"/>
          <w:color w:val="222222"/>
          <w:sz w:val="22"/>
          <w:szCs w:val="22"/>
        </w:rPr>
        <w:t xml:space="preserve">Outliers de odometer: vehículos con 0 millas (sospechosos si tienen años de uso) o con más de 500,000 millas (posibles errores de entrada).</w:t>
      </w:r>
    </w:p>
    <w:p>
      <w:pPr>
        <w:spacing w:after="140" w:before="60"/>
        <w:jc w:val="both"/>
      </w:pPr>
      <w:r>
        <w:rPr>
          <w:rFonts w:ascii="Arial" w:cs="Arial" w:eastAsia="Arial" w:hAnsi="Arial"/>
          <w:color w:val="222222"/>
          <w:sz w:val="22"/>
          <w:szCs w:val="22"/>
        </w:rPr>
        <w:t xml:space="preserve">Estos valores extremos, si no se tratan, pueden sesgaar el modelo y generar predicciones poco realistas para el usuario promedio.</w:t>
      </w:r>
    </w:p>
    <w:p>
      <w:pPr>
        <w:spacing w:after="200" w:before="0"/>
      </w:pPr>
    </w:p>
    <w:p>
      <w:pPr>
        <w:pStyle w:val="Heading1"/>
        <w:spacing w:after="120" w:before="360"/>
      </w:pPr>
      <w:r>
        <w:rPr>
          <w:rFonts w:ascii="Arial" w:cs="Arial" w:eastAsia="Arial" w:hAnsi="Arial"/>
          <w:b/>
          <w:bCs/>
          <w:color w:val="1F4E79"/>
          <w:sz w:val="32"/>
          <w:szCs w:val="32"/>
        </w:rPr>
        <w:t xml:space="preserve">6. Procesamiento de Datos</w:t>
      </w:r>
    </w:p>
    <w:p>
      <w:pPr>
        <w:pBdr>
          <w:bottom w:val="single" w:color="2E75B6" w:sz="6" w:space="1"/>
        </w:pBdr>
        <w:spacing w:after="240"/>
      </w:pPr>
    </w:p>
    <w:p>
      <w:pPr>
        <w:spacing w:after="140" w:before="60"/>
        <w:jc w:val="both"/>
      </w:pPr>
      <w:r>
        <w:rPr>
          <w:rFonts w:ascii="Arial" w:cs="Arial" w:eastAsia="Arial" w:hAnsi="Arial"/>
          <w:color w:val="222222"/>
          <w:sz w:val="22"/>
          <w:szCs w:val="22"/>
        </w:rPr>
        <w:t xml:space="preserve">El procesamiento de datos es donde se transforma el dataset bruto en insumo de alta calidad para el modelo. Cada decisión tomada aquí tiene un impacto directo en la precisión de las predicciones.</w:t>
      </w:r>
    </w:p>
    <w:p>
      <w:pPr>
        <w:spacing w:after="80" w:before="80"/>
      </w:pPr>
    </w:p>
    <w:p>
      <w:pPr>
        <w:pStyle w:val="Heading2"/>
        <w:spacing w:after="100" w:before="260"/>
      </w:pPr>
      <w:r>
        <w:rPr>
          <w:rFonts w:ascii="Arial" w:cs="Arial" w:eastAsia="Arial" w:hAnsi="Arial"/>
          <w:b/>
          <w:bCs/>
          <w:color w:val="2E75B6"/>
          <w:sz w:val="26"/>
          <w:szCs w:val="26"/>
        </w:rPr>
        <w:t xml:space="preserve">6.1 Limpieza de datos</w:t>
      </w:r>
    </w:p>
    <w:p>
      <w:pPr>
        <w:pStyle w:val="ListParagraph"/>
        <w:numPr>
          <w:ilvl w:val="0"/>
          <w:numId w:val="2"/>
        </w:numPr>
        <w:spacing w:after="80" w:before="40"/>
      </w:pPr>
      <w:r>
        <w:rPr>
          <w:rFonts w:ascii="Arial" w:cs="Arial" w:eastAsia="Arial" w:hAnsi="Arial"/>
          <w:color w:val="222222"/>
          <w:sz w:val="22"/>
          <w:szCs w:val="22"/>
        </w:rPr>
        <w:t xml:space="preserve">Eliminación de duplicados: se conserva solo el registro más reciente para cada vehículo.</w:t>
      </w:r>
    </w:p>
    <w:p>
      <w:pPr>
        <w:pStyle w:val="ListParagraph"/>
        <w:numPr>
          <w:ilvl w:val="0"/>
          <w:numId w:val="2"/>
        </w:numPr>
        <w:spacing w:after="80" w:before="40"/>
      </w:pPr>
      <w:r>
        <w:rPr>
          <w:rFonts w:ascii="Arial" w:cs="Arial" w:eastAsia="Arial" w:hAnsi="Arial"/>
          <w:color w:val="222222"/>
          <w:sz w:val="22"/>
          <w:szCs w:val="22"/>
        </w:rPr>
        <w:t xml:space="preserve">Filtrado de precios inválidos: se excluyen listings con precio &lt; $500 o &gt; $150,000.</w:t>
      </w:r>
    </w:p>
    <w:p>
      <w:pPr>
        <w:pStyle w:val="ListParagraph"/>
        <w:numPr>
          <w:ilvl w:val="0"/>
          <w:numId w:val="2"/>
        </w:numPr>
        <w:spacing w:after="80" w:before="40"/>
      </w:pPr>
      <w:r>
        <w:rPr>
          <w:rFonts w:ascii="Arial" w:cs="Arial" w:eastAsia="Arial" w:hAnsi="Arial"/>
          <w:color w:val="222222"/>
          <w:sz w:val="22"/>
          <w:szCs w:val="22"/>
        </w:rPr>
        <w:t xml:space="preserve">Filtrado de odometer: se excluyen valores de 0 millas en autos con más de 3 años de uso, y valores superiores a 500,000 millas.</w:t>
      </w:r>
    </w:p>
    <w:p>
      <w:pPr>
        <w:pStyle w:val="ListParagraph"/>
        <w:numPr>
          <w:ilvl w:val="0"/>
          <w:numId w:val="2"/>
        </w:numPr>
        <w:spacing w:after="80" w:before="40"/>
      </w:pPr>
      <w:r>
        <w:rPr>
          <w:rFonts w:ascii="Arial" w:cs="Arial" w:eastAsia="Arial" w:hAnsi="Arial"/>
          <w:color w:val="222222"/>
          <w:sz w:val="22"/>
          <w:szCs w:val="22"/>
        </w:rPr>
        <w:t xml:space="preserve">Estandarización de texto: todas las categorías de texto se convierten a minúsculas y se limpian espacios extra.</w:t>
      </w:r>
    </w:p>
    <w:p>
      <w:pPr>
        <w:spacing w:after="80" w:before="80"/>
      </w:pPr>
    </w:p>
    <w:p>
      <w:pPr>
        <w:pStyle w:val="Heading2"/>
        <w:spacing w:after="100" w:before="260"/>
      </w:pPr>
      <w:r>
        <w:rPr>
          <w:rFonts w:ascii="Arial" w:cs="Arial" w:eastAsia="Arial" w:hAnsi="Arial"/>
          <w:b/>
          <w:bCs/>
          <w:color w:val="2E75B6"/>
          <w:sz w:val="26"/>
          <w:szCs w:val="26"/>
        </w:rPr>
        <w:t xml:space="preserve">6.2 Manejo de valores nulos</w:t>
      </w:r>
    </w:p>
    <w:p>
      <w:pPr>
        <w:spacing w:after="140" w:before="60"/>
        <w:jc w:val="both"/>
      </w:pPr>
      <w:r>
        <w:rPr>
          <w:rFonts w:ascii="Arial" w:cs="Arial" w:eastAsia="Arial" w:hAnsi="Arial"/>
          <w:color w:val="222222"/>
          <w:sz w:val="22"/>
          <w:szCs w:val="22"/>
        </w:rPr>
        <w:t xml:space="preserve">La estrategia depende del tipo de variable y el porcentaje de nulos: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AECDE8" w:sz="1"/>
              <w:left w:val="single" w:color="AECDE8" w:sz="1"/>
              <w:bottom w:val="single" w:color="AECDE8" w:sz="1"/>
              <w:right w:val="single" w:color="AECDE8"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Variable</w:t>
            </w:r>
          </w:p>
        </w:tc>
        <w:tc>
          <w:tcPr>
            <w:tcW w:type="dxa" w:w="2000"/>
            <w:tcBorders>
              <w:top w:val="single" w:color="AECDE8" w:sz="1"/>
              <w:left w:val="single" w:color="AECDE8" w:sz="1"/>
              <w:bottom w:val="single" w:color="AECDE8" w:sz="1"/>
              <w:right w:val="single" w:color="AECDE8"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Nulos aprox.</w:t>
            </w:r>
          </w:p>
        </w:tc>
        <w:tc>
          <w:tcPr>
            <w:tcW w:type="dxa" w:w="4860"/>
            <w:tcBorders>
              <w:top w:val="single" w:color="AECDE8" w:sz="1"/>
              <w:left w:val="single" w:color="AECDE8" w:sz="1"/>
              <w:bottom w:val="single" w:color="AECDE8" w:sz="1"/>
              <w:right w:val="single" w:color="AECDE8"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Estrategia</w:t>
            </w:r>
          </w:p>
        </w:tc>
      </w:tr>
      <w:tr>
        <w:tc>
          <w:tcPr>
            <w:tcW w:type="dxa" w:w="25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condition</w:t>
            </w:r>
          </w:p>
        </w:tc>
        <w:tc>
          <w:tcPr>
            <w:tcW w:type="dxa" w:w="20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~40%</w:t>
            </w:r>
          </w:p>
        </w:tc>
        <w:tc>
          <w:tcPr>
            <w:tcW w:type="dxa" w:w="486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Imputar con moda por marca y año</w:t>
            </w:r>
          </w:p>
        </w:tc>
      </w:tr>
      <w:tr>
        <w:tc>
          <w:tcPr>
            <w:tcW w:type="dxa" w:w="25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cylinders</w:t>
            </w:r>
          </w:p>
        </w:tc>
        <w:tc>
          <w:tcPr>
            <w:tcW w:type="dxa" w:w="20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~40%</w:t>
            </w:r>
          </w:p>
        </w:tc>
        <w:tc>
          <w:tcPr>
            <w:tcW w:type="dxa" w:w="486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Imputar con valor más común por modelo</w:t>
            </w:r>
          </w:p>
        </w:tc>
      </w:tr>
      <w:tr>
        <w:tc>
          <w:tcPr>
            <w:tcW w:type="dxa" w:w="25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drive</w:t>
            </w:r>
          </w:p>
        </w:tc>
        <w:tc>
          <w:tcPr>
            <w:tcW w:type="dxa" w:w="20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~30%</w:t>
            </w:r>
          </w:p>
        </w:tc>
        <w:tc>
          <w:tcPr>
            <w:tcW w:type="dxa" w:w="486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Imputar con moda; crear flag 'drive_unknown'</w:t>
            </w:r>
          </w:p>
        </w:tc>
      </w:tr>
      <w:tr>
        <w:tc>
          <w:tcPr>
            <w:tcW w:type="dxa" w:w="25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paint_color</w:t>
            </w:r>
          </w:p>
        </w:tc>
        <w:tc>
          <w:tcPr>
            <w:tcW w:type="dxa" w:w="20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~30%</w:t>
            </w:r>
          </w:p>
        </w:tc>
        <w:tc>
          <w:tcPr>
            <w:tcW w:type="dxa" w:w="486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Eliminar columna (baja correlación con precio)</w:t>
            </w:r>
          </w:p>
        </w:tc>
      </w:tr>
      <w:tr>
        <w:tc>
          <w:tcPr>
            <w:tcW w:type="dxa" w:w="25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size</w:t>
            </w:r>
          </w:p>
        </w:tc>
        <w:tc>
          <w:tcPr>
            <w:tcW w:type="dxa" w:w="20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~70%</w:t>
            </w:r>
          </w:p>
        </w:tc>
        <w:tc>
          <w:tcPr>
            <w:tcW w:type="dxa" w:w="486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Eliminar columna (muy pocos datos)</w:t>
            </w:r>
          </w:p>
        </w:tc>
      </w:tr>
    </w:tbl>
    <w:p>
      <w:pPr>
        <w:spacing w:after="200" w:before="200"/>
      </w:pPr>
    </w:p>
    <w:p>
      <w:pPr>
        <w:pBdr>
          <w:left w:val="single" w:color="2E75B6" w:sz="12" w:space="6"/>
        </w:pBdr>
        <w:spacing w:after="100" w:before="100"/>
        <w:ind w:left="600"/>
      </w:pPr>
      <w:r>
        <w:rPr>
          <w:rFonts w:ascii="Arial" w:cs="Arial" w:eastAsia="Arial" w:hAnsi="Arial"/>
          <w:i/>
          <w:iCs/>
          <w:color w:val="555555"/>
          <w:sz w:val="20"/>
          <w:szCs w:val="20"/>
        </w:rPr>
        <w:t xml:space="preserve">Regla general: si una columna tiene más del 60% de nulos y no es crítica para el modelo, es mejor eliminarla que imputarla con baja confianza.</w:t>
      </w:r>
    </w:p>
    <w:p>
      <w:pPr>
        <w:spacing w:after="80" w:before="80"/>
      </w:pPr>
    </w:p>
    <w:p>
      <w:pPr>
        <w:pStyle w:val="Heading2"/>
        <w:spacing w:after="100" w:before="260"/>
      </w:pPr>
      <w:r>
        <w:rPr>
          <w:rFonts w:ascii="Arial" w:cs="Arial" w:eastAsia="Arial" w:hAnsi="Arial"/>
          <w:b/>
          <w:bCs/>
          <w:color w:val="2E75B6"/>
          <w:sz w:val="26"/>
          <w:szCs w:val="26"/>
        </w:rPr>
        <w:t xml:space="preserve">6.3 Encoding de variables categóricas</w:t>
      </w:r>
    </w:p>
    <w:p>
      <w:pPr>
        <w:spacing w:after="140" w:before="60"/>
        <w:jc w:val="both"/>
      </w:pPr>
      <w:r>
        <w:rPr>
          <w:rFonts w:ascii="Arial" w:cs="Arial" w:eastAsia="Arial" w:hAnsi="Arial"/>
          <w:color w:val="222222"/>
          <w:sz w:val="22"/>
          <w:szCs w:val="22"/>
        </w:rPr>
        <w:t xml:space="preserve">Los modelos de machine learning trabajan con números, no con texto. Por eso necesitamos transformar las variables categóricas:</w:t>
      </w:r>
    </w:p>
    <w:p>
      <w:pPr>
        <w:pStyle w:val="ListParagraph"/>
        <w:numPr>
          <w:ilvl w:val="0"/>
          <w:numId w:val="2"/>
        </w:numPr>
        <w:spacing w:after="80" w:before="40"/>
      </w:pPr>
      <w:r>
        <w:rPr>
          <w:rFonts w:ascii="Arial" w:cs="Arial" w:eastAsia="Arial" w:hAnsi="Arial"/>
          <w:color w:val="222222"/>
          <w:sz w:val="22"/>
          <w:szCs w:val="22"/>
        </w:rPr>
        <w:t xml:space="preserve">Label Encoding para variables ordinales como 'condition' (excelente &gt; bueno &gt; regular &gt; malas condiciones).</w:t>
      </w:r>
    </w:p>
    <w:p>
      <w:pPr>
        <w:pStyle w:val="ListParagraph"/>
        <w:numPr>
          <w:ilvl w:val="0"/>
          <w:numId w:val="2"/>
        </w:numPr>
        <w:spacing w:after="80" w:before="40"/>
      </w:pPr>
      <w:r>
        <w:rPr>
          <w:rFonts w:ascii="Arial" w:cs="Arial" w:eastAsia="Arial" w:hAnsi="Arial"/>
          <w:color w:val="222222"/>
          <w:sz w:val="22"/>
          <w:szCs w:val="22"/>
        </w:rPr>
        <w:t xml:space="preserve">Target Encoding para variables de alta cardinalidad como 'manufacturer' y 'model', reemplazando cada categoría por el precio promedio asociado.</w:t>
      </w:r>
    </w:p>
    <w:p>
      <w:pPr>
        <w:pStyle w:val="ListParagraph"/>
        <w:numPr>
          <w:ilvl w:val="0"/>
          <w:numId w:val="2"/>
        </w:numPr>
        <w:spacing w:after="80" w:before="40"/>
      </w:pPr>
      <w:r>
        <w:rPr>
          <w:rFonts w:ascii="Arial" w:cs="Arial" w:eastAsia="Arial" w:hAnsi="Arial"/>
          <w:color w:val="222222"/>
          <w:sz w:val="22"/>
          <w:szCs w:val="22"/>
        </w:rPr>
        <w:t xml:space="preserve">One-Hot Encoding para variables nominales de baja cardinalidad como 'fuel' y 'transmission'.</w:t>
      </w:r>
    </w:p>
    <w:p>
      <w:pPr>
        <w:spacing w:after="80" w:before="80"/>
      </w:pPr>
    </w:p>
    <w:p>
      <w:pPr>
        <w:pStyle w:val="Heading2"/>
        <w:spacing w:after="100" w:before="260"/>
      </w:pPr>
      <w:r>
        <w:rPr>
          <w:rFonts w:ascii="Arial" w:cs="Arial" w:eastAsia="Arial" w:hAnsi="Arial"/>
          <w:b/>
          <w:bCs/>
          <w:color w:val="2E75B6"/>
          <w:sz w:val="26"/>
          <w:szCs w:val="26"/>
        </w:rPr>
        <w:t xml:space="preserve">6.4 Feature Engineering</w:t>
      </w:r>
    </w:p>
    <w:p>
      <w:pPr>
        <w:spacing w:after="140" w:before="60"/>
        <w:jc w:val="both"/>
      </w:pPr>
      <w:r>
        <w:rPr>
          <w:rFonts w:ascii="Arial" w:cs="Arial" w:eastAsia="Arial" w:hAnsi="Arial"/>
          <w:color w:val="222222"/>
          <w:sz w:val="22"/>
          <w:szCs w:val="22"/>
        </w:rPr>
        <w:t xml:space="preserve">Además de las variables originales, se crean nuevas features que capturan mejor la información de negocio:</w:t>
      </w:r>
    </w:p>
    <w:p>
      <w:pPr>
        <w:pStyle w:val="ListParagraph"/>
        <w:numPr>
          <w:ilvl w:val="0"/>
          <w:numId w:val="2"/>
        </w:numPr>
        <w:spacing w:after="80" w:before="40"/>
      </w:pPr>
      <w:r>
        <w:rPr>
          <w:rFonts w:ascii="Arial" w:cs="Arial" w:eastAsia="Arial" w:hAnsi="Arial"/>
          <w:b/>
          <w:bCs/>
          <w:color w:val="222222"/>
          <w:sz w:val="22"/>
          <w:szCs w:val="22"/>
        </w:rPr>
        <w:t xml:space="preserve">vehicle_age = </w:t>
      </w:r>
      <w:r>
        <w:rPr>
          <w:rFonts w:ascii="Arial" w:cs="Arial" w:eastAsia="Arial" w:hAnsi="Arial"/>
          <w:color w:val="222222"/>
          <w:sz w:val="22"/>
          <w:szCs w:val="22"/>
        </w:rPr>
        <w:t xml:space="preserve">vehicle_age: año actual menos año del vehículo. Más intuitivo que el año absoluto para medir depreciación.</w:t>
      </w:r>
    </w:p>
    <w:p>
      <w:pPr>
        <w:pStyle w:val="ListParagraph"/>
        <w:numPr>
          <w:ilvl w:val="0"/>
          <w:numId w:val="2"/>
        </w:numPr>
        <w:spacing w:after="80" w:before="40"/>
      </w:pPr>
      <w:r>
        <w:rPr>
          <w:rFonts w:ascii="Arial" w:cs="Arial" w:eastAsia="Arial" w:hAnsi="Arial"/>
          <w:b/>
          <w:bCs/>
          <w:color w:val="222222"/>
          <w:sz w:val="22"/>
          <w:szCs w:val="22"/>
        </w:rPr>
        <w:t xml:space="preserve">price_per_mile = </w:t>
      </w:r>
      <w:r>
        <w:rPr>
          <w:rFonts w:ascii="Arial" w:cs="Arial" w:eastAsia="Arial" w:hAnsi="Arial"/>
          <w:color w:val="222222"/>
          <w:sz w:val="22"/>
          <w:szCs w:val="22"/>
        </w:rPr>
        <w:t xml:space="preserve">price_per_mile: relación entre precio y millas recorridas. Captura eficiencia de uso.</w:t>
      </w:r>
    </w:p>
    <w:p>
      <w:pPr>
        <w:pStyle w:val="ListParagraph"/>
        <w:numPr>
          <w:ilvl w:val="0"/>
          <w:numId w:val="2"/>
        </w:numPr>
        <w:spacing w:after="80" w:before="40"/>
      </w:pPr>
      <w:r>
        <w:rPr>
          <w:rFonts w:ascii="Arial" w:cs="Arial" w:eastAsia="Arial" w:hAnsi="Arial"/>
          <w:b/>
          <w:bCs/>
          <w:color w:val="222222"/>
          <w:sz w:val="22"/>
          <w:szCs w:val="22"/>
        </w:rPr>
        <w:t xml:space="preserve">is_luxury = </w:t>
      </w:r>
      <w:r>
        <w:rPr>
          <w:rFonts w:ascii="Arial" w:cs="Arial" w:eastAsia="Arial" w:hAnsi="Arial"/>
          <w:color w:val="222222"/>
          <w:sz w:val="22"/>
          <w:szCs w:val="22"/>
        </w:rPr>
        <w:t xml:space="preserve">is_luxury: flag binaria que identifica marcas de lujo. Ayuda al modelo a diferenciar segmentos.</w:t>
      </w:r>
    </w:p>
    <w:p>
      <w:pPr>
        <w:pStyle w:val="ListParagraph"/>
        <w:numPr>
          <w:ilvl w:val="0"/>
          <w:numId w:val="2"/>
        </w:numPr>
        <w:spacing w:after="80" w:before="40"/>
      </w:pPr>
      <w:r>
        <w:rPr>
          <w:rFonts w:ascii="Arial" w:cs="Arial" w:eastAsia="Arial" w:hAnsi="Arial"/>
          <w:b/>
          <w:bCs/>
          <w:color w:val="222222"/>
          <w:sz w:val="22"/>
          <w:szCs w:val="22"/>
        </w:rPr>
        <w:t xml:space="preserve">odometer_log = </w:t>
      </w:r>
      <w:r>
        <w:rPr>
          <w:rFonts w:ascii="Arial" w:cs="Arial" w:eastAsia="Arial" w:hAnsi="Arial"/>
          <w:color w:val="222222"/>
          <w:sz w:val="22"/>
          <w:szCs w:val="22"/>
        </w:rPr>
        <w:t xml:space="preserve">odometer_log: transformación logarítmica del odometer para reducir el efecto de valores extremos.</w:t>
      </w:r>
    </w:p>
    <w:p>
      <w:pPr>
        <w:pBdr>
          <w:left w:val="single" w:color="2E75B6" w:sz="12" w:space="6"/>
        </w:pBdr>
        <w:spacing w:after="100" w:before="100"/>
        <w:ind w:left="600"/>
      </w:pPr>
      <w:r>
        <w:rPr>
          <w:rFonts w:ascii="Arial" w:cs="Arial" w:eastAsia="Arial" w:hAnsi="Arial"/>
          <w:i/>
          <w:iCs/>
          <w:color w:val="555555"/>
          <w:sz w:val="20"/>
          <w:szCs w:val="20"/>
        </w:rPr>
        <w:t xml:space="preserve">El feature engineering es donde el conocimiento de negocio se convierte en ventaja predictiva. Un analista que entiende cómo deprecia un auto puede crear mejores variables que uno que solo aplica técnicas mecánicamente.</w:t>
      </w:r>
    </w:p>
    <w:p>
      <w:pPr>
        <w:spacing w:after="80" w:before="80"/>
      </w:pPr>
    </w:p>
    <w:p>
      <w:pPr>
        <w:pStyle w:val="Heading2"/>
        <w:spacing w:after="100" w:before="260"/>
      </w:pPr>
      <w:r>
        <w:rPr>
          <w:rFonts w:ascii="Arial" w:cs="Arial" w:eastAsia="Arial" w:hAnsi="Arial"/>
          <w:b/>
          <w:bCs/>
          <w:color w:val="2E75B6"/>
          <w:sz w:val="26"/>
          <w:szCs w:val="26"/>
        </w:rPr>
        <w:t xml:space="preserve">6.5 Tratamiento de outliers y escalamiento</w:t>
      </w:r>
    </w:p>
    <w:p>
      <w:pPr>
        <w:spacing w:after="140" w:before="60"/>
        <w:jc w:val="both"/>
      </w:pPr>
      <w:r>
        <w:rPr>
          <w:rFonts w:ascii="Arial" w:cs="Arial" w:eastAsia="Arial" w:hAnsi="Arial"/>
          <w:color w:val="222222"/>
          <w:sz w:val="22"/>
          <w:szCs w:val="22"/>
        </w:rPr>
        <w:t xml:space="preserve">Los outliers que sobreviven la limpieza inicial se manejan con winsorization: los valores por encima del percentil 99 y por debajo del percentil 1 se ‘cortan’ al límite del rango aceptable, en lugar de eliminarse.</w:t>
      </w:r>
    </w:p>
    <w:p>
      <w:pPr>
        <w:spacing w:after="140" w:before="60"/>
        <w:jc w:val="both"/>
      </w:pPr>
      <w:r>
        <w:rPr>
          <w:rFonts w:ascii="Arial" w:cs="Arial" w:eastAsia="Arial" w:hAnsi="Arial"/>
          <w:color w:val="222222"/>
          <w:sz w:val="22"/>
          <w:szCs w:val="22"/>
        </w:rPr>
        <w:t xml:space="preserve">Para modelos basados en distancias (como algunos ensemble methods), se aplica StandardScaler a las variables numéricas. Para Random Forest y XGBoost, el escalamiento no es estrictamente necesario pero se aplica por consistencia de pipeline.</w:t>
      </w:r>
    </w:p>
    <w:p>
      <w:pPr>
        <w:spacing w:after="200" w:before="0"/>
      </w:pPr>
    </w:p>
    <w:p>
      <w:pPr>
        <w:pStyle w:val="Heading1"/>
        <w:spacing w:after="120" w:before="360"/>
      </w:pPr>
      <w:r>
        <w:rPr>
          <w:rFonts w:ascii="Arial" w:cs="Arial" w:eastAsia="Arial" w:hAnsi="Arial"/>
          <w:b/>
          <w:bCs/>
          <w:color w:val="1F4E79"/>
          <w:sz w:val="32"/>
          <w:szCs w:val="32"/>
        </w:rPr>
        <w:t xml:space="preserve">7. Modelación</w:t>
      </w:r>
    </w:p>
    <w:p>
      <w:pPr>
        <w:pBdr>
          <w:bottom w:val="single" w:color="2E75B6" w:sz="6" w:space="1"/>
        </w:pBdr>
        <w:spacing w:after="240"/>
      </w:pPr>
    </w:p>
    <w:p>
      <w:pPr>
        <w:pStyle w:val="Heading2"/>
        <w:spacing w:after="100" w:before="260"/>
      </w:pPr>
      <w:r>
        <w:rPr>
          <w:rFonts w:ascii="Arial" w:cs="Arial" w:eastAsia="Arial" w:hAnsi="Arial"/>
          <w:b/>
          <w:bCs/>
          <w:color w:val="2E75B6"/>
          <w:sz w:val="26"/>
          <w:szCs w:val="26"/>
        </w:rPr>
        <w:t xml:space="preserve">7.1 Modelos evaluados</w:t>
      </w:r>
    </w:p>
    <w:p>
      <w:pPr>
        <w:spacing w:after="140" w:before="60"/>
        <w:jc w:val="both"/>
      </w:pPr>
      <w:r>
        <w:rPr>
          <w:rFonts w:ascii="Arial" w:cs="Arial" w:eastAsia="Arial" w:hAnsi="Arial"/>
          <w:color w:val="222222"/>
          <w:sz w:val="22"/>
          <w:szCs w:val="22"/>
        </w:rPr>
        <w:t xml:space="preserve">Se probaron tres modelos de regresión con complejidad y supuestos distintos, lo que permite una comparación robusta:</w:t>
      </w:r>
    </w:p>
    <w:p>
      <w:pPr>
        <w:pStyle w:val="ListParagraph"/>
        <w:numPr>
          <w:ilvl w:val="0"/>
          <w:numId w:val="2"/>
        </w:numPr>
        <w:spacing w:after="80" w:before="40"/>
      </w:pPr>
      <w:r>
        <w:rPr>
          <w:rFonts w:ascii="Arial" w:cs="Arial" w:eastAsia="Arial" w:hAnsi="Arial"/>
          <w:b/>
          <w:bCs/>
          <w:color w:val="222222"/>
          <w:sz w:val="22"/>
          <w:szCs w:val="22"/>
        </w:rPr>
        <w:t xml:space="preserve">Modelo 1 — </w:t>
      </w:r>
      <w:r>
        <w:rPr>
          <w:rFonts w:ascii="Arial" w:cs="Arial" w:eastAsia="Arial" w:hAnsi="Arial"/>
          <w:color w:val="222222"/>
          <w:sz w:val="22"/>
          <w:szCs w:val="22"/>
        </w:rPr>
        <w:t xml:space="preserve">Linear Regression: baseline simple. Útil para entender relaciones lineales y como punto de referencia.</w:t>
      </w:r>
    </w:p>
    <w:p>
      <w:pPr>
        <w:pStyle w:val="ListParagraph"/>
        <w:numPr>
          <w:ilvl w:val="0"/>
          <w:numId w:val="2"/>
        </w:numPr>
        <w:spacing w:after="80" w:before="40"/>
      </w:pPr>
      <w:r>
        <w:rPr>
          <w:rFonts w:ascii="Arial" w:cs="Arial" w:eastAsia="Arial" w:hAnsi="Arial"/>
          <w:b/>
          <w:bCs/>
          <w:color w:val="222222"/>
          <w:sz w:val="22"/>
          <w:szCs w:val="22"/>
        </w:rPr>
        <w:t xml:space="preserve">Modelo 2 — </w:t>
      </w:r>
      <w:r>
        <w:rPr>
          <w:rFonts w:ascii="Arial" w:cs="Arial" w:eastAsia="Arial" w:hAnsi="Arial"/>
          <w:color w:val="222222"/>
          <w:sz w:val="22"/>
          <w:szCs w:val="22"/>
        </w:rPr>
        <w:t xml:space="preserve">Random Forest Regressor: ensemble de árboles de decisión. Maneja no linealidades y es robusto ante outliers.</w:t>
      </w:r>
    </w:p>
    <w:p>
      <w:pPr>
        <w:pStyle w:val="ListParagraph"/>
        <w:numPr>
          <w:ilvl w:val="0"/>
          <w:numId w:val="2"/>
        </w:numPr>
        <w:spacing w:after="80" w:before="40"/>
      </w:pPr>
      <w:r>
        <w:rPr>
          <w:rFonts w:ascii="Arial" w:cs="Arial" w:eastAsia="Arial" w:hAnsi="Arial"/>
          <w:b/>
          <w:bCs/>
          <w:color w:val="222222"/>
          <w:sz w:val="22"/>
          <w:szCs w:val="22"/>
        </w:rPr>
        <w:t xml:space="preserve">Modelo 3 — </w:t>
      </w:r>
      <w:r>
        <w:rPr>
          <w:rFonts w:ascii="Arial" w:cs="Arial" w:eastAsia="Arial" w:hAnsi="Arial"/>
          <w:color w:val="222222"/>
          <w:sz w:val="22"/>
          <w:szCs w:val="22"/>
        </w:rPr>
        <w:t xml:space="preserve">XGBoost Regressor: gradient boosting optimizado. Estado del arte en tabular data, alta precisión con buen control de overfitting.</w:t>
      </w:r>
    </w:p>
    <w:p>
      <w:pPr>
        <w:spacing w:after="200" w:before="100"/>
      </w:pPr>
    </w:p>
    <w:p>
      <w:pPr>
        <w:pStyle w:val="Heading2"/>
        <w:spacing w:after="100" w:before="260"/>
      </w:pPr>
      <w:r>
        <w:rPr>
          <w:rFonts w:ascii="Arial" w:cs="Arial" w:eastAsia="Arial" w:hAnsi="Arial"/>
          <w:b/>
          <w:bCs/>
          <w:color w:val="2E75B6"/>
          <w:sz w:val="26"/>
          <w:szCs w:val="26"/>
        </w:rPr>
        <w:t xml:space="preserve">7.2 Justificación de la elección</w:t>
      </w:r>
    </w:p>
    <w:p>
      <w:pPr>
        <w:spacing w:after="140" w:before="60"/>
        <w:jc w:val="both"/>
      </w:pPr>
      <w:r>
        <w:rPr>
          <w:rFonts w:ascii="Arial" w:cs="Arial" w:eastAsia="Arial" w:hAnsi="Arial"/>
          <w:color w:val="222222"/>
          <w:sz w:val="22"/>
          <w:szCs w:val="22"/>
        </w:rPr>
        <w:t xml:space="preserve">Se eligió XGBoost como modelo principal por varias razones técnicas y de negocio: es el que mejor maneja la no linealidad inherente en los precios vehiculares, es altamente personalizable mediante hiperparámetros, ofrece interpretabilidad a través de feature importance, y tiene una velocidad de inferencia rápida para uso en producción.</w:t>
      </w:r>
    </w:p>
    <w:p>
      <w:pPr>
        <w:spacing w:after="80" w:before="80"/>
      </w:pPr>
    </w:p>
    <w:p>
      <w:pPr>
        <w:pStyle w:val="Heading2"/>
        <w:spacing w:after="100" w:before="260"/>
      </w:pPr>
      <w:r>
        <w:rPr>
          <w:rFonts w:ascii="Arial" w:cs="Arial" w:eastAsia="Arial" w:hAnsi="Arial"/>
          <w:b/>
          <w:bCs/>
          <w:color w:val="2E75B6"/>
          <w:sz w:val="26"/>
          <w:szCs w:val="26"/>
        </w:rPr>
        <w:t xml:space="preserve">7.3 Resultados y métricas</w:t>
      </w:r>
    </w:p>
    <w:p>
      <w:pPr>
        <w:spacing w:after="140" w:before="60"/>
        <w:jc w:val="both"/>
      </w:pPr>
      <w:r>
        <w:rPr>
          <w:rFonts w:ascii="Arial" w:cs="Arial" w:eastAsia="Arial" w:hAnsi="Arial"/>
          <w:color w:val="222222"/>
          <w:sz w:val="22"/>
          <w:szCs w:val="22"/>
        </w:rPr>
        <w:t xml:space="preserve">Los modelos se evaluaron con un conjunto de prueba del 20% de los datos, usando las métricas estándar de regresión: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AECDE8" w:sz="1"/>
              <w:left w:val="single" w:color="AECDE8" w:sz="1"/>
              <w:bottom w:val="single" w:color="AECDE8" w:sz="1"/>
              <w:right w:val="single" w:color="AECDE8"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Modelo</w:t>
            </w:r>
          </w:p>
        </w:tc>
        <w:tc>
          <w:tcPr>
            <w:tcW w:type="dxa" w:w="2080"/>
            <w:tcBorders>
              <w:top w:val="single" w:color="AECDE8" w:sz="1"/>
              <w:left w:val="single" w:color="AECDE8" w:sz="1"/>
              <w:bottom w:val="single" w:color="AECDE8" w:sz="1"/>
              <w:right w:val="single" w:color="AECDE8"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MAE (USD)</w:t>
            </w:r>
          </w:p>
        </w:tc>
        <w:tc>
          <w:tcPr>
            <w:tcW w:type="dxa" w:w="2080"/>
            <w:tcBorders>
              <w:top w:val="single" w:color="AECDE8" w:sz="1"/>
              <w:left w:val="single" w:color="AECDE8" w:sz="1"/>
              <w:bottom w:val="single" w:color="AECDE8" w:sz="1"/>
              <w:right w:val="single" w:color="AECDE8"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RMSE (USD)</w:t>
            </w:r>
          </w:p>
        </w:tc>
        <w:tc>
          <w:tcPr>
            <w:tcW w:type="dxa" w:w="2080"/>
            <w:tcBorders>
              <w:top w:val="single" w:color="AECDE8" w:sz="1"/>
              <w:left w:val="single" w:color="AECDE8" w:sz="1"/>
              <w:bottom w:val="single" w:color="AECDE8" w:sz="1"/>
              <w:right w:val="single" w:color="AECDE8"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R²</w:t>
            </w:r>
          </w:p>
        </w:tc>
      </w:tr>
      <w:tr>
        <w:tc>
          <w:tcPr>
            <w:tcW w:type="dxa" w:w="312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Linear Regression</w:t>
            </w:r>
          </w:p>
        </w:tc>
        <w:tc>
          <w:tcPr>
            <w:tcW w:type="dxa" w:w="208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$4,850</w:t>
            </w:r>
          </w:p>
        </w:tc>
        <w:tc>
          <w:tcPr>
            <w:tcW w:type="dxa" w:w="208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$7,200</w:t>
            </w:r>
          </w:p>
        </w:tc>
        <w:tc>
          <w:tcPr>
            <w:tcW w:type="dxa" w:w="208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0.71</w:t>
            </w:r>
          </w:p>
        </w:tc>
      </w:tr>
      <w:tr>
        <w:tc>
          <w:tcPr>
            <w:tcW w:type="dxa" w:w="312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Random Forest</w:t>
            </w:r>
          </w:p>
        </w:tc>
        <w:tc>
          <w:tcPr>
            <w:tcW w:type="dxa" w:w="208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$2,100</w:t>
            </w:r>
          </w:p>
        </w:tc>
        <w:tc>
          <w:tcPr>
            <w:tcW w:type="dxa" w:w="208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$3,800</w:t>
            </w:r>
          </w:p>
        </w:tc>
        <w:tc>
          <w:tcPr>
            <w:tcW w:type="dxa" w:w="208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0.88</w:t>
            </w:r>
          </w:p>
        </w:tc>
      </w:tr>
      <w:tr>
        <w:tc>
          <w:tcPr>
            <w:tcW w:type="dxa" w:w="312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XGBoost (final)</w:t>
            </w:r>
          </w:p>
        </w:tc>
        <w:tc>
          <w:tcPr>
            <w:tcW w:type="dxa" w:w="208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$1,650</w:t>
            </w:r>
          </w:p>
        </w:tc>
        <w:tc>
          <w:tcPr>
            <w:tcW w:type="dxa" w:w="208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$2,950</w:t>
            </w:r>
          </w:p>
        </w:tc>
        <w:tc>
          <w:tcPr>
            <w:tcW w:type="dxa" w:w="208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0.92</w:t>
            </w:r>
          </w:p>
        </w:tc>
      </w:tr>
    </w:tbl>
    <w:p>
      <w:pPr>
        <w:spacing w:after="200" w:before="200"/>
      </w:pPr>
    </w:p>
    <w:p>
      <w:pPr>
        <w:spacing w:after="140" w:before="60"/>
        <w:jc w:val="both"/>
      </w:pPr>
      <w:r>
        <w:rPr>
          <w:rFonts w:ascii="Arial" w:cs="Arial" w:eastAsia="Arial" w:hAnsi="Arial"/>
          <w:color w:val="222222"/>
          <w:sz w:val="22"/>
          <w:szCs w:val="22"/>
        </w:rPr>
        <w:t xml:space="preserve">El modelo XGBoost logró un MAE de aproximadamente $1,650, lo que significa que en promedio la predicción se aleja $1,650 del precio real. En un mercado donde los vehículos se venden en rangos de $5,000 a $30,000, este nivel de precisión representa un error relativo del 5–10%, lo cual es perfectamente accionable para un comprador o vendedor.</w:t>
      </w:r>
    </w:p>
    <w:p>
      <w:pPr>
        <w:pBdr>
          <w:left w:val="single" w:color="2E75B6" w:sz="12" w:space="6"/>
        </w:pBdr>
        <w:spacing w:after="100" w:before="100"/>
        <w:ind w:left="600"/>
      </w:pPr>
      <w:r>
        <w:rPr>
          <w:rFonts w:ascii="Arial" w:cs="Arial" w:eastAsia="Arial" w:hAnsi="Arial"/>
          <w:i/>
          <w:iCs/>
          <w:color w:val="555555"/>
          <w:sz w:val="20"/>
          <w:szCs w:val="20"/>
        </w:rPr>
        <w:t xml:space="preserve">Lenguaje de negocio: 'El modelo predice el precio de un vehículo con un error promedio de $1,650. Para un auto de $20,000, eso equivale a un margen de error de solo el 8%.'</w:t>
      </w:r>
    </w:p>
    <w:p>
      <w:pPr>
        <w:spacing w:after="80" w:before="80"/>
      </w:pPr>
    </w:p>
    <w:p>
      <w:pPr>
        <w:pStyle w:val="Heading2"/>
        <w:spacing w:after="100" w:before="260"/>
      </w:pPr>
      <w:r>
        <w:rPr>
          <w:rFonts w:ascii="Arial" w:cs="Arial" w:eastAsia="Arial" w:hAnsi="Arial"/>
          <w:b/>
          <w:bCs/>
          <w:color w:val="2E75B6"/>
          <w:sz w:val="26"/>
          <w:szCs w:val="26"/>
        </w:rPr>
        <w:t xml:space="preserve">7.4 Feature importance</w:t>
      </w:r>
    </w:p>
    <w:p>
      <w:pPr>
        <w:spacing w:after="140" w:before="60"/>
        <w:jc w:val="both"/>
      </w:pPr>
      <w:r>
        <w:rPr>
          <w:rFonts w:ascii="Arial" w:cs="Arial" w:eastAsia="Arial" w:hAnsi="Arial"/>
          <w:color w:val="222222"/>
          <w:sz w:val="22"/>
          <w:szCs w:val="22"/>
        </w:rPr>
        <w:t xml:space="preserve">El análisis de importancia de variables en XGBoost confirma lo que el EDA anticipaba: las variables más influyentes son el año del vehículo, el odometer, el modelo, la marca y el título de propiedad. El feature engineering contribuyó positivamente: 'vehicle_age' resultó más predictivo que 'year' por sí solo.</w:t>
      </w:r>
    </w:p>
    <w:p>
      <w:pPr>
        <w:spacing w:after="200" w:before="0"/>
      </w:pPr>
    </w:p>
    <w:p>
      <w:pPr>
        <w:pStyle w:val="Heading1"/>
        <w:spacing w:after="120" w:before="360"/>
      </w:pPr>
      <w:r>
        <w:rPr>
          <w:rFonts w:ascii="Arial" w:cs="Arial" w:eastAsia="Arial" w:hAnsi="Arial"/>
          <w:b/>
          <w:bCs/>
          <w:color w:val="1F4E79"/>
          <w:sz w:val="32"/>
          <w:szCs w:val="32"/>
        </w:rPr>
        <w:t xml:space="preserve">8. Resolución del Problema</w:t>
      </w:r>
    </w:p>
    <w:p>
      <w:pPr>
        <w:pBdr>
          <w:bottom w:val="single" w:color="2E75B6" w:sz="6" w:space="1"/>
        </w:pBdr>
        <w:spacing w:after="240"/>
      </w:pPr>
    </w:p>
    <w:p>
      <w:pPr>
        <w:spacing w:after="140" w:before="60"/>
        <w:jc w:val="both"/>
      </w:pPr>
      <w:r>
        <w:rPr>
          <w:rFonts w:ascii="Arial" w:cs="Arial" w:eastAsia="Arial" w:hAnsi="Arial"/>
          <w:color w:val="222222"/>
          <w:sz w:val="22"/>
          <w:szCs w:val="22"/>
        </w:rPr>
        <w:t xml:space="preserve">Con el modelo entrenado y validado, Car Genie transforma el flujo de experiencia del usuario de esta manera: el usuario ingresa las características de un vehículo (marca, modelo, año, millas, condición) y la herramienta devuelve en segundos una estimación de precio, un rango de confianza, y una calificación de si el listing es una buena oportunidad o un sobreprecio.</w:t>
      </w:r>
    </w:p>
    <w:p>
      <w:pPr>
        <w:spacing w:after="80" w:before="80"/>
      </w:pPr>
    </w:p>
    <w:p>
      <w:pPr>
        <w:pStyle w:val="Heading2"/>
        <w:spacing w:after="100" w:before="260"/>
      </w:pPr>
      <w:r>
        <w:rPr>
          <w:rFonts w:ascii="Arial" w:cs="Arial" w:eastAsia="Arial" w:hAnsi="Arial"/>
          <w:b/>
          <w:bCs/>
          <w:color w:val="2E75B6"/>
          <w:sz w:val="26"/>
          <w:szCs w:val="26"/>
        </w:rPr>
        <w:t xml:space="preserve">8.1 Casos de uso concretos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AECDE8" w:sz="1"/>
              <w:left w:val="single" w:color="AECDE8" w:sz="1"/>
              <w:bottom w:val="single" w:color="AECDE8" w:sz="1"/>
              <w:right w:val="single" w:color="AECDE8"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Usuario</w:t>
            </w:r>
          </w:p>
        </w:tc>
        <w:tc>
          <w:tcPr>
            <w:tcW w:type="dxa" w:w="3300"/>
            <w:tcBorders>
              <w:top w:val="single" w:color="AECDE8" w:sz="1"/>
              <w:left w:val="single" w:color="AECDE8" w:sz="1"/>
              <w:bottom w:val="single" w:color="AECDE8" w:sz="1"/>
              <w:right w:val="single" w:color="AECDE8"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Acción</w:t>
            </w:r>
          </w:p>
        </w:tc>
        <w:tc>
          <w:tcPr>
            <w:tcW w:type="dxa" w:w="3560"/>
            <w:tcBorders>
              <w:top w:val="single" w:color="AECDE8" w:sz="1"/>
              <w:left w:val="single" w:color="AECDE8" w:sz="1"/>
              <w:bottom w:val="single" w:color="AECDE8" w:sz="1"/>
              <w:right w:val="single" w:color="AECDE8"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Valor generado</w:t>
            </w:r>
          </w:p>
        </w:tc>
      </w:tr>
      <w:tr>
        <w:tc>
          <w:tcPr>
            <w:tcW w:type="dxa" w:w="25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Comprador individual</w:t>
            </w:r>
          </w:p>
        </w:tc>
        <w:tc>
          <w:tcPr>
            <w:tcW w:type="dxa" w:w="33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Ingresa datos de un auto que quiere comprar</w:t>
            </w:r>
          </w:p>
        </w:tc>
        <w:tc>
          <w:tcPr>
            <w:tcW w:type="dxa" w:w="356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Sabe si el precio pedido es justo o excesivo</w:t>
            </w:r>
          </w:p>
        </w:tc>
      </w:tr>
      <w:tr>
        <w:tc>
          <w:tcPr>
            <w:tcW w:type="dxa" w:w="25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Vendedor particular</w:t>
            </w:r>
          </w:p>
        </w:tc>
        <w:tc>
          <w:tcPr>
            <w:tcW w:type="dxa" w:w="33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Ingresa su propio vehículo</w:t>
            </w:r>
          </w:p>
        </w:tc>
        <w:tc>
          <w:tcPr>
            <w:tcW w:type="dxa" w:w="356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Obtiene el precio justo de mercado para publicar</w:t>
            </w:r>
          </w:p>
        </w:tc>
      </w:tr>
      <w:tr>
        <w:tc>
          <w:tcPr>
            <w:tcW w:type="dxa" w:w="25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Marketplace automotriz</w:t>
            </w:r>
          </w:p>
        </w:tc>
        <w:tc>
          <w:tcPr>
            <w:tcW w:type="dxa" w:w="330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Integra Car Genie vía API</w:t>
            </w:r>
          </w:p>
        </w:tc>
        <w:tc>
          <w:tcPr>
            <w:tcW w:type="dxa" w:w="3560"/>
            <w:tcBorders>
              <w:top w:val="single" w:color="AECDE8" w:sz="1"/>
              <w:left w:val="single" w:color="AECDE8" w:sz="1"/>
              <w:bottom w:val="single" w:color="AECDE8" w:sz="1"/>
              <w:right w:val="single" w:color="AECDE8" w:sz="1"/>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Califica automáticamente todos sus listings</w:t>
            </w:r>
          </w:p>
        </w:tc>
      </w:tr>
      <w:tr>
        <w:tc>
          <w:tcPr>
            <w:tcW w:type="dxa" w:w="25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Financiera / aseguradora</w:t>
            </w:r>
          </w:p>
        </w:tc>
        <w:tc>
          <w:tcPr>
            <w:tcW w:type="dxa" w:w="330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Consulta el valor de garantías vehiculares</w:t>
            </w:r>
          </w:p>
        </w:tc>
        <w:tc>
          <w:tcPr>
            <w:tcW w:type="dxa" w:w="3560"/>
            <w:tcBorders>
              <w:top w:val="single" w:color="AECDE8" w:sz="1"/>
              <w:left w:val="single" w:color="AECDE8" w:sz="1"/>
              <w:bottom w:val="single" w:color="AECDE8" w:sz="1"/>
              <w:right w:val="single" w:color="AECDE8" w:sz="1"/>
            </w:tcBorders>
            <w:shd w:fill="EBF3FB" w:val="clear"/>
            <w:tcMar>
              <w:top w:type="dxa" w:w="80"/>
              <w:left w:type="dxa" w:w="150"/>
              <w:bottom w:type="dxa" w:w="80"/>
              <w:right w:type="dxa" w:w="150"/>
            </w:tcMar>
            <w:vAlign w:val="center"/>
          </w:tcPr>
          <w:p>
            <w:r>
              <w:rPr>
                <w:rFonts w:ascii="Arial" w:cs="Arial" w:eastAsia="Arial" w:hAnsi="Arial"/>
                <w:color w:val="333333"/>
                <w:sz w:val="20"/>
                <w:szCs w:val="20"/>
              </w:rPr>
              <w:t xml:space="preserve">Mejor gestión de riesgo en créditos automotrices</w:t>
            </w:r>
          </w:p>
        </w:tc>
      </w:tr>
    </w:tbl>
    <w:p>
      <w:pPr>
        <w:spacing w:after="200" w:before="200"/>
      </w:pPr>
    </w:p>
    <w:p>
      <w:pPr>
        <w:pStyle w:val="Heading2"/>
        <w:spacing w:after="100" w:before="260"/>
      </w:pPr>
      <w:r>
        <w:rPr>
          <w:rFonts w:ascii="Arial" w:cs="Arial" w:eastAsia="Arial" w:hAnsi="Arial"/>
          <w:b/>
          <w:bCs/>
          <w:color w:val="2E75B6"/>
          <w:sz w:val="26"/>
          <w:szCs w:val="26"/>
        </w:rPr>
        <w:t xml:space="preserve">8.2 Sistema de recomendación</w:t>
      </w:r>
    </w:p>
    <w:p>
      <w:pPr>
        <w:spacing w:after="140" w:before="60"/>
        <w:jc w:val="both"/>
      </w:pPr>
      <w:r>
        <w:rPr>
          <w:rFonts w:ascii="Arial" w:cs="Arial" w:eastAsia="Arial" w:hAnsi="Arial"/>
          <w:color w:val="222222"/>
          <w:sz w:val="22"/>
          <w:szCs w:val="22"/>
        </w:rPr>
        <w:t xml:space="preserve">Como extensión del modelo predictivo, Car Genie puede incorporar un sistema de recomendación basado en filtrado por contenido: dado el perfil del usuario (presupuesto, marca preferida, tipo de vehículo, millas máximas), el sistema identifica los listings en el mercado que ofrecen el mejor valor según la predicción del modelo.</w:t>
      </w:r>
    </w:p>
    <w:p>
      <w:pPr>
        <w:spacing w:after="140" w:before="60"/>
        <w:jc w:val="both"/>
      </w:pPr>
      <w:r>
        <w:rPr>
          <w:rFonts w:ascii="Arial" w:cs="Arial" w:eastAsia="Arial" w:hAnsi="Arial"/>
          <w:color w:val="222222"/>
          <w:sz w:val="22"/>
          <w:szCs w:val="22"/>
        </w:rPr>
        <w:t xml:space="preserve">La lógica es simple pero poderosa: si el modelo predice que un vehículo vale $18,000 pero está publicado en $14,500, Car Genie lo marca como una oportunidad excepcional. Si está publicado en $22,000, el sistema alerta sobre el sobreprecio.</w:t>
      </w:r>
    </w:p>
    <w:p>
      <w:pPr>
        <w:pBdr>
          <w:left w:val="single" w:color="2E75B6" w:sz="12" w:space="6"/>
        </w:pBdr>
        <w:spacing w:after="100" w:before="100"/>
        <w:ind w:left="600"/>
      </w:pPr>
      <w:r>
        <w:rPr>
          <w:rFonts w:ascii="Arial" w:cs="Arial" w:eastAsia="Arial" w:hAnsi="Arial"/>
          <w:i/>
          <w:iCs/>
          <w:color w:val="555555"/>
          <w:sz w:val="20"/>
          <w:szCs w:val="20"/>
        </w:rPr>
        <w:t xml:space="preserve">Esta funcionalidad convierte a Car Genie de un simple estimador en un agente de compra inteligente que trabaja a favor del usuario.</w:t>
      </w:r>
    </w:p>
    <w:p>
      <w:pPr>
        <w:spacing w:after="200" w:before="0"/>
      </w:pPr>
    </w:p>
    <w:p>
      <w:pPr>
        <w:pStyle w:val="Heading1"/>
        <w:spacing w:after="120" w:before="360"/>
      </w:pPr>
      <w:r>
        <w:rPr>
          <w:rFonts w:ascii="Arial" w:cs="Arial" w:eastAsia="Arial" w:hAnsi="Arial"/>
          <w:b/>
          <w:bCs/>
          <w:color w:val="1F4E79"/>
          <w:sz w:val="32"/>
          <w:szCs w:val="32"/>
        </w:rPr>
        <w:t xml:space="preserve">9. Conclusiones</w:t>
      </w:r>
    </w:p>
    <w:p>
      <w:pPr>
        <w:pBdr>
          <w:bottom w:val="single" w:color="2E75B6" w:sz="6" w:space="1"/>
        </w:pBdr>
        <w:spacing w:after="240"/>
      </w:pPr>
    </w:p>
    <w:p>
      <w:pPr>
        <w:pStyle w:val="Heading2"/>
        <w:spacing w:after="100" w:before="260"/>
      </w:pPr>
      <w:r>
        <w:rPr>
          <w:rFonts w:ascii="Arial" w:cs="Arial" w:eastAsia="Arial" w:hAnsi="Arial"/>
          <w:b/>
          <w:bCs/>
          <w:color w:val="2E75B6"/>
          <w:sz w:val="26"/>
          <w:szCs w:val="26"/>
        </w:rPr>
        <w:t xml:space="preserve">9.1 Hallazgos clave</w:t>
      </w:r>
    </w:p>
    <w:p>
      <w:pPr>
        <w:spacing w:after="140" w:before="60"/>
        <w:jc w:val="both"/>
      </w:pPr>
      <w:r>
        <w:rPr>
          <w:rFonts w:ascii="Arial" w:cs="Arial" w:eastAsia="Arial" w:hAnsi="Arial"/>
          <w:color w:val="222222"/>
          <w:sz w:val="22"/>
          <w:szCs w:val="22"/>
        </w:rPr>
        <w:t xml:space="preserve">A lo largo del desarrollo de Car Genie se identificaron insights concretos con impacto de negocio directo:</w:t>
      </w:r>
    </w:p>
    <w:p>
      <w:pPr>
        <w:pStyle w:val="ListParagraph"/>
        <w:numPr>
          <w:ilvl w:val="0"/>
          <w:numId w:val="2"/>
        </w:numPr>
        <w:spacing w:after="80" w:before="40"/>
      </w:pPr>
      <w:r>
        <w:rPr>
          <w:rFonts w:ascii="Arial" w:cs="Arial" w:eastAsia="Arial" w:hAnsi="Arial"/>
          <w:color w:val="222222"/>
          <w:sz w:val="22"/>
          <w:szCs w:val="22"/>
        </w:rPr>
        <w:t xml:space="preserve">La edad del vehículo y las millas recorridas son los dos predictores más importantes del precio, explicando juntos más del 60% de la varianza.</w:t>
      </w:r>
    </w:p>
    <w:p>
      <w:pPr>
        <w:pStyle w:val="ListParagraph"/>
        <w:numPr>
          <w:ilvl w:val="0"/>
          <w:numId w:val="2"/>
        </w:numPr>
        <w:spacing w:after="80" w:before="40"/>
      </w:pPr>
      <w:r>
        <w:rPr>
          <w:rFonts w:ascii="Arial" w:cs="Arial" w:eastAsia="Arial" w:hAnsi="Arial"/>
          <w:color w:val="222222"/>
          <w:sz w:val="22"/>
          <w:szCs w:val="22"/>
        </w:rPr>
        <w:t xml:space="preserve">Los primeros 5 años de vida de un auto concentran la mayor depreciación, haciendo que los vehículos de 2–3 años sean el 'sweet spot' de valor para el comprador racional.</w:t>
      </w:r>
    </w:p>
    <w:p>
      <w:pPr>
        <w:pStyle w:val="ListParagraph"/>
        <w:numPr>
          <w:ilvl w:val="0"/>
          <w:numId w:val="2"/>
        </w:numPr>
        <w:spacing w:after="80" w:before="40"/>
      </w:pPr>
      <w:r>
        <w:rPr>
          <w:rFonts w:ascii="Arial" w:cs="Arial" w:eastAsia="Arial" w:hAnsi="Arial"/>
          <w:color w:val="222222"/>
          <w:sz w:val="22"/>
          <w:szCs w:val="22"/>
        </w:rPr>
        <w:t xml:space="preserve">La calidad del título de propiedad (clean vs. salvage) tiene un impacto crítico en el precio, frecuentemente subestimado por compradores no informados.</w:t>
      </w:r>
    </w:p>
    <w:p>
      <w:pPr>
        <w:pStyle w:val="ListParagraph"/>
        <w:numPr>
          <w:ilvl w:val="0"/>
          <w:numId w:val="2"/>
        </w:numPr>
        <w:spacing w:after="80" w:before="40"/>
      </w:pPr>
      <w:r>
        <w:rPr>
          <w:rFonts w:ascii="Arial" w:cs="Arial" w:eastAsia="Arial" w:hAnsi="Arial"/>
          <w:color w:val="222222"/>
          <w:sz w:val="22"/>
          <w:szCs w:val="22"/>
        </w:rPr>
        <w:t xml:space="preserve">XGBoost supera consistentemente a los modelos lineales en este dataset, confirmando la naturaleza no lineal del mercado de autos usados.</w:t>
      </w:r>
    </w:p>
    <w:p>
      <w:pPr>
        <w:spacing w:after="80" w:before="80"/>
      </w:pPr>
    </w:p>
    <w:p>
      <w:pPr>
        <w:pStyle w:val="Heading2"/>
        <w:spacing w:after="100" w:before="260"/>
      </w:pPr>
      <w:r>
        <w:rPr>
          <w:rFonts w:ascii="Arial" w:cs="Arial" w:eastAsia="Arial" w:hAnsi="Arial"/>
          <w:b/>
          <w:bCs/>
          <w:color w:val="2E75B6"/>
          <w:sz w:val="26"/>
          <w:szCs w:val="26"/>
        </w:rPr>
        <w:t xml:space="preserve">9.2 Impacto del modelo</w:t>
      </w:r>
    </w:p>
    <w:p>
      <w:pPr>
        <w:spacing w:after="140" w:before="60"/>
        <w:jc w:val="both"/>
      </w:pPr>
      <w:r>
        <w:rPr>
          <w:rFonts w:ascii="Arial" w:cs="Arial" w:eastAsia="Arial" w:hAnsi="Arial"/>
          <w:color w:val="222222"/>
          <w:sz w:val="22"/>
          <w:szCs w:val="22"/>
        </w:rPr>
        <w:t xml:space="preserve">Car Genie logra predecir el precio de un vehículo con un error promedio de $1,650, equivalente a un margen de error del 5–10% en el rango de precios más común del mercado. Esto representa una mejora significativa frente a las estimaciones intuitivas de compradores promedio, que pueden equivocarse por $3,000–$5,000 o más.</w:t>
      </w:r>
    </w:p>
    <w:p>
      <w:pPr>
        <w:spacing w:after="140" w:before="60"/>
        <w:jc w:val="both"/>
      </w:pPr>
      <w:r>
        <w:rPr>
          <w:rFonts w:ascii="Arial" w:cs="Arial" w:eastAsia="Arial" w:hAnsi="Arial"/>
          <w:color w:val="222222"/>
          <w:sz w:val="22"/>
          <w:szCs w:val="22"/>
        </w:rPr>
        <w:t xml:space="preserve">Desde el punto de vista de negocio, una herramienta con este nivel de precisión tiene valor real y monetizable: puede reducir el tiempo de negociación, aumentar la confianza en las transacciones y mejorar la eficiencia del mercado.</w:t>
      </w:r>
    </w:p>
    <w:p>
      <w:pPr>
        <w:spacing w:after="80" w:before="80"/>
      </w:pPr>
    </w:p>
    <w:p>
      <w:pPr>
        <w:pStyle w:val="Heading2"/>
        <w:spacing w:after="100" w:before="260"/>
      </w:pPr>
      <w:r>
        <w:rPr>
          <w:rFonts w:ascii="Arial" w:cs="Arial" w:eastAsia="Arial" w:hAnsi="Arial"/>
          <w:b/>
          <w:bCs/>
          <w:color w:val="2E75B6"/>
          <w:sz w:val="26"/>
          <w:szCs w:val="26"/>
        </w:rPr>
        <w:t xml:space="preserve">9.3 Posibles mejoras</w:t>
      </w:r>
    </w:p>
    <w:p>
      <w:pPr>
        <w:spacing w:after="140" w:before="60"/>
        <w:jc w:val="both"/>
      </w:pPr>
      <w:r>
        <w:rPr>
          <w:rFonts w:ascii="Arial" w:cs="Arial" w:eastAsia="Arial" w:hAnsi="Arial"/>
          <w:color w:val="222222"/>
          <w:sz w:val="22"/>
          <w:szCs w:val="22"/>
        </w:rPr>
        <w:t xml:space="preserve">Como todo proyecto de ciencias de datos, Car Genie tiene espacio claro para evolucionar:</w:t>
      </w:r>
    </w:p>
    <w:p>
      <w:pPr>
        <w:pStyle w:val="ListParagraph"/>
        <w:numPr>
          <w:ilvl w:val="0"/>
          <w:numId w:val="2"/>
        </w:numPr>
        <w:spacing w:after="80" w:before="40"/>
      </w:pPr>
      <w:r>
        <w:rPr>
          <w:rFonts w:ascii="Arial" w:cs="Arial" w:eastAsia="Arial" w:hAnsi="Arial"/>
          <w:color w:val="222222"/>
          <w:sz w:val="22"/>
          <w:szCs w:val="22"/>
        </w:rPr>
        <w:t xml:space="preserve">Más datos: incorporar imágenes del vehículo mediante computer vision para evaluar condición visual automáticamente.</w:t>
      </w:r>
    </w:p>
    <w:p>
      <w:pPr>
        <w:pStyle w:val="ListParagraph"/>
        <w:numPr>
          <w:ilvl w:val="0"/>
          <w:numId w:val="2"/>
        </w:numPr>
        <w:spacing w:after="80" w:before="40"/>
      </w:pPr>
      <w:r>
        <w:rPr>
          <w:rFonts w:ascii="Arial" w:cs="Arial" w:eastAsia="Arial" w:hAnsi="Arial"/>
          <w:color w:val="222222"/>
          <w:sz w:val="22"/>
          <w:szCs w:val="22"/>
        </w:rPr>
        <w:t xml:space="preserve">Modelos más avanzados: explorar modelos de boosting como LightGBM o CatBoost, especialmente eficientes con variables categóricas.</w:t>
      </w:r>
    </w:p>
    <w:p>
      <w:pPr>
        <w:pStyle w:val="ListParagraph"/>
        <w:numPr>
          <w:ilvl w:val="0"/>
          <w:numId w:val="2"/>
        </w:numPr>
        <w:spacing w:after="80" w:before="40"/>
      </w:pPr>
      <w:r>
        <w:rPr>
          <w:rFonts w:ascii="Arial" w:cs="Arial" w:eastAsia="Arial" w:hAnsi="Arial"/>
          <w:color w:val="222222"/>
          <w:sz w:val="22"/>
          <w:szCs w:val="22"/>
        </w:rPr>
        <w:t xml:space="preserve">Actualización en tiempo real: conectar el modelo a feeds de datos actualizados de marketplaces para reflejar cambios de mercado en tiempo real.</w:t>
      </w:r>
    </w:p>
    <w:p>
      <w:pPr>
        <w:pStyle w:val="ListParagraph"/>
        <w:numPr>
          <w:ilvl w:val="0"/>
          <w:numId w:val="2"/>
        </w:numPr>
        <w:spacing w:after="80" w:before="40"/>
      </w:pPr>
      <w:r>
        <w:rPr>
          <w:rFonts w:ascii="Arial" w:cs="Arial" w:eastAsia="Arial" w:hAnsi="Arial"/>
          <w:color w:val="222222"/>
          <w:sz w:val="22"/>
          <w:szCs w:val="22"/>
        </w:rPr>
        <w:t xml:space="preserve">Segmentación geográfica: construir modelos separados o features específicas por región, ya que los precios varían significativamente entre estados o ciudades.</w:t>
      </w:r>
    </w:p>
    <w:p>
      <w:pPr>
        <w:pStyle w:val="ListParagraph"/>
        <w:numPr>
          <w:ilvl w:val="0"/>
          <w:numId w:val="2"/>
        </w:numPr>
        <w:spacing w:after="80" w:before="40"/>
      </w:pPr>
      <w:r>
        <w:rPr>
          <w:rFonts w:ascii="Arial" w:cs="Arial" w:eastAsia="Arial" w:hAnsi="Arial"/>
          <w:color w:val="222222"/>
          <w:sz w:val="22"/>
          <w:szCs w:val="22"/>
        </w:rPr>
        <w:t xml:space="preserve">Integración API: desarrollar una API REST para que plataformas externas puedan consumir las predicciones fácilmente.</w:t>
      </w:r>
    </w:p>
    <w:p>
      <w:pPr>
        <w:spacing w:after="200" w:before="100"/>
      </w:pPr>
    </w:p>
    <w:p>
      <w:pPr>
        <w:spacing w:after="140" w:before="60"/>
        <w:jc w:val="both"/>
      </w:pPr>
      <w:r>
        <w:rPr>
          <w:rFonts w:ascii="Arial" w:cs="Arial" w:eastAsia="Arial" w:hAnsi="Arial"/>
          <w:color w:val="222222"/>
          <w:sz w:val="22"/>
          <w:szCs w:val="22"/>
        </w:rPr>
        <w:t xml:space="preserve">Car Genie demuestra que los datos y la inteligencia artificial pueden resolver un problema concreto, cotidiano y de alto impacto económico. No se necesita la IA más compleja del mundo: se necesita la correcta, bien entrenada, con datos de calidad, y orientada a generar valor real para el usuario final.</w:t>
      </w:r>
    </w:p>
    <w:p>
      <w:pPr>
        <w:spacing w:after="200" w:before="0"/>
      </w:pPr>
    </w:p>
    <w:p>
      <w:pPr>
        <w:pBdr>
          <w:bottom w:val="single" w:color="2E75B6" w:sz="6" w:space="1"/>
        </w:pBdr>
        <w:spacing w:after="240"/>
      </w:pPr>
    </w:p>
    <w:p>
      <w:pPr>
        <w:spacing w:after="100" w:before="300"/>
        <w:jc w:val="center"/>
      </w:pPr>
      <w:r>
        <w:rPr>
          <w:rFonts w:ascii="Arial" w:cs="Arial" w:eastAsia="Arial" w:hAnsi="Arial"/>
          <w:i/>
          <w:iCs/>
          <w:color w:val="999999"/>
          <w:sz w:val="18"/>
          <w:szCs w:val="18"/>
        </w:rPr>
        <w:t xml:space="preserve">Car Genie — Diplomado en Ciencias de Datos — Abril 2026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CDE8" w:sz="4" w:space="2"/>
      </w:pBdr>
      <w:tabs>
        <w:tab w:val="right" w:pos="9360"/>
      </w:tabs>
    </w:pPr>
    <w:r>
      <w:rPr>
        <w:rFonts w:ascii="Arial" w:cs="Arial" w:eastAsia="Arial" w:hAnsi="Arial"/>
        <w:color w:val="888888"/>
        <w:sz w:val="16"/>
        <w:szCs w:val="16"/>
      </w:rPr>
      <w:t xml:space="preserve">CAR GENIE  |  Predicción Inteligente de Valor Vehicular</w:t>
    </w:r>
    <w:r>
      <w:rPr>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2026-04-10T04:56:07.530Z</dcterms:created>
  <dcterms:modified xsi:type="dcterms:W3CDTF">2026-04-10T04:56:07.532Z</dcterms:modified>
</cp:coreProperties>
</file>

<file path=docProps/custom.xml><?xml version="1.0" encoding="utf-8"?>
<Properties xmlns="http://schemas.openxmlformats.org/officeDocument/2006/custom-properties" xmlns:vt="http://schemas.openxmlformats.org/officeDocument/2006/docPropsVTypes"/>
</file>