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6D697" w14:textId="77777777" w:rsidR="00E73EB8" w:rsidRPr="00E73EB8" w:rsidRDefault="00E73EB8" w:rsidP="00E73E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b/>
          <w:bCs/>
          <w:sz w:val="24"/>
          <w:szCs w:val="24"/>
          <w:lang w:val="en-US"/>
        </w:rPr>
        <w:t>Bibliography</w:t>
      </w:r>
    </w:p>
    <w:p w14:paraId="09175349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>N. R. Reddy and B. G. Jemimah, "A Vision Transformer-Based Multi-Camera Biomechanical Motion Analysis Framework for Early Sports Injury Risk Prediction in Elite Athletes," E-ISSN: 3069-0102, vol. 5, no. 4, 2025.</w:t>
      </w:r>
    </w:p>
    <w:p w14:paraId="2D172367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R. Olivar and E. Kellis, "Acceleration and Injury-Frame Biomechanics in Achilles Tendon Rupture: A Systematic Review," J.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Funct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Morphol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Kinesiol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., vol. 11, no. 3, art. no. 309, Aug. 2026,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10.3390/jfmk11030309.</w:t>
      </w:r>
    </w:p>
    <w:p w14:paraId="6FEF7BF4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J. Stenum, K. M. Cherry-Allen, C. O. Pyles, R. D.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Reetzke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M. F.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Vignos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and R. T. Roemmich, "Applications of Pose Estimation in Human Health and Performance across the Lifespan," Sensors, vol. 21, no. 21, art. no. 7315, Nov. 2021,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10.3390/s21217315.</w:t>
      </w:r>
    </w:p>
    <w:p w14:paraId="430E6948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S.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Edriss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C. Romagnoli, L. Caprioli, V. Bonaiuto, E. Padua, and G. Annino, "Commercial vision sensors and AI-based pose estimation frameworks for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markerless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 motion analysis in sports and exercises: a mini review," Front. Physiol., vol. 16, art. no. 1649330, Aug. 2025,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10.3389/fphys.2025.1649330.</w:t>
      </w:r>
    </w:p>
    <w:p w14:paraId="093DC6EE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N. J. Lemme, N. Y. Li, J. E. Kleiner, S. Tan, S. F.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DeFroda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and B. D. Owens, "Epidemiology and Video Analysis of Achilles Tendon Ruptures in the National Basketball Association," Am. J. Sports Med., vol. 47, no. 10, pp. 2360–2366, Oct. 2019,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10.1177/0363546519858609.</w:t>
      </w:r>
    </w:p>
    <w:p w14:paraId="55F6E760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A. J. Petway, M. J. Jordan, S.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Epsley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and P.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Anloague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, "Mechanisms of Achilles Tendon Rupture in National Basketball Association Players," J. Appl.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Biomech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., vol. 38, no. 6, pp. 398–403, Dec. 2022,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10.1123/jab.2022-0088.</w:t>
      </w:r>
    </w:p>
    <w:p w14:paraId="54FE84C9" w14:textId="77777777" w:rsid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O.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Köyağasıoğlu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 and Y. Lima, "Achilles tendon ruptures in National Basketball Association players: A sequential video analysis of injury mechanisms and biomechanical patterns," Knee Surg. Sports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Traumatol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Arthrosc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., vol. 34, no. 2, pp. 684–697, Feb. 2026,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10.1002/ksa.70249.</w:t>
      </w:r>
    </w:p>
    <w:p w14:paraId="5A75E73F" w14:textId="36ED9F21" w:rsidR="00DB3898" w:rsidRPr="00E73EB8" w:rsidRDefault="00E73EB8" w:rsidP="00E73E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J. Anderson and R. Miller, "3D Human Pose Estimation and Temporal Kinematic Constraints for Dynamic Occlusion in Basketball," Am. J.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Artif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Intell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 Neural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Netw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 xml:space="preserve">., vol. 7, no. 1, Feb. 2026, </w:t>
      </w:r>
      <w:proofErr w:type="spellStart"/>
      <w:r w:rsidRPr="00E73EB8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73EB8">
        <w:rPr>
          <w:rFonts w:ascii="Times New Roman" w:hAnsi="Times New Roman" w:cs="Times New Roman"/>
          <w:sz w:val="24"/>
          <w:szCs w:val="24"/>
          <w:lang w:val="en-US"/>
        </w:rPr>
        <w:t>: 10.71465/ajainn3589.</w:t>
      </w:r>
    </w:p>
    <w:sectPr w:rsidR="00DB3898" w:rsidRPr="00E73E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06EF2"/>
    <w:multiLevelType w:val="hybridMultilevel"/>
    <w:tmpl w:val="0100C11C"/>
    <w:lvl w:ilvl="0" w:tplc="F69095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B5036"/>
    <w:multiLevelType w:val="multilevel"/>
    <w:tmpl w:val="EA6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B8"/>
    <w:rsid w:val="00082B00"/>
    <w:rsid w:val="005908B8"/>
    <w:rsid w:val="00E7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158F"/>
  <w15:chartTrackingRefBased/>
  <w15:docId w15:val="{9EAE0371-5D81-433F-9FE9-6EA609B0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73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73EB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7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73EB8"/>
    <w:rPr>
      <w:b/>
      <w:bCs/>
    </w:rPr>
  </w:style>
  <w:style w:type="character" w:styleId="nfasis">
    <w:name w:val="Emphasis"/>
    <w:basedOn w:val="Fuentedeprrafopredeter"/>
    <w:uiPriority w:val="20"/>
    <w:qFormat/>
    <w:rsid w:val="00E73EB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73EB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73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4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Eusebio Felipe Rodriguez Ortiz</dc:creator>
  <cp:keywords/>
  <dc:description/>
  <cp:lastModifiedBy>Eusebio Felipe Rodriguez Ortiz</cp:lastModifiedBy>
  <cp:revision>1</cp:revision>
  <dcterms:created xsi:type="dcterms:W3CDTF">2026-10-21T08:16:00Z</dcterms:created>
  <dcterms:modified xsi:type="dcterms:W3CDTF">2026-10-21T08:19:00Z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fad4b960-7954-4a34-a4f9-62a176e524e2</vt:lpwstr>
  </property>
</Properties>
</file>