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after="360"/>
        <w:jc w:val="center"/>
      </w:pPr>
      <w:r>
        <w:rPr>
          <w:rFonts w:ascii="Cambria" w:hAnsi="Cambria"/>
          <w:b/>
          <w:color w:val="1A237E"/>
          <w:sz w:val="30"/>
        </w:rPr>
        <w:t>Internal Company Costs</w:t>
      </w:r>
    </w:p>
    <w:p/>
    <w:p>
      <w:r>
        <w:rPr>
          <w:rFonts w:ascii="Times New Roman" w:hAnsi="Times New Roman"/>
          <w:b w:val="0"/>
          <w:color w:val="000000"/>
          <w:sz w:val="24"/>
        </w:rPr>
        <w:t>Site Address: sd</w:t>
      </w:r>
    </w:p>
    <w:p>
      <w:r>
        <w:rPr>
          <w:rFonts w:ascii="Times New Roman" w:hAnsi="Times New Roman"/>
          <w:b w:val="0"/>
          <w:color w:val="000000"/>
          <w:sz w:val="24"/>
        </w:rPr>
        <w:t>Client: s v</w:t>
      </w:r>
    </w:p>
    <w:p/>
    <w:p>
      <w:pPr>
        <w:spacing w:line="276" w:lineRule="auto" w:before="0" w:after="0"/>
      </w:pPr>
      <w:r>
        <w:rPr>
          <w:rFonts w:ascii="Cambria" w:hAnsi="Cambria"/>
          <w:b w:val="0"/>
          <w:color w:val="000000"/>
          <w:sz w:val="22"/>
        </w:rPr>
        <w:t>The Internal Costs consolidates information from multiple project planning and cost estimation processes, including:</w:t>
      </w:r>
    </w:p>
    <w:p>
      <w:pPr>
        <w:spacing w:line="276" w:lineRule="auto" w:before="0" w:after="0"/>
      </w:pPr>
      <w:r>
        <w:rPr>
          <w:rFonts w:ascii="Cambria" w:hAnsi="Cambria"/>
          <w:b/>
          <w:color w:val="000000"/>
          <w:sz w:val="22"/>
        </w:rPr>
        <w:t xml:space="preserve">Cost Breakdown </w:t>
      </w:r>
      <w:r>
        <w:rPr>
          <w:rFonts w:ascii="Cambria" w:hAnsi="Cambria"/>
          <w:b w:val="0"/>
          <w:color w:val="000000"/>
          <w:sz w:val="22"/>
        </w:rPr>
        <w:t>→A summary of projected expenses, including materials, labor, subcontractors, equipment, and overhead.</w:t>
      </w:r>
    </w:p>
    <w:p>
      <w:pPr>
        <w:spacing w:line="276" w:lineRule="auto" w:before="0" w:after="0"/>
      </w:pPr>
      <w:r>
        <w:rPr>
          <w:rFonts w:ascii="Cambria" w:hAnsi="Cambria"/>
          <w:b/>
          <w:color w:val="000000"/>
          <w:sz w:val="22"/>
        </w:rPr>
        <w:t xml:space="preserve">Price Summary </w:t>
      </w:r>
      <w:r>
        <w:rPr>
          <w:rFonts w:ascii="Cambria" w:hAnsi="Cambria"/>
          <w:b w:val="0"/>
          <w:color w:val="000000"/>
          <w:sz w:val="22"/>
        </w:rPr>
        <w:t>→An overview of the estimated pricing structure and profit margins.</w:t>
      </w:r>
    </w:p>
    <w:p>
      <w:pPr>
        <w:spacing w:line="276" w:lineRule="auto" w:before="0" w:after="0"/>
      </w:pPr>
      <w:r>
        <w:rPr>
          <w:rFonts w:ascii="Cambria" w:hAnsi="Cambria"/>
          <w:b/>
          <w:color w:val="000000"/>
          <w:sz w:val="22"/>
        </w:rPr>
        <w:t xml:space="preserve">Detailed Price Breakdown </w:t>
      </w:r>
      <w:r>
        <w:rPr>
          <w:rFonts w:ascii="Cambria" w:hAnsi="Cambria"/>
          <w:b w:val="0"/>
          <w:color w:val="000000"/>
          <w:sz w:val="22"/>
        </w:rPr>
        <w:t>→Itemized costs for all components, categorized by activity and work area.</w:t>
      </w:r>
    </w:p>
    <w:p>
      <w:pPr>
        <w:spacing w:line="276" w:lineRule="auto" w:before="0" w:after="0"/>
      </w:pPr>
      <w:r>
        <w:rPr>
          <w:rFonts w:ascii="Cambria" w:hAnsi="Cambria"/>
          <w:b/>
          <w:color w:val="000000"/>
          <w:sz w:val="22"/>
        </w:rPr>
        <w:t xml:space="preserve">Personnel Allocation </w:t>
      </w:r>
      <w:r>
        <w:rPr>
          <w:rFonts w:ascii="Cambria" w:hAnsi="Cambria"/>
          <w:b w:val="0"/>
          <w:color w:val="000000"/>
          <w:sz w:val="22"/>
        </w:rPr>
        <w:t>→Staffing requirements, roles, and estimated work durations.</w:t>
      </w:r>
    </w:p>
    <w:p>
      <w:pPr>
        <w:spacing w:line="276" w:lineRule="auto" w:before="0" w:after="0"/>
      </w:pPr>
      <w:r>
        <w:rPr>
          <w:rFonts w:ascii="Cambria" w:hAnsi="Cambria"/>
          <w:b/>
          <w:color w:val="000000"/>
          <w:sz w:val="22"/>
        </w:rPr>
        <w:t xml:space="preserve">Project Schedule </w:t>
      </w:r>
      <w:r>
        <w:rPr>
          <w:rFonts w:ascii="Cambria" w:hAnsi="Cambria"/>
          <w:b w:val="0"/>
          <w:color w:val="000000"/>
          <w:sz w:val="22"/>
        </w:rPr>
        <w:t>→A timeline of construction activities, reflecting the planned sequence of work.</w:t>
      </w:r>
    </w:p>
    <w:p>
      <w:pPr>
        <w:spacing w:line="276" w:lineRule="auto" w:before="0" w:after="0"/>
      </w:pPr>
      <w:r>
        <w:rPr>
          <w:rFonts w:ascii="Cambria" w:hAnsi="Cambria"/>
          <w:b/>
          <w:color w:val="000000"/>
          <w:sz w:val="22"/>
        </w:rPr>
        <w:t xml:space="preserve">Equipment &amp; Materials Lists </w:t>
      </w:r>
      <w:r>
        <w:rPr>
          <w:rFonts w:ascii="Cambria" w:hAnsi="Cambria"/>
          <w:b w:val="0"/>
          <w:color w:val="000000"/>
          <w:sz w:val="22"/>
        </w:rPr>
        <w:t>→Summaries of required machinery, tools, and material procurement details.</w:t>
      </w:r>
    </w:p>
    <w:p>
      <w:pPr>
        <w:spacing w:line="276" w:lineRule="auto" w:before="0" w:after="0"/>
      </w:pPr>
      <w:r>
        <w:rPr>
          <w:rFonts w:ascii="Cambria" w:hAnsi="Cambria"/>
          <w:b/>
          <w:color w:val="000000"/>
          <w:sz w:val="22"/>
        </w:rPr>
        <w:t xml:space="preserve">Risk Analysis </w:t>
      </w:r>
      <w:r>
        <w:rPr>
          <w:rFonts w:ascii="Cambria" w:hAnsi="Cambria"/>
          <w:b w:val="0"/>
          <w:color w:val="000000"/>
          <w:sz w:val="22"/>
        </w:rPr>
        <w:t>→Identification of potential risks and their impact on project timelines and costs.</w:t>
      </w:r>
    </w:p>
    <w:p/>
    <w:p>
      <w:pPr>
        <w:spacing w:line="276" w:lineRule="auto" w:before="0" w:after="0"/>
      </w:pPr>
      <w:r>
        <w:rPr>
          <w:rFonts w:ascii="Cambria" w:hAnsi="Cambria"/>
          <w:b w:val="0"/>
          <w:color w:val="000000"/>
          <w:sz w:val="22"/>
        </w:rPr>
        <w:t>This document ensures alignment between the project team, stakeholders, and financial planners, enabling:</w:t>
      </w:r>
    </w:p>
    <w:p>
      <w:pPr>
        <w:spacing w:line="276" w:lineRule="auto" w:before="0" w:after="0"/>
      </w:pPr>
      <w:r>
        <w:rPr>
          <w:rFonts w:ascii="Cambria" w:hAnsi="Cambria"/>
          <w:b w:val="0"/>
          <w:color w:val="000000"/>
          <w:sz w:val="22"/>
        </w:rPr>
        <w:t>• Better cost control</w:t>
      </w:r>
    </w:p>
    <w:p>
      <w:pPr>
        <w:spacing w:line="276" w:lineRule="auto" w:before="0" w:after="0"/>
      </w:pPr>
      <w:r>
        <w:rPr>
          <w:rFonts w:ascii="Cambria" w:hAnsi="Cambria"/>
          <w:b w:val="0"/>
          <w:color w:val="000000"/>
          <w:sz w:val="22"/>
        </w:rPr>
        <w:t>• Improved resource allocation</w:t>
      </w:r>
    </w:p>
    <w:p>
      <w:pPr>
        <w:spacing w:line="276" w:lineRule="auto" w:before="0" w:after="0"/>
      </w:pPr>
      <w:r>
        <w:rPr>
          <w:rFonts w:ascii="Cambria" w:hAnsi="Cambria"/>
          <w:b w:val="0"/>
          <w:color w:val="000000"/>
          <w:sz w:val="22"/>
        </w:rPr>
        <w:t>• Early identification of risks and budget constraints</w:t>
      </w:r>
    </w:p>
    <w:p>
      <w:pPr>
        <w:spacing w:line="276" w:lineRule="auto" w:before="0" w:after="0"/>
      </w:pPr>
      <w:r>
        <w:rPr>
          <w:rFonts w:ascii="Cambria" w:hAnsi="Cambria"/>
          <w:b w:val="0"/>
          <w:color w:val="000000"/>
          <w:sz w:val="22"/>
        </w:rPr>
        <w:t>• A clear reference for internal and client reporting.</w:t>
      </w:r>
    </w:p>
    <w:p>
      <w:pPr>
        <w:spacing w:line="276" w:lineRule="auto" w:before="0" w:after="0"/>
      </w:pPr>
      <w:r>
        <w:rPr>
          <w:rFonts w:ascii="Cambria" w:hAnsi="Cambria"/>
          <w:b w:val="0"/>
          <w:color w:val="000000"/>
          <w:sz w:val="22"/>
        </w:rPr>
        <w:t>The figures and schedules contained herein are based on the best available data at the time of preparation. Any variations, design changes, or unforeseen circumstances may affect the final project cost and timeline.</w:t>
      </w:r>
    </w:p>
    <w:p>
      <w:pPr>
        <w:pStyle w:val="Heading2"/>
        <w:spacing w:after="240"/>
      </w:pPr>
      <w:r>
        <w:rPr>
          <w:rFonts w:ascii="Cambria" w:hAnsi="Cambria"/>
          <w:b/>
          <w:color w:val="1A237E"/>
          <w:sz w:val="30"/>
        </w:rPr>
        <w:t>Price Summary</w:t>
      </w:r>
    </w:p>
    <w:p>
      <w:r>
        <w:rPr>
          <w:rFonts w:ascii="Cambria" w:hAnsi="Cambria"/>
          <w:b/>
          <w:color w:val="000000"/>
          <w:sz w:val="22"/>
        </w:rPr>
        <w:t xml:space="preserve">• Subtotal price: </w:t>
      </w:r>
      <w:r>
        <w:rPr>
          <w:rFonts w:ascii="Cambria" w:hAnsi="Cambria"/>
          <w:b w:val="0"/>
          <w:color w:val="000000"/>
          <w:sz w:val="22"/>
        </w:rPr>
        <w:t>30.77</w:t>
      </w:r>
    </w:p>
    <w:p>
      <w:r>
        <w:rPr>
          <w:rFonts w:ascii="Cambria" w:hAnsi="Cambria"/>
          <w:b/>
          <w:color w:val="000000"/>
          <w:sz w:val="22"/>
        </w:rPr>
        <w:t xml:space="preserve">• General expenses: </w:t>
      </w:r>
      <w:r>
        <w:rPr>
          <w:rFonts w:ascii="Cambria" w:hAnsi="Cambria"/>
          <w:b w:val="0"/>
          <w:color w:val="000000"/>
          <w:sz w:val="22"/>
        </w:rPr>
        <w:t>3.077</w:t>
      </w:r>
    </w:p>
    <w:p>
      <w:r>
        <w:rPr>
          <w:rFonts w:ascii="Cambria" w:hAnsi="Cambria"/>
          <w:b/>
          <w:color w:val="000000"/>
          <w:sz w:val="22"/>
        </w:rPr>
        <w:t xml:space="preserve">• Company profit: </w:t>
      </w:r>
      <w:r>
        <w:rPr>
          <w:rFonts w:ascii="Cambria" w:hAnsi="Cambria"/>
          <w:b w:val="0"/>
          <w:color w:val="000000"/>
          <w:sz w:val="22"/>
        </w:rPr>
        <w:t>7.6925</w:t>
      </w:r>
    </w:p>
    <w:p>
      <w:r>
        <w:rPr>
          <w:rFonts w:ascii="Cambria" w:hAnsi="Cambria"/>
          <w:b/>
          <w:color w:val="000000"/>
          <w:sz w:val="22"/>
        </w:rPr>
        <w:t xml:space="preserve">• Rounding: </w:t>
      </w:r>
      <w:r>
        <w:rPr>
          <w:rFonts w:ascii="Cambria" w:hAnsi="Cambria"/>
          <w:b w:val="0"/>
          <w:color w:val="000000"/>
          <w:sz w:val="22"/>
        </w:rPr>
        <w:t>0</w:t>
      </w:r>
    </w:p>
    <w:p>
      <w:r>
        <w:rPr>
          <w:rFonts w:ascii="Cambria" w:hAnsi="Cambria"/>
          <w:b/>
          <w:color w:val="000000"/>
          <w:sz w:val="22"/>
        </w:rPr>
        <w:t xml:space="preserve">• Total costs: </w:t>
      </w:r>
      <w:r>
        <w:rPr>
          <w:rFonts w:ascii="Cambria" w:hAnsi="Cambria"/>
          <w:b w:val="0"/>
          <w:color w:val="000000"/>
          <w:sz w:val="22"/>
        </w:rPr>
        <w:t>41.5395</w:t>
      </w:r>
    </w:p>
    <w:p>
      <w:r>
        <w:rPr>
          <w:rFonts w:ascii="Cambria" w:hAnsi="Cambria"/>
          <w:b/>
          <w:color w:val="000000"/>
          <w:sz w:val="22"/>
        </w:rPr>
        <w:t xml:space="preserve">• Application price: </w:t>
      </w:r>
      <w:r>
        <w:rPr>
          <w:rFonts w:ascii="Cambria" w:hAnsi="Cambria"/>
          <w:b w:val="0"/>
          <w:color w:val="000000"/>
          <w:sz w:val="22"/>
        </w:rPr>
        <w:t>41.5395</w:t>
      </w:r>
    </w:p>
    <w:p>
      <w:pPr>
        <w:pStyle w:val="Heading2"/>
        <w:spacing w:after="240"/>
      </w:pPr>
      <w:r>
        <w:rPr>
          <w:rFonts w:ascii="Cambria" w:hAnsi="Cambria"/>
          <w:b/>
          <w:color w:val="1A237E"/>
          <w:sz w:val="30"/>
        </w:rPr>
        <w:t>Total Company Costs</w:t>
      </w:r>
    </w:p>
    <w:p>
      <w:r>
        <w:rPr>
          <w:rFonts w:ascii="Cambria" w:hAnsi="Cambria"/>
          <w:b/>
          <w:color w:val="000000"/>
          <w:sz w:val="22"/>
        </w:rPr>
        <w:t xml:space="preserve">• Subtotal: </w:t>
      </w:r>
      <w:r>
        <w:rPr>
          <w:rFonts w:ascii="Cambria" w:hAnsi="Cambria"/>
          <w:b w:val="0"/>
          <w:color w:val="000000"/>
          <w:sz w:val="22"/>
        </w:rPr>
        <w:t>30.77</w:t>
      </w:r>
    </w:p>
    <w:p>
      <w:r>
        <w:rPr>
          <w:rFonts w:ascii="Cambria" w:hAnsi="Cambria"/>
          <w:b/>
          <w:color w:val="000000"/>
          <w:sz w:val="22"/>
        </w:rPr>
        <w:t xml:space="preserve">• Global costs: </w:t>
      </w:r>
      <w:r>
        <w:rPr>
          <w:rFonts w:ascii="Cambria" w:hAnsi="Cambria"/>
          <w:b w:val="0"/>
          <w:color w:val="000000"/>
          <w:sz w:val="22"/>
        </w:rPr>
        <w:t>3.077</w:t>
      </w:r>
    </w:p>
    <w:p>
      <w:r>
        <w:rPr>
          <w:rFonts w:ascii="Cambria" w:hAnsi="Cambria"/>
          <w:b/>
          <w:color w:val="000000"/>
          <w:sz w:val="22"/>
        </w:rPr>
        <w:t xml:space="preserve">• Markup: </w:t>
      </w:r>
      <w:r>
        <w:rPr>
          <w:rFonts w:ascii="Cambria" w:hAnsi="Cambria"/>
          <w:b w:val="0"/>
          <w:color w:val="000000"/>
          <w:sz w:val="22"/>
        </w:rPr>
        <w:t>7.6925</w:t>
      </w:r>
    </w:p>
    <w:p>
      <w:r>
        <w:rPr>
          <w:rFonts w:ascii="Cambria" w:hAnsi="Cambria"/>
          <w:b/>
          <w:color w:val="000000"/>
          <w:sz w:val="22"/>
        </w:rPr>
        <w:t xml:space="preserve">• Total: </w:t>
      </w:r>
      <w:r>
        <w:rPr>
          <w:rFonts w:ascii="Cambria" w:hAnsi="Cambria"/>
          <w:b w:val="0"/>
          <w:color w:val="000000"/>
          <w:sz w:val="22"/>
        </w:rPr>
        <w:t>41.5395</w:t>
      </w:r>
    </w:p>
    <w:p>
      <w:r>
        <w:rPr>
          <w:rFonts w:ascii="Cambria" w:hAnsi="Cambria"/>
          <w:b/>
          <w:color w:val="000000"/>
          <w:sz w:val="22"/>
        </w:rPr>
        <w:t xml:space="preserve">• Margin check: </w:t>
      </w:r>
      <w:r>
        <w:rPr>
          <w:rFonts w:ascii="Cambria" w:hAnsi="Cambria"/>
          <w:b w:val="0"/>
          <w:color w:val="000000"/>
          <w:sz w:val="22"/>
        </w:rPr>
        <w:t>7.6925</w:t>
      </w:r>
    </w:p>
    <w:p>
      <w:pPr>
        <w:pStyle w:val="Heading2"/>
        <w:spacing w:after="240"/>
      </w:pPr>
      <w:r>
        <w:rPr>
          <w:rFonts w:ascii="Cambria" w:hAnsi="Cambria"/>
          <w:b/>
          <w:color w:val="1A237E"/>
          <w:sz w:val="30"/>
        </w:rPr>
        <w:t>Cost Breakdown</w:t>
      </w:r>
    </w:p>
    <w:p>
      <w:r>
        <w:rPr>
          <w:rFonts w:ascii="Cambria" w:hAnsi="Cambria"/>
          <w:b/>
          <w:color w:val="000000"/>
          <w:sz w:val="22"/>
        </w:rPr>
        <w:t xml:space="preserve">• Materials: </w:t>
      </w:r>
      <w:r>
        <w:rPr>
          <w:rFonts w:ascii="Cambria" w:hAnsi="Cambria"/>
          <w:b w:val="0"/>
          <w:color w:val="000000"/>
          <w:sz w:val="22"/>
        </w:rPr>
        <w:t>0</w:t>
      </w:r>
    </w:p>
    <w:p>
      <w:r>
        <w:rPr>
          <w:rFonts w:ascii="Cambria" w:hAnsi="Cambria"/>
          <w:b/>
          <w:color w:val="000000"/>
          <w:sz w:val="22"/>
        </w:rPr>
        <w:t xml:space="preserve">• Labor: </w:t>
      </w:r>
      <w:r>
        <w:rPr>
          <w:rFonts w:ascii="Cambria" w:hAnsi="Cambria"/>
          <w:b w:val="0"/>
          <w:color w:val="000000"/>
          <w:sz w:val="22"/>
        </w:rPr>
        <w:t>30.77</w:t>
      </w:r>
    </w:p>
    <w:p>
      <w:r>
        <w:rPr>
          <w:rFonts w:ascii="Cambria" w:hAnsi="Cambria"/>
          <w:b/>
          <w:color w:val="000000"/>
          <w:sz w:val="22"/>
        </w:rPr>
        <w:t xml:space="preserve">• Subcontractors: </w:t>
      </w:r>
      <w:r>
        <w:rPr>
          <w:rFonts w:ascii="Cambria" w:hAnsi="Cambria"/>
          <w:b w:val="0"/>
          <w:color w:val="000000"/>
          <w:sz w:val="22"/>
        </w:rPr>
        <w:t>0</w:t>
      </w:r>
    </w:p>
    <w:p>
      <w:r>
        <w:rPr>
          <w:rFonts w:ascii="Cambria" w:hAnsi="Cambria"/>
          <w:b/>
          <w:color w:val="000000"/>
          <w:sz w:val="22"/>
        </w:rPr>
        <w:t xml:space="preserve">• Equipment: </w:t>
      </w:r>
      <w:r>
        <w:rPr>
          <w:rFonts w:ascii="Cambria" w:hAnsi="Cambria"/>
          <w:b w:val="0"/>
          <w:color w:val="000000"/>
          <w:sz w:val="22"/>
        </w:rPr>
        <w:t>0</w:t>
      </w:r>
    </w:p>
    <w:p>
      <w:r>
        <w:rPr>
          <w:rFonts w:ascii="Cambria" w:hAnsi="Cambria"/>
          <w:b/>
          <w:color w:val="000000"/>
          <w:sz w:val="22"/>
        </w:rPr>
        <w:t xml:space="preserve">• Directcosts: </w:t>
      </w:r>
      <w:r>
        <w:rPr>
          <w:rFonts w:ascii="Cambria" w:hAnsi="Cambria"/>
          <w:b w:val="0"/>
          <w:color w:val="000000"/>
          <w:sz w:val="22"/>
        </w:rPr>
        <w:t>30.77</w:t>
      </w:r>
    </w:p>
    <w:p>
      <w:r>
        <w:rPr>
          <w:rFonts w:ascii="Cambria" w:hAnsi="Cambria"/>
          <w:b/>
          <w:color w:val="000000"/>
          <w:sz w:val="22"/>
        </w:rPr>
        <w:t xml:space="preserve">• Totalcost: </w:t>
      </w:r>
      <w:r>
        <w:rPr>
          <w:rFonts w:ascii="Cambria" w:hAnsi="Cambria"/>
          <w:b w:val="0"/>
          <w:color w:val="000000"/>
          <w:sz w:val="22"/>
        </w:rPr>
        <w:t>30.77</w:t>
      </w:r>
    </w:p>
    <w:p>
      <w:r>
        <w:rPr>
          <w:rFonts w:ascii="Cambria" w:hAnsi="Cambria"/>
          <w:b/>
          <w:color w:val="000000"/>
          <w:sz w:val="22"/>
        </w:rPr>
        <w:t xml:space="preserve">• Overhead: </w:t>
      </w:r>
      <w:r>
        <w:rPr>
          <w:rFonts w:ascii="Cambria" w:hAnsi="Cambria"/>
          <w:b w:val="0"/>
          <w:color w:val="000000"/>
          <w:sz w:val="22"/>
        </w:rPr>
        <w:t>10%</w:t>
      </w:r>
    </w:p>
    <w:p>
      <w:r>
        <w:rPr>
          <w:rFonts w:ascii="Cambria" w:hAnsi="Cambria"/>
          <w:b/>
          <w:color w:val="000000"/>
          <w:sz w:val="22"/>
        </w:rPr>
        <w:t xml:space="preserve">• Profittarget: </w:t>
      </w:r>
      <w:r>
        <w:rPr>
          <w:rFonts w:ascii="Cambria" w:hAnsi="Cambria"/>
          <w:b w:val="0"/>
          <w:color w:val="000000"/>
          <w:sz w:val="22"/>
        </w:rPr>
        <w:t>15%</w:t>
      </w:r>
    </w:p>
    <w:p>
      <w:r>
        <w:rPr>
          <w:rFonts w:ascii="Cambria" w:hAnsi="Cambria"/>
          <w:b/>
          <w:color w:val="000000"/>
          <w:sz w:val="22"/>
        </w:rPr>
        <w:t xml:space="preserve">• Markup: </w:t>
      </w:r>
      <w:r>
        <w:rPr>
          <w:rFonts w:ascii="Cambria" w:hAnsi="Cambria"/>
          <w:b w:val="0"/>
          <w:color w:val="000000"/>
          <w:sz w:val="22"/>
        </w:rPr>
        <w:t>25%</w:t>
      </w:r>
    </w:p>
    <w:p>
      <w:pPr>
        <w:pStyle w:val="Heading2"/>
        <w:spacing w:after="240"/>
      </w:pPr>
      <w:r>
        <w:rPr>
          <w:rFonts w:ascii="Cambria" w:hAnsi="Cambria"/>
          <w:b/>
          <w:color w:val="1A237E"/>
          <w:sz w:val="30"/>
        </w:rPr>
        <w:t>Price Summary</w:t>
      </w:r>
    </w:p>
    <w:p>
      <w:r>
        <w:rPr>
          <w:rFonts w:ascii="Cambria" w:hAnsi="Cambria"/>
          <w:b/>
          <w:color w:val="000000"/>
          <w:sz w:val="22"/>
        </w:rPr>
        <w:t xml:space="preserve">• Subtotal price: </w:t>
      </w:r>
      <w:r>
        <w:rPr>
          <w:rFonts w:ascii="Cambria" w:hAnsi="Cambria"/>
          <w:b w:val="0"/>
          <w:color w:val="000000"/>
          <w:sz w:val="22"/>
        </w:rPr>
        <w:t>30.77</w:t>
      </w:r>
    </w:p>
    <w:p>
      <w:r>
        <w:rPr>
          <w:rFonts w:ascii="Cambria" w:hAnsi="Cambria"/>
          <w:b/>
          <w:color w:val="000000"/>
          <w:sz w:val="22"/>
        </w:rPr>
        <w:t xml:space="preserve">• General expenses: </w:t>
      </w:r>
      <w:r>
        <w:rPr>
          <w:rFonts w:ascii="Cambria" w:hAnsi="Cambria"/>
          <w:b w:val="0"/>
          <w:color w:val="000000"/>
          <w:sz w:val="22"/>
        </w:rPr>
        <w:t>3.077</w:t>
      </w:r>
    </w:p>
    <w:p>
      <w:r>
        <w:rPr>
          <w:rFonts w:ascii="Cambria" w:hAnsi="Cambria"/>
          <w:b/>
          <w:color w:val="000000"/>
          <w:sz w:val="22"/>
        </w:rPr>
        <w:t xml:space="preserve">• Company profit: </w:t>
      </w:r>
      <w:r>
        <w:rPr>
          <w:rFonts w:ascii="Cambria" w:hAnsi="Cambria"/>
          <w:b w:val="0"/>
          <w:color w:val="000000"/>
          <w:sz w:val="22"/>
        </w:rPr>
        <w:t>7.6925</w:t>
      </w:r>
    </w:p>
    <w:p>
      <w:r>
        <w:rPr>
          <w:rFonts w:ascii="Cambria" w:hAnsi="Cambria"/>
          <w:b/>
          <w:color w:val="000000"/>
          <w:sz w:val="22"/>
        </w:rPr>
        <w:t xml:space="preserve">• Rounding: </w:t>
      </w:r>
      <w:r>
        <w:rPr>
          <w:rFonts w:ascii="Cambria" w:hAnsi="Cambria"/>
          <w:b w:val="0"/>
          <w:color w:val="000000"/>
          <w:sz w:val="22"/>
        </w:rPr>
        <w:t>0</w:t>
      </w:r>
    </w:p>
    <w:p>
      <w:r>
        <w:rPr>
          <w:rFonts w:ascii="Cambria" w:hAnsi="Cambria"/>
          <w:b/>
          <w:color w:val="000000"/>
          <w:sz w:val="22"/>
        </w:rPr>
        <w:t xml:space="preserve">• Total costs: </w:t>
      </w:r>
      <w:r>
        <w:rPr>
          <w:rFonts w:ascii="Cambria" w:hAnsi="Cambria"/>
          <w:b w:val="0"/>
          <w:color w:val="000000"/>
          <w:sz w:val="22"/>
        </w:rPr>
        <w:t>41.5395</w:t>
      </w:r>
    </w:p>
    <w:p>
      <w:r>
        <w:rPr>
          <w:rFonts w:ascii="Cambria" w:hAnsi="Cambria"/>
          <w:b/>
          <w:color w:val="000000"/>
          <w:sz w:val="22"/>
        </w:rPr>
        <w:t xml:space="preserve">• Application price: </w:t>
      </w:r>
      <w:r>
        <w:rPr>
          <w:rFonts w:ascii="Cambria" w:hAnsi="Cambria"/>
          <w:b w:val="0"/>
          <w:color w:val="000000"/>
          <w:sz w:val="22"/>
        </w:rPr>
        <w:t>41.5395</w:t>
      </w:r>
    </w:p>
    <w:p>
      <w:pPr>
        <w:pStyle w:val="Heading2"/>
        <w:spacing w:after="240"/>
      </w:pPr>
      <w:r>
        <w:rPr>
          <w:rFonts w:ascii="Cambria" w:hAnsi="Cambria"/>
          <w:b/>
          <w:color w:val="1A237E"/>
          <w:sz w:val="30"/>
        </w:rPr>
        <w:t>Total Company Costs</w:t>
      </w:r>
    </w:p>
    <w:p>
      <w:r>
        <w:rPr>
          <w:rFonts w:ascii="Cambria" w:hAnsi="Cambria"/>
          <w:b/>
          <w:color w:val="000000"/>
          <w:sz w:val="22"/>
        </w:rPr>
        <w:t xml:space="preserve">• Subtotal: </w:t>
      </w:r>
      <w:r>
        <w:rPr>
          <w:rFonts w:ascii="Cambria" w:hAnsi="Cambria"/>
          <w:b w:val="0"/>
          <w:color w:val="000000"/>
          <w:sz w:val="22"/>
        </w:rPr>
        <w:t>30.77</w:t>
      </w:r>
    </w:p>
    <w:p>
      <w:r>
        <w:rPr>
          <w:rFonts w:ascii="Cambria" w:hAnsi="Cambria"/>
          <w:b/>
          <w:color w:val="000000"/>
          <w:sz w:val="22"/>
        </w:rPr>
        <w:t xml:space="preserve">• Global costs: </w:t>
      </w:r>
      <w:r>
        <w:rPr>
          <w:rFonts w:ascii="Cambria" w:hAnsi="Cambria"/>
          <w:b w:val="0"/>
          <w:color w:val="000000"/>
          <w:sz w:val="22"/>
        </w:rPr>
        <w:t>3.077</w:t>
      </w:r>
    </w:p>
    <w:p>
      <w:r>
        <w:rPr>
          <w:rFonts w:ascii="Cambria" w:hAnsi="Cambria"/>
          <w:b/>
          <w:color w:val="000000"/>
          <w:sz w:val="22"/>
        </w:rPr>
        <w:t xml:space="preserve">• Markup: </w:t>
      </w:r>
      <w:r>
        <w:rPr>
          <w:rFonts w:ascii="Cambria" w:hAnsi="Cambria"/>
          <w:b w:val="0"/>
          <w:color w:val="000000"/>
          <w:sz w:val="22"/>
        </w:rPr>
        <w:t>7.6925</w:t>
      </w:r>
    </w:p>
    <w:p>
      <w:r>
        <w:rPr>
          <w:rFonts w:ascii="Cambria" w:hAnsi="Cambria"/>
          <w:b/>
          <w:color w:val="000000"/>
          <w:sz w:val="22"/>
        </w:rPr>
        <w:t xml:space="preserve">• Total: </w:t>
      </w:r>
      <w:r>
        <w:rPr>
          <w:rFonts w:ascii="Cambria" w:hAnsi="Cambria"/>
          <w:b w:val="0"/>
          <w:color w:val="000000"/>
          <w:sz w:val="22"/>
        </w:rPr>
        <w:t>41.5395</w:t>
      </w:r>
    </w:p>
    <w:p>
      <w:r>
        <w:rPr>
          <w:rFonts w:ascii="Cambria" w:hAnsi="Cambria"/>
          <w:b/>
          <w:color w:val="000000"/>
          <w:sz w:val="22"/>
        </w:rPr>
        <w:t xml:space="preserve">• Margin check: </w:t>
      </w:r>
      <w:r>
        <w:rPr>
          <w:rFonts w:ascii="Cambria" w:hAnsi="Cambria"/>
          <w:b w:val="0"/>
          <w:color w:val="000000"/>
          <w:sz w:val="22"/>
        </w:rPr>
        <w:t>7.6925</w:t>
      </w:r>
    </w:p>
    <w:p>
      <w:pPr>
        <w:pStyle w:val="Heading2"/>
        <w:spacing w:after="240"/>
      </w:pPr>
      <w:r>
        <w:rPr>
          <w:rFonts w:ascii="Cambria" w:hAnsi="Cambria"/>
          <w:b/>
          <w:color w:val="1A237E"/>
          <w:sz w:val="30"/>
        </w:rPr>
        <w:t>Risk Analysis</w:t>
      </w:r>
    </w:p>
    <w:p>
      <w:r>
        <w:rPr>
          <w:rFonts w:ascii="Cambria" w:hAnsi="Cambria"/>
          <w:b/>
          <w:color w:val="000000"/>
          <w:sz w:val="24"/>
        </w:rPr>
        <w:t xml:space="preserve">Potential risks: </w:t>
      </w:r>
      <w:r>
        <w:rPr>
          <w:rFonts w:ascii="Cambria" w:hAnsi="Cambria"/>
          <w:b w:val="0"/>
          <w:color w:val="000000"/>
          <w:sz w:val="24"/>
        </w:rPr>
        <w:t>Ritardi nei fornitori, condizioni meteorologiche avverse, problemi di sicurezza sul cantiere.</w:t>
      </w:r>
    </w:p>
    <w:p>
      <w:r>
        <w:rPr>
          <w:rFonts w:ascii="Cambria" w:hAnsi="Cambria"/>
          <w:b/>
          <w:color w:val="000000"/>
          <w:sz w:val="24"/>
        </w:rPr>
        <w:t xml:space="preserve">Cash flow risks: </w:t>
      </w:r>
      <w:r>
        <w:rPr>
          <w:rFonts w:ascii="Cambria" w:hAnsi="Cambria"/>
          <w:b w:val="0"/>
          <w:color w:val="000000"/>
          <w:sz w:val="24"/>
        </w:rPr>
        <w:t>Ritardi nei pagamenti da parte del cliente.</w:t>
      </w:r>
    </w:p>
    <w:p>
      <w:r>
        <w:rPr>
          <w:rFonts w:ascii="Cambria" w:hAnsi="Cambria"/>
          <w:b/>
          <w:color w:val="000000"/>
          <w:sz w:val="24"/>
        </w:rPr>
        <w:t xml:space="preserve">Simulation: </w:t>
      </w:r>
      <w:r>
        <w:rPr>
          <w:rFonts w:ascii="Cambria" w:hAnsi="Cambria"/>
          <w:b w:val="0"/>
          <w:color w:val="000000"/>
          <w:sz w:val="24"/>
        </w:rPr>
        <w:t>Simulazione di scenari di rischio per valutare l'impatto sul progetto.</w:t>
      </w:r>
    </w:p>
    <w:p>
      <w:r>
        <w:rPr>
          <w:rFonts w:ascii="Cambria" w:hAnsi="Cambria"/>
          <w:b/>
          <w:color w:val="000000"/>
          <w:sz w:val="24"/>
        </w:rPr>
        <w:t xml:space="preserve">Timeline simulation: </w:t>
      </w:r>
      <w:r>
        <w:rPr>
          <w:rFonts w:ascii="Cambria" w:hAnsi="Cambria"/>
          <w:b w:val="0"/>
          <w:color w:val="000000"/>
          <w:sz w:val="24"/>
        </w:rPr>
        <w:t>Simulazione del cronoprogramma per identificare potenziali ritardi.</w:t>
      </w:r>
    </w:p>
    <w:p>
      <w:pPr>
        <w:pStyle w:val="Heading2"/>
        <w:spacing w:after="240"/>
      </w:pPr>
      <w:r>
        <w:rPr>
          <w:rFonts w:ascii="Cambria" w:hAnsi="Cambria"/>
          <w:b/>
          <w:color w:val="1A237E"/>
          <w:sz w:val="30"/>
        </w:rPr>
        <w:t>Detailed Price Breakdown for area 1</w:t>
      </w:r>
    </w:p>
    <w:p>
      <w:pPr>
        <w:pStyle w:val="Heading3"/>
        <w:spacing w:after="240"/>
      </w:pPr>
      <w:r>
        <w:rPr>
          <w:rFonts w:ascii="Cambria" w:hAnsi="Cambria"/>
          <w:b/>
          <w:color w:val="1A237E"/>
          <w:sz w:val="30"/>
        </w:rPr>
        <w:t>Subarea: subarea 1</w:t>
      </w:r>
    </w:p>
    <w:tbl>
      <w:tblPr>
        <w:tblStyle w:val="TableGrid"/>
        <w:tblW w:type="auto" w:w="0"/>
        <w:tblLook w:firstColumn="1" w:firstRow="1" w:lastColumn="0" w:lastRow="0" w:noHBand="0" w:noVBand="1" w:val="04A0"/>
      </w:tblPr>
      <w:tblGrid>
        <w:gridCol w:w="675"/>
        <w:gridCol w:w="675"/>
        <w:gridCol w:w="675"/>
        <w:gridCol w:w="675"/>
        <w:gridCol w:w="675"/>
        <w:gridCol w:w="675"/>
        <w:gridCol w:w="675"/>
        <w:gridCol w:w="675"/>
        <w:gridCol w:w="675"/>
        <w:gridCol w:w="675"/>
        <w:gridCol w:w="675"/>
        <w:gridCol w:w="675"/>
        <w:gridCol w:w="675"/>
        <w:gridCol w:w="675"/>
        <w:gridCol w:w="675"/>
        <w:gridCol w:w="675"/>
      </w:tblGrid>
      <w:tr>
        <w:tc>
          <w:tcPr>
            <w:tcW w:type="dxa" w:w="675"/>
            <w:shd w:fill="17365c"/>
          </w:tcPr>
          <w:p>
            <w:pPr>
              <w:spacing w:line="360" w:lineRule="auto" w:before="120"/>
              <w:jc w:val="center"/>
            </w:pPr>
            <w:r>
              <w:rPr>
                <w:rFonts w:ascii="Cambria" w:hAnsi="Cambria"/>
                <w:b/>
                <w:color w:val="FFFFFF"/>
                <w:sz w:val="20"/>
              </w:rPr>
              <w:t>Subarea type</w:t>
            </w:r>
          </w:p>
        </w:tc>
        <w:tc>
          <w:tcPr>
            <w:tcW w:type="dxa" w:w="675"/>
            <w:shd w:fill="17365c"/>
          </w:tcPr>
          <w:p>
            <w:pPr>
              <w:spacing w:line="360" w:lineRule="auto" w:before="120"/>
              <w:jc w:val="center"/>
            </w:pPr>
            <w:r>
              <w:rPr>
                <w:rFonts w:ascii="Cambria" w:hAnsi="Cambria"/>
                <w:b/>
                <w:color w:val="FFFFFF"/>
                <w:sz w:val="20"/>
              </w:rPr>
              <w:t>Code</w:t>
            </w:r>
          </w:p>
        </w:tc>
        <w:tc>
          <w:tcPr>
            <w:tcW w:type="dxa" w:w="675"/>
            <w:shd w:fill="17365c"/>
          </w:tcPr>
          <w:p>
            <w:pPr>
              <w:spacing w:line="360" w:lineRule="auto" w:before="120"/>
              <w:jc w:val="center"/>
            </w:pPr>
            <w:r>
              <w:rPr>
                <w:rFonts w:ascii="Cambria" w:hAnsi="Cambria"/>
                <w:b/>
                <w:color w:val="FFFFFF"/>
                <w:sz w:val="20"/>
              </w:rPr>
              <w:t>Title</w:t>
            </w:r>
          </w:p>
        </w:tc>
        <w:tc>
          <w:tcPr>
            <w:tcW w:type="dxa" w:w="675"/>
            <w:shd w:fill="17365c"/>
          </w:tcPr>
          <w:p>
            <w:pPr>
              <w:spacing w:line="360" w:lineRule="auto" w:before="120"/>
              <w:jc w:val="center"/>
            </w:pPr>
            <w:r>
              <w:rPr>
                <w:rFonts w:ascii="Cambria" w:hAnsi="Cambria"/>
                <w:b/>
                <w:color w:val="FFFFFF"/>
                <w:sz w:val="20"/>
              </w:rPr>
              <w:t>Description</w:t>
            </w:r>
          </w:p>
        </w:tc>
        <w:tc>
          <w:tcPr>
            <w:tcW w:type="dxa" w:w="675"/>
            <w:shd w:fill="17365c"/>
          </w:tcPr>
          <w:p>
            <w:pPr>
              <w:spacing w:line="360" w:lineRule="auto" w:before="120"/>
              <w:jc w:val="center"/>
            </w:pPr>
            <w:r>
              <w:rPr>
                <w:rFonts w:ascii="Cambria" w:hAnsi="Cambria"/>
                <w:b/>
                <w:color w:val="FFFFFF"/>
                <w:sz w:val="20"/>
              </w:rPr>
              <w:t>Unit</w:t>
            </w:r>
          </w:p>
        </w:tc>
        <w:tc>
          <w:tcPr>
            <w:tcW w:type="dxa" w:w="675"/>
            <w:shd w:fill="17365c"/>
          </w:tcPr>
          <w:p>
            <w:pPr>
              <w:spacing w:line="360" w:lineRule="auto" w:before="120"/>
              <w:jc w:val="center"/>
            </w:pPr>
            <w:r>
              <w:rPr>
                <w:rFonts w:ascii="Cambria" w:hAnsi="Cambria"/>
                <w:b/>
                <w:color w:val="FFFFFF"/>
                <w:sz w:val="20"/>
              </w:rPr>
              <w:t>Quantity</w:t>
            </w:r>
          </w:p>
        </w:tc>
        <w:tc>
          <w:tcPr>
            <w:tcW w:type="dxa" w:w="675"/>
            <w:shd w:fill="17365c"/>
          </w:tcPr>
          <w:p>
            <w:pPr>
              <w:spacing w:line="360" w:lineRule="auto" w:before="120"/>
              <w:jc w:val="center"/>
            </w:pPr>
            <w:r>
              <w:rPr>
                <w:rFonts w:ascii="Cambria" w:hAnsi="Cambria"/>
                <w:b/>
                <w:color w:val="FFFFFF"/>
                <w:sz w:val="20"/>
              </w:rPr>
              <w:t>Unit price</w:t>
            </w:r>
          </w:p>
        </w:tc>
        <w:tc>
          <w:tcPr>
            <w:tcW w:type="dxa" w:w="675"/>
            <w:shd w:fill="17365c"/>
          </w:tcPr>
          <w:p>
            <w:pPr>
              <w:spacing w:line="360" w:lineRule="auto" w:before="120"/>
              <w:jc w:val="center"/>
            </w:pPr>
            <w:r>
              <w:rPr>
                <w:rFonts w:ascii="Cambria" w:hAnsi="Cambria"/>
                <w:b/>
                <w:color w:val="FFFFFF"/>
                <w:sz w:val="20"/>
              </w:rPr>
              <w:t>Total amount</w:t>
            </w:r>
          </w:p>
        </w:tc>
        <w:tc>
          <w:tcPr>
            <w:tcW w:type="dxa" w:w="675"/>
            <w:shd w:fill="17365c"/>
          </w:tcPr>
          <w:p>
            <w:pPr>
              <w:spacing w:line="360" w:lineRule="auto" w:before="120"/>
              <w:jc w:val="center"/>
            </w:pPr>
            <w:r>
              <w:rPr>
                <w:rFonts w:ascii="Cambria" w:hAnsi="Cambria"/>
                <w:b/>
                <w:color w:val="FFFFFF"/>
                <w:sz w:val="20"/>
              </w:rPr>
              <w:t>Contractors needed</w:t>
            </w:r>
          </w:p>
        </w:tc>
        <w:tc>
          <w:tcPr>
            <w:tcW w:type="dxa" w:w="675"/>
            <w:shd w:fill="17365c"/>
          </w:tcPr>
          <w:p>
            <w:pPr>
              <w:spacing w:line="360" w:lineRule="auto" w:before="120"/>
              <w:jc w:val="center"/>
            </w:pPr>
            <w:r>
              <w:rPr>
                <w:rFonts w:ascii="Cambria" w:hAnsi="Cambria"/>
                <w:b/>
                <w:color w:val="FFFFFF"/>
                <w:sz w:val="20"/>
              </w:rPr>
              <w:t>Subcontractors needed</w:t>
            </w:r>
          </w:p>
        </w:tc>
        <w:tc>
          <w:tcPr>
            <w:tcW w:type="dxa" w:w="675"/>
            <w:shd w:fill="17365c"/>
          </w:tcPr>
          <w:p>
            <w:pPr>
              <w:spacing w:line="360" w:lineRule="auto" w:before="120"/>
              <w:jc w:val="center"/>
            </w:pPr>
            <w:r>
              <w:rPr>
                <w:rFonts w:ascii="Cambria" w:hAnsi="Cambria"/>
                <w:b/>
                <w:color w:val="FFFFFF"/>
                <w:sz w:val="20"/>
              </w:rPr>
              <w:t>Roles</w:t>
            </w:r>
          </w:p>
        </w:tc>
        <w:tc>
          <w:tcPr>
            <w:tcW w:type="dxa" w:w="675"/>
            <w:shd w:fill="17365c"/>
          </w:tcPr>
          <w:p>
            <w:pPr>
              <w:spacing w:line="360" w:lineRule="auto" w:before="120"/>
              <w:jc w:val="center"/>
            </w:pPr>
            <w:r>
              <w:rPr>
                <w:rFonts w:ascii="Cambria" w:hAnsi="Cambria"/>
                <w:b/>
                <w:color w:val="FFFFFF"/>
                <w:sz w:val="20"/>
              </w:rPr>
              <w:t>Number of workers and type</w:t>
            </w:r>
          </w:p>
        </w:tc>
        <w:tc>
          <w:tcPr>
            <w:tcW w:type="dxa" w:w="675"/>
            <w:shd w:fill="17365c"/>
          </w:tcPr>
          <w:p>
            <w:pPr>
              <w:spacing w:line="360" w:lineRule="auto" w:before="120"/>
              <w:jc w:val="center"/>
            </w:pPr>
            <w:r>
              <w:rPr>
                <w:rFonts w:ascii="Cambria" w:hAnsi="Cambria"/>
                <w:b/>
                <w:color w:val="FFFFFF"/>
                <w:sz w:val="20"/>
              </w:rPr>
              <w:t>Total hours</w:t>
            </w:r>
          </w:p>
        </w:tc>
        <w:tc>
          <w:tcPr>
            <w:tcW w:type="dxa" w:w="675"/>
            <w:shd w:fill="17365c"/>
          </w:tcPr>
          <w:p>
            <w:pPr>
              <w:spacing w:line="360" w:lineRule="auto" w:before="120"/>
              <w:jc w:val="center"/>
            </w:pPr>
            <w:r>
              <w:rPr>
                <w:rFonts w:ascii="Cambria" w:hAnsi="Cambria"/>
                <w:b/>
                <w:color w:val="FFFFFF"/>
                <w:sz w:val="20"/>
              </w:rPr>
              <w:t>Cost hour</w:t>
            </w:r>
          </w:p>
        </w:tc>
        <w:tc>
          <w:tcPr>
            <w:tcW w:type="dxa" w:w="675"/>
            <w:shd w:fill="17365c"/>
          </w:tcPr>
          <w:p>
            <w:pPr>
              <w:spacing w:line="360" w:lineRule="auto" w:before="120"/>
              <w:jc w:val="center"/>
            </w:pPr>
            <w:r>
              <w:rPr>
                <w:rFonts w:ascii="Cambria" w:hAnsi="Cambria"/>
                <w:b/>
                <w:color w:val="FFFFFF"/>
                <w:sz w:val="20"/>
              </w:rPr>
              <w:t>Total cost</w:t>
            </w:r>
          </w:p>
        </w:tc>
        <w:tc>
          <w:tcPr>
            <w:tcW w:type="dxa" w:w="675"/>
            <w:shd w:fill="17365c"/>
          </w:tcPr>
          <w:p>
            <w:pPr>
              <w:spacing w:line="360" w:lineRule="auto" w:before="120"/>
              <w:jc w:val="center"/>
            </w:pPr>
            <w:r>
              <w:rPr>
                <w:rFonts w:ascii="Cambria" w:hAnsi="Cambria"/>
                <w:b/>
                <w:color w:val="FFFFFF"/>
                <w:sz w:val="20"/>
              </w:rPr>
              <w:t>Safety courses requirements</w:t>
            </w:r>
          </w:p>
        </w:tc>
      </w:tr>
      <w:tr>
        <w:tc>
          <w:tcPr>
            <w:tcW w:type="dxa" w:w="675"/>
          </w:tcPr>
          <w:p>
            <w:pPr>
              <w:spacing w:line="360" w:lineRule="auto" w:before="120"/>
              <w:jc w:val="left"/>
            </w:pPr>
            <w:r>
              <w:rPr>
                <w:rFonts w:ascii="Cambria" w:hAnsi="Cambria"/>
                <w:b w:val="0"/>
                <w:color w:val="000000"/>
                <w:sz w:val="22"/>
              </w:rPr>
              <w:t>subarea 1</w:t>
            </w:r>
          </w:p>
        </w:tc>
        <w:tc>
          <w:tcPr>
            <w:tcW w:type="dxa" w:w="675"/>
          </w:tcPr>
          <w:p>
            <w:pPr>
              <w:spacing w:line="360" w:lineRule="auto" w:before="120"/>
              <w:jc w:val="left"/>
            </w:pPr>
            <w:r>
              <w:rPr>
                <w:rFonts w:ascii="Cambria" w:hAnsi="Cambria"/>
                <w:b w:val="0"/>
                <w:color w:val="000000"/>
                <w:sz w:val="22"/>
              </w:rPr>
              <w:t>B.62.04.0050.010</w:t>
            </w:r>
          </w:p>
        </w:tc>
        <w:tc>
          <w:tcPr>
            <w:tcW w:type="dxa" w:w="675"/>
          </w:tcPr>
          <w:p>
            <w:pPr>
              <w:spacing w:line="360" w:lineRule="auto" w:before="120"/>
              <w:jc w:val="left"/>
            </w:pPr>
            <w:r>
              <w:rPr>
                <w:rFonts w:ascii="Cambria" w:hAnsi="Cambria"/>
                <w:b w:val="0"/>
                <w:color w:val="000000"/>
                <w:sz w:val="22"/>
              </w:rPr>
              <w:t>REVISIONE DI APPARECCHIATURA apparecchio illuminante con due o piÃ¹ lampade cad. 1</w:t>
            </w:r>
          </w:p>
        </w:tc>
        <w:tc>
          <w:tcPr>
            <w:tcW w:type="dxa" w:w="675"/>
          </w:tcPr>
          <w:p>
            <w:pPr>
              <w:spacing w:line="360" w:lineRule="auto" w:before="120"/>
              <w:jc w:val="left"/>
            </w:pPr>
            <w:r>
              <w:rPr>
                <w:rFonts w:ascii="Cambria" w:hAnsi="Cambria"/>
                <w:b w:val="0"/>
                <w:color w:val="000000"/>
                <w:sz w:val="22"/>
              </w:rPr>
              <w:t>Revisione di apparecchiatura illuminante con due o piÃ¹ lampade.</w:t>
            </w:r>
          </w:p>
        </w:tc>
        <w:tc>
          <w:tcPr>
            <w:tcW w:type="dxa" w:w="675"/>
          </w:tcPr>
          <w:p>
            <w:pPr>
              <w:spacing w:line="360" w:lineRule="auto" w:before="120"/>
              <w:jc w:val="left"/>
            </w:pPr>
            <w:r>
              <w:rPr>
                <w:rFonts w:ascii="Cambria" w:hAnsi="Cambria"/>
                <w:b w:val="0"/>
                <w:color w:val="000000"/>
                <w:sz w:val="22"/>
              </w:rPr>
              <w:t>cad.</w:t>
            </w:r>
          </w:p>
        </w:tc>
        <w:tc>
          <w:tcPr>
            <w:tcW w:type="dxa" w:w="675"/>
          </w:tcPr>
          <w:p>
            <w:pPr>
              <w:spacing w:line="360" w:lineRule="auto" w:before="120"/>
              <w:jc w:val="left"/>
            </w:pPr>
            <w:r>
              <w:rPr>
                <w:rFonts w:ascii="Cambria" w:hAnsi="Cambria"/>
                <w:b w:val="0"/>
                <w:color w:val="000000"/>
                <w:sz w:val="22"/>
              </w:rPr>
              <w:t>1</w:t>
            </w:r>
          </w:p>
        </w:tc>
        <w:tc>
          <w:tcPr>
            <w:tcW w:type="dxa" w:w="675"/>
          </w:tcPr>
          <w:p>
            <w:pPr>
              <w:spacing w:line="360" w:lineRule="auto" w:before="120"/>
              <w:jc w:val="left"/>
            </w:pPr>
            <w:r>
              <w:rPr>
                <w:rFonts w:ascii="Cambria" w:hAnsi="Cambria"/>
                <w:b w:val="0"/>
                <w:color w:val="000000"/>
                <w:sz w:val="22"/>
              </w:rPr>
              <w:t>0</w:t>
            </w:r>
          </w:p>
        </w:tc>
        <w:tc>
          <w:tcPr>
            <w:tcW w:type="dxa" w:w="675"/>
          </w:tcPr>
          <w:p>
            <w:pPr>
              <w:spacing w:line="360" w:lineRule="auto" w:before="120"/>
              <w:jc w:val="left"/>
            </w:pPr>
            <w:r>
              <w:rPr>
                <w:rFonts w:ascii="Arial" w:hAnsi="Arial"/>
                <w:b/>
                <w:color w:val="000000"/>
                <w:sz w:val="20"/>
              </w:rPr>
              <w:t>0</w:t>
            </w:r>
          </w:p>
        </w:tc>
        <w:tc>
          <w:tcPr>
            <w:tcW w:type="dxa" w:w="675"/>
          </w:tcPr>
          <w:p>
            <w:pPr>
              <w:spacing w:line="360" w:lineRule="auto" w:before="120"/>
              <w:jc w:val="left"/>
            </w:pPr>
            <w:r>
              <w:rPr>
                <w:rFonts w:ascii="Cambria" w:hAnsi="Cambria"/>
                <w:b w:val="0"/>
                <w:color w:val="000000"/>
                <w:sz w:val="22"/>
              </w:rPr>
              <w:t>No</w:t>
            </w:r>
          </w:p>
        </w:tc>
        <w:tc>
          <w:tcPr>
            <w:tcW w:type="dxa" w:w="675"/>
          </w:tcPr>
          <w:p>
            <w:pPr>
              <w:spacing w:line="360" w:lineRule="auto" w:before="120"/>
              <w:jc w:val="left"/>
            </w:pPr>
            <w:r>
              <w:rPr>
                <w:rFonts w:ascii="Cambria" w:hAnsi="Cambria"/>
                <w:b w:val="0"/>
                <w:color w:val="000000"/>
                <w:sz w:val="22"/>
              </w:rPr>
              <w:t>No</w:t>
            </w:r>
          </w:p>
        </w:tc>
        <w:tc>
          <w:tcPr>
            <w:tcW w:type="dxa" w:w="675"/>
          </w:tcPr>
          <w:p>
            <w:pPr>
              <w:spacing w:line="360" w:lineRule="auto" w:before="120"/>
              <w:jc w:val="left"/>
            </w:pPr>
            <w:r>
              <w:rPr>
                <w:rFonts w:ascii="Cambria" w:hAnsi="Cambria"/>
                <w:b w:val="0"/>
                <w:color w:val="000000"/>
                <w:sz w:val="22"/>
              </w:rPr>
              <w:t>Operaio di 3Â°</w:t>
            </w:r>
          </w:p>
        </w:tc>
        <w:tc>
          <w:tcPr>
            <w:tcW w:type="dxa" w:w="675"/>
          </w:tcPr>
          <w:p>
            <w:pPr>
              <w:spacing w:line="360" w:lineRule="auto" w:before="120"/>
              <w:jc w:val="left"/>
            </w:pPr>
            <w:r>
              <w:rPr>
                <w:rFonts w:ascii="Cambria" w:hAnsi="Cambria"/>
                <w:b w:val="0"/>
                <w:color w:val="000000"/>
                <w:sz w:val="22"/>
              </w:rPr>
              <w:t>1 Operaio di 3Â° / 1.25 hours</w:t>
            </w:r>
          </w:p>
        </w:tc>
        <w:tc>
          <w:tcPr>
            <w:tcW w:type="dxa" w:w="675"/>
          </w:tcPr>
          <w:p>
            <w:pPr>
              <w:spacing w:line="360" w:lineRule="auto" w:before="120"/>
              <w:jc w:val="left"/>
            </w:pPr>
            <w:r>
              <w:rPr>
                <w:rFonts w:ascii="Cambria" w:hAnsi="Cambria"/>
                <w:b w:val="0"/>
                <w:color w:val="000000"/>
                <w:sz w:val="22"/>
              </w:rPr>
              <w:t>1.25</w:t>
            </w:r>
          </w:p>
        </w:tc>
        <w:tc>
          <w:tcPr>
            <w:tcW w:type="dxa" w:w="675"/>
          </w:tcPr>
          <w:p>
            <w:pPr>
              <w:spacing w:line="360" w:lineRule="auto" w:before="120"/>
              <w:jc w:val="left"/>
            </w:pPr>
            <w:r>
              <w:rPr>
                <w:rFonts w:ascii="Cambria" w:hAnsi="Cambria"/>
                <w:b w:val="0"/>
                <w:color w:val="000000"/>
                <w:sz w:val="22"/>
              </w:rPr>
              <w:t>30.77</w:t>
            </w:r>
          </w:p>
        </w:tc>
        <w:tc>
          <w:tcPr>
            <w:tcW w:type="dxa" w:w="675"/>
          </w:tcPr>
          <w:p>
            <w:pPr>
              <w:spacing w:line="360" w:lineRule="auto" w:before="120"/>
              <w:jc w:val="left"/>
            </w:pPr>
            <w:r>
              <w:rPr>
                <w:rFonts w:ascii="Arial" w:hAnsi="Arial"/>
                <w:b/>
                <w:color w:val="000000"/>
                <w:sz w:val="20"/>
              </w:rPr>
              <w:t>38.463</w:t>
            </w:r>
          </w:p>
        </w:tc>
        <w:tc>
          <w:tcPr>
            <w:tcW w:type="dxa" w:w="675"/>
          </w:tcPr>
          <w:p>
            <w:pPr>
              <w:spacing w:line="360" w:lineRule="auto" w:before="120"/>
              <w:jc w:val="left"/>
            </w:pPr>
            <w:r>
              <w:rPr>
                <w:rFonts w:ascii="Cambria" w:hAnsi="Cambria"/>
                <w:b w:val="0"/>
                <w:color w:val="000000"/>
                <w:sz w:val="22"/>
              </w:rPr>
            </w:r>
          </w:p>
        </w:tc>
      </w:tr>
    </w:tbl>
    <w:p>
      <w:pPr>
        <w:pStyle w:val="Heading2"/>
        <w:spacing w:after="240"/>
      </w:pPr>
      <w:r>
        <w:rPr>
          <w:rFonts w:ascii="Cambria" w:hAnsi="Cambria"/>
          <w:b/>
          <w:color w:val="1A237E"/>
          <w:sz w:val="30"/>
        </w:rPr>
        <w:t>Personnel</w:t>
      </w:r>
    </w:p>
    <w:p>
      <w:pPr>
        <w:pStyle w:val="Heading3"/>
        <w:spacing w:after="240"/>
      </w:pPr>
      <w:r>
        <w:rPr>
          <w:rFonts w:ascii="Cambria" w:hAnsi="Cambria"/>
          <w:b/>
          <w:color w:val="1A237E"/>
          <w:sz w:val="30"/>
        </w:rPr>
      </w:r>
    </w:p>
    <w:tbl>
      <w:tblPr>
        <w:tblStyle w:val="TableGrid"/>
        <w:tblW w:type="auto" w:w="0"/>
        <w:tblLook w:firstColumn="1" w:firstRow="1" w:lastColumn="0" w:lastRow="0" w:noHBand="0" w:noVBand="1" w:val="04A0"/>
      </w:tblPr>
      <w:tblGrid>
        <w:gridCol w:w="3600"/>
        <w:gridCol w:w="3600"/>
        <w:gridCol w:w="3600"/>
      </w:tblGrid>
      <w:tr>
        <w:tc>
          <w:tcPr>
            <w:tcW w:type="dxa" w:w="3600"/>
            <w:shd w:fill="17365c"/>
          </w:tcPr>
          <w:p>
            <w:pPr>
              <w:spacing w:line="360" w:lineRule="auto" w:before="120"/>
              <w:jc w:val="center"/>
            </w:pPr>
            <w:r>
              <w:rPr>
                <w:rFonts w:ascii="Cambria" w:hAnsi="Cambria"/>
                <w:b/>
                <w:color w:val="FFFFFF"/>
                <w:sz w:val="20"/>
              </w:rPr>
              <w:t>Role</w:t>
            </w:r>
          </w:p>
        </w:tc>
        <w:tc>
          <w:tcPr>
            <w:tcW w:type="dxa" w:w="3600"/>
            <w:shd w:fill="17365c"/>
          </w:tcPr>
          <w:p>
            <w:pPr>
              <w:spacing w:line="360" w:lineRule="auto" w:before="120"/>
              <w:jc w:val="center"/>
            </w:pPr>
            <w:r>
              <w:rPr>
                <w:rFonts w:ascii="Cambria" w:hAnsi="Cambria"/>
                <w:b/>
                <w:color w:val="FFFFFF"/>
                <w:sz w:val="20"/>
              </w:rPr>
              <w:t>Count</w:t>
            </w:r>
          </w:p>
        </w:tc>
        <w:tc>
          <w:tcPr>
            <w:tcW w:type="dxa" w:w="3600"/>
            <w:shd w:fill="17365c"/>
          </w:tcPr>
          <w:p>
            <w:pPr>
              <w:spacing w:line="360" w:lineRule="auto" w:before="120"/>
              <w:jc w:val="center"/>
            </w:pPr>
            <w:r>
              <w:rPr>
                <w:rFonts w:ascii="Cambria" w:hAnsi="Cambria"/>
                <w:b/>
                <w:color w:val="FFFFFF"/>
                <w:sz w:val="20"/>
              </w:rPr>
              <w:t>Duration</w:t>
            </w:r>
          </w:p>
        </w:tc>
      </w:tr>
      <w:tr>
        <w:tc>
          <w:tcPr>
            <w:tcW w:type="dxa" w:w="3600"/>
          </w:tcPr>
          <w:p>
            <w:pPr>
              <w:spacing w:line="360" w:lineRule="auto" w:before="120"/>
              <w:jc w:val="left"/>
            </w:pPr>
            <w:r>
              <w:rPr>
                <w:rFonts w:ascii="Cambria" w:hAnsi="Cambria"/>
                <w:b w:val="0"/>
                <w:color w:val="000000"/>
                <w:sz w:val="22"/>
              </w:rPr>
              <w:t>Operaio di 3Â°</w:t>
            </w:r>
          </w:p>
        </w:tc>
        <w:tc>
          <w:tcPr>
            <w:tcW w:type="dxa" w:w="3600"/>
          </w:tcPr>
          <w:p>
            <w:pPr>
              <w:spacing w:line="360" w:lineRule="auto" w:before="120"/>
              <w:jc w:val="left"/>
            </w:pPr>
            <w:r>
              <w:rPr>
                <w:rFonts w:ascii="Cambria" w:hAnsi="Cambria"/>
                <w:b w:val="0"/>
                <w:color w:val="000000"/>
                <w:sz w:val="22"/>
              </w:rPr>
              <w:t>1</w:t>
            </w:r>
          </w:p>
        </w:tc>
        <w:tc>
          <w:tcPr>
            <w:tcW w:type="dxa" w:w="3600"/>
          </w:tcPr>
          <w:p>
            <w:pPr>
              <w:spacing w:line="360" w:lineRule="auto" w:before="120"/>
              <w:jc w:val="left"/>
            </w:pPr>
            <w:r>
              <w:rPr>
                <w:rFonts w:ascii="Cambria" w:hAnsi="Cambria"/>
                <w:b w:val="0"/>
                <w:color w:val="000000"/>
                <w:sz w:val="22"/>
              </w:rPr>
              <w:t>1.25 hours</w:t>
            </w:r>
          </w:p>
        </w:tc>
      </w:tr>
    </w:tbl>
    <w:p>
      <w:pPr>
        <w:pStyle w:val="Heading2"/>
        <w:spacing w:after="240"/>
      </w:pPr>
      <w:r>
        <w:rPr>
          <w:rFonts w:ascii="Cambria" w:hAnsi="Cambria"/>
          <w:b/>
          <w:color w:val="1A237E"/>
          <w:sz w:val="30"/>
        </w:rPr>
        <w:t>Project Schedule</w:t>
      </w:r>
    </w:p>
    <w:p>
      <w:pPr>
        <w:pStyle w:val="Heading3"/>
        <w:spacing w:after="240"/>
      </w:pPr>
      <w:r>
        <w:rPr>
          <w:rFonts w:ascii="Cambria" w:hAnsi="Cambria"/>
          <w:b/>
          <w:color w:val="1A237E"/>
          <w:sz w:val="30"/>
        </w:rPr>
      </w:r>
    </w:p>
    <w:tbl>
      <w:tblPr>
        <w:tblStyle w:val="TableGrid"/>
        <w:tblW w:type="auto" w:w="0"/>
        <w:tblLook w:firstColumn="1" w:firstRow="1" w:lastColumn="0" w:lastRow="0" w:noHBand="0" w:noVBand="1" w:val="04A0"/>
      </w:tblPr>
      <w:tblGrid>
        <w:gridCol w:w="2700"/>
        <w:gridCol w:w="2700"/>
        <w:gridCol w:w="2700"/>
        <w:gridCol w:w="2700"/>
      </w:tblGrid>
      <w:tr>
        <w:tc>
          <w:tcPr>
            <w:tcW w:type="dxa" w:w="2700"/>
            <w:shd w:fill="17365c"/>
          </w:tcPr>
          <w:p>
            <w:pPr>
              <w:spacing w:line="360" w:lineRule="auto" w:before="120"/>
              <w:jc w:val="center"/>
            </w:pPr>
            <w:r>
              <w:rPr>
                <w:rFonts w:ascii="Cambria" w:hAnsi="Cambria"/>
                <w:b/>
                <w:color w:val="FFFFFF"/>
                <w:sz w:val="20"/>
              </w:rPr>
              <w:t>Activity</w:t>
            </w:r>
          </w:p>
        </w:tc>
        <w:tc>
          <w:tcPr>
            <w:tcW w:type="dxa" w:w="2700"/>
            <w:shd w:fill="17365c"/>
          </w:tcPr>
          <w:p>
            <w:pPr>
              <w:spacing w:line="360" w:lineRule="auto" w:before="120"/>
              <w:jc w:val="center"/>
            </w:pPr>
            <w:r>
              <w:rPr>
                <w:rFonts w:ascii="Cambria" w:hAnsi="Cambria"/>
                <w:b/>
                <w:color w:val="FFFFFF"/>
                <w:sz w:val="20"/>
              </w:rPr>
              <w:t>Starting</w:t>
            </w:r>
          </w:p>
        </w:tc>
        <w:tc>
          <w:tcPr>
            <w:tcW w:type="dxa" w:w="2700"/>
            <w:shd w:fill="17365c"/>
          </w:tcPr>
          <w:p>
            <w:pPr>
              <w:spacing w:line="360" w:lineRule="auto" w:before="120"/>
              <w:jc w:val="center"/>
            </w:pPr>
            <w:r>
              <w:rPr>
                <w:rFonts w:ascii="Cambria" w:hAnsi="Cambria"/>
                <w:b/>
                <w:color w:val="FFFFFF"/>
                <w:sz w:val="20"/>
              </w:rPr>
              <w:t>Finishing</w:t>
            </w:r>
          </w:p>
        </w:tc>
        <w:tc>
          <w:tcPr>
            <w:tcW w:type="dxa" w:w="2700"/>
            <w:shd w:fill="17365c"/>
          </w:tcPr>
          <w:p>
            <w:pPr>
              <w:spacing w:line="360" w:lineRule="auto" w:before="120"/>
              <w:jc w:val="center"/>
            </w:pPr>
            <w:r>
              <w:rPr>
                <w:rFonts w:ascii="Cambria" w:hAnsi="Cambria"/>
                <w:b/>
                <w:color w:val="FFFFFF"/>
                <w:sz w:val="20"/>
              </w:rPr>
              <w:t>Personnel</w:t>
            </w:r>
          </w:p>
        </w:tc>
      </w:tr>
      <w:tr>
        <w:tc>
          <w:tcPr>
            <w:tcW w:type="dxa" w:w="2700"/>
          </w:tcPr>
          <w:p>
            <w:pPr>
              <w:spacing w:line="360" w:lineRule="auto" w:before="120"/>
              <w:jc w:val="left"/>
            </w:pPr>
            <w:r>
              <w:rPr>
                <w:rFonts w:ascii="Cambria" w:hAnsi="Cambria"/>
                <w:b w:val="0"/>
                <w:color w:val="000000"/>
                <w:sz w:val="22"/>
              </w:rPr>
              <w:t>Replace light bulb</w:t>
            </w:r>
          </w:p>
        </w:tc>
        <w:tc>
          <w:tcPr>
            <w:tcW w:type="dxa" w:w="2700"/>
          </w:tcPr>
          <w:p>
            <w:pPr>
              <w:spacing w:line="360" w:lineRule="auto" w:before="120"/>
              <w:jc w:val="left"/>
            </w:pPr>
            <w:r>
              <w:rPr>
                <w:rFonts w:ascii="Cambria" w:hAnsi="Cambria"/>
                <w:b w:val="0"/>
                <w:color w:val="000000"/>
                <w:sz w:val="22"/>
              </w:rPr>
              <w:t>1 days</w:t>
            </w:r>
          </w:p>
        </w:tc>
        <w:tc>
          <w:tcPr>
            <w:tcW w:type="dxa" w:w="2700"/>
          </w:tcPr>
          <w:p>
            <w:pPr>
              <w:spacing w:line="360" w:lineRule="auto" w:before="120"/>
              <w:jc w:val="left"/>
            </w:pPr>
            <w:r>
              <w:rPr>
                <w:rFonts w:ascii="Cambria" w:hAnsi="Cambria"/>
                <w:b w:val="0"/>
                <w:color w:val="000000"/>
                <w:sz w:val="22"/>
              </w:rPr>
              <w:t>1 days</w:t>
            </w:r>
          </w:p>
        </w:tc>
        <w:tc>
          <w:tcPr>
            <w:tcW w:type="dxa" w:w="2700"/>
          </w:tcPr>
          <w:p>
            <w:pPr>
              <w:spacing w:line="360" w:lineRule="auto" w:before="120"/>
              <w:jc w:val="left"/>
            </w:pPr>
            <w:r>
              <w:rPr>
                <w:rFonts w:ascii="Cambria" w:hAnsi="Cambria"/>
                <w:b w:val="0"/>
                <w:color w:val="000000"/>
                <w:sz w:val="22"/>
              </w:rPr>
              <w:t>Operaio di 3Â° (1.25 hours)</w:t>
            </w:r>
          </w:p>
        </w:tc>
      </w:tr>
    </w:tbl>
    <w:sectPr w:rsidR="00FC693F" w:rsidRPr="0006063C" w:rsidSect="00034616">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