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73755912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 w:firstLine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company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 w:firstLine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logo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 w:firstLine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address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 w:firstLine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{{ email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{{ region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{{ client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>{{ issued_by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 company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75"/>
        <w:gridCol w:w="3330"/>
        <w:gridCol w:w="1305"/>
        <w:gridCol w:w="1125"/>
        <w:gridCol w:w="1185"/>
        <w:gridCol w:w="1515"/>
        <w:tblGridChange w:id="0">
          <w:tblGrid>
            <w:gridCol w:w="1275"/>
            <w:gridCol w:w="3330"/>
            <w:gridCol w:w="1305"/>
            <w:gridCol w:w="1125"/>
            <w:gridCol w:w="1185"/>
            <w:gridCol w:w="151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TARIFFA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3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Stima Tempi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4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Squadra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item in items %}{% if item.title %}{{ item.code }}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{{ item.title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item.quantity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item.estimated_time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item.people }}, {{ item.training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item.total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C">
            <w:pPr>
              <w:spacing w:before="7" w:lineRule="auto"/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TARIFFA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D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Lavoro / TARIFFA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E">
            <w:pPr>
              <w:spacing w:before="7" w:lineRule="auto"/>
              <w:ind w:left="12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F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20">
            <w:pPr>
              <w:spacing w:before="7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Formula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21">
            <w:pPr>
              <w:spacing w:before="7" w:line="276" w:lineRule="auto"/>
              <w:ind w:left="110" w:right="24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res in item.resources %}{% if res.description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res.code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res.description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res.quantity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res.price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res.formula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res.total }}  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8237304687501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3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  <w:tab/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price_total_gross }} + IVA {{ tax }} = {{ price_total_net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66kVY784yQtPtzQUlyAib3ORZw==">CgMxLjAaHwoBMBIaChgICVIUChJ0YWJsZS5tdnk1N2VibzdtdXoyDmgub2UxOTZnNWU4dzF0Mg5oLjdxMTA1aTQ1eTEyMDIOaC5ocXhvYnc3ZTE2YXUyDmguMzU1aWtzY3ljMHZ6OAByITEtNWFEQWdiWHZQUm4wcDFSZ2xFZDgzY1dfVmxpN0xQcA==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