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Calibri" w:cs="Calibri" w:eastAsia="Calibri" w:hAnsi="Calibri"/>
          <w:b/>
          <w:bCs/>
          <w:color w:val="1F4D3C"/>
          <w:sz w:val="27"/>
          <w:szCs w:val="27"/>
        </w:rPr>
        <w:t xml:space="preserve">PRIEKŠLIKUMI PUBLISKO IEPIRKUMU DATU PIEEJAMĪBAS UZLABOŠANAI</w:t>
      </w:r>
    </w:p>
    <w:p>
      <w:pPr>
        <w:spacing w:after="30" w:line="288"/>
      </w:pPr>
      <w:r>
        <w:rPr>
          <w:rFonts w:ascii="Calibri" w:cs="Calibri" w:eastAsia="Calibri" w:hAnsi="Calibri"/>
          <w:b/>
          <w:bCs/>
          <w:sz w:val="21"/>
          <w:szCs w:val="21"/>
        </w:rPr>
        <w:t xml:space="preserve">Iesniedzējs: </w:t>
      </w:r>
      <w:r>
        <w:rPr>
          <w:rFonts w:ascii="Calibri" w:cs="Calibri" w:eastAsia="Calibri" w:hAnsi="Calibri"/>
          <w:sz w:val="21"/>
          <w:szCs w:val="21"/>
        </w:rPr>
        <w:t xml:space="preserve">Jānis Rupeiks, iepirkumurisks.lv</w:t>
      </w:r>
    </w:p>
    <w:p>
      <w:pPr>
        <w:spacing w:after="30" w:line="288"/>
      </w:pPr>
      <w:r>
        <w:rPr>
          <w:rFonts w:ascii="Calibri" w:cs="Calibri" w:eastAsia="Calibri" w:hAnsi="Calibri"/>
          <w:b/>
          <w:bCs/>
          <w:sz w:val="21"/>
          <w:szCs w:val="21"/>
        </w:rPr>
        <w:t xml:space="preserve">Adresāti: </w:t>
      </w:r>
      <w:r>
        <w:rPr>
          <w:rFonts w:ascii="Calibri" w:cs="Calibri" w:eastAsia="Calibri" w:hAnsi="Calibri"/>
          <w:sz w:val="21"/>
          <w:szCs w:val="21"/>
        </w:rPr>
        <w:t xml:space="preserve">Iepirkumu uzraudzības birojs; Finanšu ministrija</w:t>
      </w:r>
    </w:p>
    <w:p>
      <w:pPr>
        <w:spacing w:after="170" w:line="288"/>
      </w:pPr>
      <w:r>
        <w:rPr>
          <w:rFonts w:ascii="Calibri" w:cs="Calibri" w:eastAsia="Calibri" w:hAnsi="Calibri"/>
          <w:b/>
          <w:bCs/>
          <w:sz w:val="21"/>
          <w:szCs w:val="21"/>
        </w:rPr>
        <w:t xml:space="preserve">Datums: </w:t>
      </w:r>
      <w:r>
        <w:rPr>
          <w:rFonts w:ascii="Calibri" w:cs="Calibri" w:eastAsia="Calibri" w:hAnsi="Calibri"/>
          <w:sz w:val="21"/>
          <w:szCs w:val="21"/>
        </w:rPr>
        <w:t xml:space="preserve">2026. gada jūlijs</w:t>
      </w:r>
    </w:p>
    <w:p>
      <w:pPr>
        <w:pBdr>
          <w:bottom w:val="single" w:color="D8D0C2" w:sz="6"/>
        </w:pBdr>
        <w:spacing w:after="150"/>
      </w:pPr>
    </w:p>
    <w:p>
      <w:pPr>
        <w:pStyle w:val="Heading1"/>
        <w:spacing w:after="130" w:before="300"/>
      </w:pPr>
      <w:r>
        <w:rPr>
          <w:rFonts w:ascii="Calibri" w:cs="Calibri" w:eastAsia="Calibri" w:hAnsi="Calibri"/>
          <w:b/>
          <w:bCs/>
          <w:color w:val="1F4D3C"/>
          <w:sz w:val="26"/>
          <w:szCs w:val="26"/>
        </w:rPr>
        <w:t xml:space="preserve">1. Ievads</w:t>
      </w:r>
    </w:p>
    <w:p>
      <w:pPr>
        <w:spacing w:after="130" w:line="288"/>
      </w:pPr>
      <w:r>
        <w:rPr>
          <w:rFonts w:ascii="Calibri" w:cs="Calibri" w:eastAsia="Calibri" w:hAnsi="Calibri"/>
          <w:sz w:val="21"/>
          <w:szCs w:val="21"/>
        </w:rPr>
        <w:t xml:space="preserve">iepirkumurisks.lv ir neatkarīga vietne, kas analizē Latvijas publisko iepirkumu datus un norāda uz gadījumiem, kuros būtu vērts ieskatīties padziļināti. Vietne ir izveidota un tiek uzturēta par privātiem līdzekļiem, tā ir bez maksas, un tās metodika ir publiski pieejama vietnē.</w:t>
      </w:r>
    </w:p>
    <w:p>
      <w:pPr>
        <w:spacing w:after="130" w:line="288"/>
      </w:pPr>
      <w:r>
        <w:rPr>
          <w:rFonts w:ascii="Calibri" w:cs="Calibri" w:eastAsia="Calibri" w:hAnsi="Calibri"/>
          <w:sz w:val="21"/>
          <w:szCs w:val="21"/>
        </w:rPr>
        <w:t xml:space="preserve">Platformas pamatprincips: karodziņš ir statistiska pazīme, nevis pierādījums vai apsūdzība, un tas vietnē arī tā ir skaidrots. Pamatoti norādītas kļūdas tiek labotas nekavējoties, un pirms publikācijām, kas skar konkrētu iestādi, tā netiek pārsteigta.</w:t>
      </w:r>
    </w:p>
    <w:p>
      <w:pPr>
        <w:spacing w:after="130" w:line="288"/>
      </w:pPr>
      <w:r>
        <w:rPr>
          <w:rFonts w:ascii="Calibri" w:cs="Calibri" w:eastAsia="Calibri" w:hAnsi="Calibri"/>
          <w:sz w:val="21"/>
          <w:szCs w:val="21"/>
        </w:rPr>
        <w:t xml:space="preserve">Jāuzsver, ka šis darbs bija iespējams vienīgi tāpēc, ka Iepirkumu uzraudzības birojs kopš 2024. gada publicē e-veidlapu datus mašīnlasāmā formātā. Tāpēc dokuments nav sūdzība, bet gan priekšlikums turpināt jau iesākto virzienu.</w:t>
      </w:r>
    </w:p>
    <w:p>
      <w:pPr>
        <w:spacing w:after="130" w:line="288"/>
      </w:pPr>
      <w:r>
        <w:rPr>
          <w:rFonts w:ascii="Calibri" w:cs="Calibri" w:eastAsia="Calibri" w:hAnsi="Calibri"/>
          <w:b/>
          <w:bCs/>
          <w:sz w:val="21"/>
          <w:szCs w:val="21"/>
        </w:rPr>
        <w:t xml:space="preserve">Galvenais priekšlikums ir viens: </w:t>
      </w:r>
      <w:r>
        <w:rPr>
          <w:rFonts w:ascii="Calibri" w:cs="Calibri" w:eastAsia="Calibri" w:hAnsi="Calibri"/>
          <w:b/>
          <w:bCs/>
          <w:sz w:val="21"/>
          <w:szCs w:val="21"/>
        </w:rPr>
        <w:t xml:space="preserve">padarīt jau šobrīd publiski pieejamās pretendentu piedāvājumu cenas atkalizmantojamas mašīnlasāmā formātā. Runa nav par jaunas informācijas atklāšanu, bet vienīgi par tās formātu.</w:t>
      </w:r>
    </w:p>
    <w:p>
      <w:pPr>
        <w:spacing w:after="130" w:line="288"/>
      </w:pPr>
      <w:r>
        <w:rPr>
          <w:rFonts w:ascii="Calibri" w:cs="Calibri" w:eastAsia="Calibri" w:hAnsi="Calibri"/>
          <w:b/>
          <w:bCs/>
          <w:sz w:val="21"/>
          <w:szCs w:val="21"/>
        </w:rPr>
        <w:t xml:space="preserve">Analīzes pamats: </w:t>
      </w:r>
      <w:r>
        <w:rPr>
          <w:rFonts w:ascii="Calibri" w:cs="Calibri" w:eastAsia="Calibri" w:hAnsi="Calibri"/>
          <w:sz w:val="21"/>
          <w:szCs w:val="21"/>
        </w:rPr>
        <w:t xml:space="preserve">28 331 iepirkuma daļa, 843 pasūtītāji, piešķirto līgumu kopvērtība aptuveni 6,1 miljarda eiro; laika posms no 2025. gada 18. jūnija līdz 2026. gada 17. jūnijam.</w:t>
      </w:r>
    </w:p>
    <w:p>
      <w:pPr>
        <w:pStyle w:val="Heading1"/>
        <w:spacing w:after="130" w:before="300"/>
      </w:pPr>
      <w:r>
        <w:rPr>
          <w:rFonts w:ascii="Calibri" w:cs="Calibri" w:eastAsia="Calibri" w:hAnsi="Calibri"/>
          <w:b/>
          <w:bCs/>
          <w:color w:val="1F4D3C"/>
          <w:sz w:val="26"/>
          <w:szCs w:val="26"/>
        </w:rPr>
        <w:t xml:space="preserve">2. Būtiskākais trūkums: pretendentu piedāvājumu cenas nav atkalizmantojamas</w:t>
      </w:r>
    </w:p>
    <w:p>
      <w:pPr>
        <w:spacing w:after="130" w:line="288"/>
      </w:pPr>
      <w:r>
        <w:rPr>
          <w:rFonts w:ascii="Calibri" w:cs="Calibri" w:eastAsia="Calibri" w:hAnsi="Calibri"/>
          <w:sz w:val="21"/>
          <w:szCs w:val="21"/>
        </w:rPr>
        <w:t xml:space="preserve">Piedāvājumu atvēršanas sanāksmēs pretendentu kopējās piedāvājumu cenas tiek nosauktas, un tās ir atrodamas atvēršanas protokolos. Tātad informācija ir publiska. Taču tā nav pieejama strukturētā, mašīnlasāmā formātā un līdz ar to nav analizējama.</w:t>
      </w:r>
    </w:p>
    <w:p>
      <w:pPr>
        <w:spacing w:after="130" w:line="288"/>
      </w:pPr>
      <w:r>
        <w:rPr>
          <w:rFonts w:ascii="Calibri" w:cs="Calibri" w:eastAsia="Calibri" w:hAnsi="Calibri"/>
          <w:sz w:val="21"/>
          <w:szCs w:val="21"/>
        </w:rPr>
        <w:t xml:space="preserve">No publiskajiem avotiem apkopoti 91 612 dalības ieraksti (viens pretendents vienā iepirkuma daļā). </w:t>
      </w:r>
      <w:r>
        <w:rPr>
          <w:rFonts w:ascii="Calibri" w:cs="Calibri" w:eastAsia="Calibri" w:hAnsi="Calibri"/>
          <w:b/>
          <w:bCs/>
          <w:sz w:val="21"/>
          <w:szCs w:val="21"/>
        </w:rPr>
        <w:t xml:space="preserve">Nevienā no tiem nav pieejama piedāvātā cena strukturētā veidā.</w:t>
      </w:r>
      <w:r>
        <w:rPr>
          <w:rFonts w:ascii="Calibri" w:cs="Calibri" w:eastAsia="Calibri" w:hAnsi="Calibri"/>
          <w:sz w:val="21"/>
          <w:szCs w:val="21"/>
        </w:rPr>
        <w:t xml:space="preserve"> Proti, ir zināms, kurš pretendents piedalījās, taču nav zināms, par kādu summu.</w:t>
      </w:r>
    </w:p>
    <w:p>
      <w:pPr>
        <w:spacing w:after="130" w:line="288"/>
      </w:pPr>
      <w:r>
        <w:rPr>
          <w:rFonts w:ascii="Calibri" w:cs="Calibri" w:eastAsia="Calibri" w:hAnsi="Calibri"/>
          <w:sz w:val="21"/>
          <w:szCs w:val="21"/>
        </w:rPr>
        <w:t xml:space="preserve">Sekas ir atšķirīgas dažādām saskaņotas rīcības shēmām, un šeit jābūt precīzam:</w:t>
      </w:r>
    </w:p>
    <w:p>
      <w:pPr>
        <w:pStyle w:val="ListParagraph"/>
        <w:numPr>
          <w:ilvl w:val="0"/>
          <w:numId w:val="2"/>
        </w:numPr>
        <w:spacing w:after="80" w:line="288"/>
      </w:pPr>
      <w:r>
        <w:rPr>
          <w:rFonts w:ascii="Calibri" w:cs="Calibri" w:eastAsia="Calibri" w:hAnsi="Calibri"/>
          <w:b/>
          <w:bCs/>
          <w:sz w:val="21"/>
          <w:szCs w:val="21"/>
        </w:rPr>
        <w:t xml:space="preserve">Ko ar esošajiem datiem IR iespējams pārbaudīt: </w:t>
      </w:r>
      <w:r>
        <w:rPr>
          <w:rFonts w:ascii="Calibri" w:cs="Calibri" w:eastAsia="Calibri" w:hAnsi="Calibri"/>
          <w:sz w:val="21"/>
          <w:szCs w:val="21"/>
        </w:rPr>
        <w:t xml:space="preserve">shēmas, kas balstās uz dalībnieku identitātēm — piedāvājumu rotācija, kopīga dalība, strukturālas saiknes starp pretendentiem. Šīs pārbaudes vietnē jau tiek veiktas.</w:t>
      </w:r>
    </w:p>
    <w:p>
      <w:pPr>
        <w:pStyle w:val="ListParagraph"/>
        <w:numPr>
          <w:ilvl w:val="0"/>
          <w:numId w:val="2"/>
        </w:numPr>
        <w:spacing w:after="80" w:line="288"/>
      </w:pPr>
      <w:r>
        <w:rPr>
          <w:rFonts w:ascii="Calibri" w:cs="Calibri" w:eastAsia="Calibri" w:hAnsi="Calibri"/>
          <w:b/>
          <w:bCs/>
          <w:sz w:val="21"/>
          <w:szCs w:val="21"/>
        </w:rPr>
        <w:t xml:space="preserve">Ko NAV iespējams pārbaudīt principā: </w:t>
      </w:r>
      <w:r>
        <w:rPr>
          <w:rFonts w:ascii="Calibri" w:cs="Calibri" w:eastAsia="Calibri" w:hAnsi="Calibri"/>
          <w:sz w:val="21"/>
          <w:szCs w:val="21"/>
        </w:rPr>
        <w:t xml:space="preserve">visas cenu analīzē balstītās metodes. Bez cenām nav piemērojama neviena no tām.</w:t>
      </w:r>
    </w:p>
    <w:p>
      <w:pPr>
        <w:spacing w:after="130" w:line="288"/>
      </w:pPr>
      <w:r>
        <w:rPr>
          <w:rFonts w:ascii="Calibri" w:cs="Calibri" w:eastAsia="Calibri" w:hAnsi="Calibri"/>
          <w:sz w:val="21"/>
          <w:szCs w:val="21"/>
        </w:rPr>
        <w:t xml:space="preserve">Pēdējā grupā ietilpst tieši tās pazīmes, kuras sabiedrībai izmaksā visdārgāk:</w:t>
      </w:r>
    </w:p>
    <w:p>
      <w:pPr>
        <w:pStyle w:val="ListParagraph"/>
        <w:numPr>
          <w:ilvl w:val="0"/>
          <w:numId w:val="2"/>
        </w:numPr>
        <w:spacing w:after="80" w:line="288"/>
      </w:pPr>
      <w:r>
        <w:rPr>
          <w:rFonts w:ascii="Calibri" w:cs="Calibri" w:eastAsia="Calibri" w:hAnsi="Calibri"/>
          <w:b/>
          <w:bCs/>
          <w:sz w:val="21"/>
          <w:szCs w:val="21"/>
        </w:rPr>
        <w:t xml:space="preserve">Seguma (jeb aizsega) piedāvājumi. </w:t>
      </w:r>
      <w:r>
        <w:rPr>
          <w:rFonts w:ascii="Calibri" w:cs="Calibri" w:eastAsia="Calibri" w:hAnsi="Calibri"/>
          <w:sz w:val="21"/>
          <w:szCs w:val="21"/>
        </w:rPr>
        <w:t xml:space="preserve">Pretendenti, kuriem nav paredzēts uzvarēt, apzināti piedāvā augstāku cenu, radot konkurences ilūziju. Esošajos datos šāds iepirkums neatšķiras no godīga konkursa ar trim pretendentiem.</w:t>
      </w:r>
    </w:p>
    <w:p>
      <w:pPr>
        <w:pStyle w:val="ListParagraph"/>
        <w:numPr>
          <w:ilvl w:val="0"/>
          <w:numId w:val="2"/>
        </w:numPr>
        <w:spacing w:after="80" w:line="288"/>
      </w:pPr>
      <w:r>
        <w:rPr>
          <w:rFonts w:ascii="Calibri" w:cs="Calibri" w:eastAsia="Calibri" w:hAnsi="Calibri"/>
          <w:b/>
          <w:bCs/>
          <w:sz w:val="21"/>
          <w:szCs w:val="21"/>
        </w:rPr>
        <w:t xml:space="preserve">Cenu regularitāte. </w:t>
      </w:r>
      <w:r>
        <w:rPr>
          <w:rFonts w:ascii="Calibri" w:cs="Calibri" w:eastAsia="Calibri" w:hAnsi="Calibri"/>
          <w:sz w:val="21"/>
          <w:szCs w:val="21"/>
        </w:rPr>
        <w:t xml:space="preserve">Piedāvājumi izkārtoti neparasti vienmērīgi, piemēram, ar vienādu soli.</w:t>
      </w:r>
    </w:p>
    <w:p>
      <w:pPr>
        <w:pStyle w:val="ListParagraph"/>
        <w:numPr>
          <w:ilvl w:val="0"/>
          <w:numId w:val="2"/>
        </w:numPr>
        <w:spacing w:after="80" w:line="288"/>
      </w:pPr>
      <w:r>
        <w:rPr>
          <w:rFonts w:ascii="Calibri" w:cs="Calibri" w:eastAsia="Calibri" w:hAnsi="Calibri"/>
          <w:b/>
          <w:bCs/>
          <w:sz w:val="21"/>
          <w:szCs w:val="21"/>
        </w:rPr>
        <w:t xml:space="preserve">Nemainīga zaudēšanas starpība. </w:t>
      </w:r>
      <w:r>
        <w:rPr>
          <w:rFonts w:ascii="Calibri" w:cs="Calibri" w:eastAsia="Calibri" w:hAnsi="Calibri"/>
          <w:sz w:val="21"/>
          <w:szCs w:val="21"/>
        </w:rPr>
        <w:t xml:space="preserve">Viens un tas pats pretendents konsekventi zaudē ar līdzīgu atstarpi.</w:t>
      </w:r>
    </w:p>
    <w:p>
      <w:pPr>
        <w:pStyle w:val="ListParagraph"/>
        <w:numPr>
          <w:ilvl w:val="0"/>
          <w:numId w:val="2"/>
        </w:numPr>
        <w:spacing w:after="80" w:line="288"/>
      </w:pPr>
      <w:r>
        <w:rPr>
          <w:rFonts w:ascii="Calibri" w:cs="Calibri" w:eastAsia="Calibri" w:hAnsi="Calibri"/>
          <w:b/>
          <w:bCs/>
          <w:sz w:val="21"/>
          <w:szCs w:val="21"/>
        </w:rPr>
        <w:t xml:space="preserve">Cenu izkliede. </w:t>
      </w:r>
      <w:r>
        <w:rPr>
          <w:rFonts w:ascii="Calibri" w:cs="Calibri" w:eastAsia="Calibri" w:hAnsi="Calibri"/>
          <w:sz w:val="21"/>
          <w:szCs w:val="21"/>
        </w:rPr>
        <w:t xml:space="preserve">Neparasti maza vai liela izkliede salīdzinājumā ar nozares normu.</w:t>
      </w:r>
    </w:p>
    <w:p>
      <w:pPr>
        <w:spacing w:after="130" w:line="288"/>
      </w:pPr>
      <w:r>
        <w:rPr>
          <w:rFonts w:ascii="Calibri" w:cs="Calibri" w:eastAsia="Calibri" w:hAnsi="Calibri"/>
          <w:b/>
          <w:bCs/>
          <w:sz w:val="21"/>
          <w:szCs w:val="21"/>
        </w:rPr>
        <w:t xml:space="preserve">Apjoma izpratnei: </w:t>
      </w:r>
      <w:r>
        <w:rPr>
          <w:rFonts w:ascii="Calibri" w:cs="Calibri" w:eastAsia="Calibri" w:hAnsi="Calibri"/>
          <w:sz w:val="21"/>
          <w:szCs w:val="21"/>
        </w:rPr>
        <w:t xml:space="preserve">analizētajā periodā piešķirto līgumu kopvērtība ir aptuveni 6,1 miljarda eiro. Starptautiskās aplēses liecina, ka saskaņota rīcība sadārdzina iepirkumus par 10–20 %. Šajā kontekstā pat viena procenta uzlabojums atbilst aptuveni 60 miljoniem eiro gadā.</w:t>
      </w:r>
    </w:p>
    <w:p>
      <w:pPr>
        <w:pStyle w:val="Heading2"/>
        <w:spacing w:after="90" w:before="190"/>
      </w:pPr>
      <w:r>
        <w:rPr>
          <w:rFonts w:ascii="Calibri" w:cs="Calibri" w:eastAsia="Calibri" w:hAnsi="Calibri"/>
          <w:b/>
          <w:bCs/>
          <w:color w:val="2E2A24"/>
          <w:sz w:val="22"/>
          <w:szCs w:val="22"/>
        </w:rPr>
        <w:t xml:space="preserve">2.1. Priekšlikums</w:t>
      </w:r>
    </w:p>
    <w:p>
      <w:pPr>
        <w:spacing w:after="130" w:line="288"/>
      </w:pPr>
      <w:r>
        <w:rPr>
          <w:rFonts w:ascii="Calibri" w:cs="Calibri" w:eastAsia="Calibri" w:hAnsi="Calibri"/>
          <w:sz w:val="21"/>
          <w:szCs w:val="21"/>
        </w:rPr>
        <w:t xml:space="preserve">Ierosinu kopējās piedāvājumu cenas saglabāt un publicēt mašīnlasāmā formātā pēc līguma noslēgšanas. Uzsveru: runa ir par kopējo piedāvājuma cenu, nevis par tāmes vienību cenām, kuras atsevišķos gadījumos var būt komercnoslēpums.</w:t>
      </w:r>
    </w:p>
    <w:p>
      <w:pPr>
        <w:spacing w:after="130" w:line="288"/>
      </w:pPr>
      <w:r>
        <w:rPr>
          <w:rFonts w:ascii="Calibri" w:cs="Calibri" w:eastAsia="Calibri" w:hAnsi="Calibri"/>
          <w:sz w:val="21"/>
          <w:szCs w:val="21"/>
        </w:rPr>
        <w:t xml:space="preserve">Jānorāda uz zināmu pretargumentu: </w:t>
      </w:r>
      <w:r>
        <w:rPr>
          <w:rFonts w:ascii="Calibri" w:cs="Calibri" w:eastAsia="Calibri" w:hAnsi="Calibri"/>
          <w:b/>
          <w:bCs/>
          <w:sz w:val="21"/>
          <w:szCs w:val="21"/>
        </w:rPr>
        <w:t xml:space="preserve">tiek uzskatīts, ka piedāvājumu cenu publiskošana var atvieglot karteļa darbību, jo dalībnieki iegūst līdzekli, ar ko pārbaudīt vienošanās ievērošanu.</w:t>
      </w:r>
    </w:p>
    <w:p>
      <w:pPr>
        <w:spacing w:after="130" w:line="288"/>
      </w:pPr>
      <w:r>
        <w:rPr>
          <w:rFonts w:ascii="Calibri" w:cs="Calibri" w:eastAsia="Calibri" w:hAnsi="Calibri"/>
          <w:b/>
          <w:bCs/>
          <w:sz w:val="21"/>
          <w:szCs w:val="21"/>
        </w:rPr>
        <w:t xml:space="preserve">Šajā gadījumā minētais iebildums lielā mērā zaudē spēku. </w:t>
      </w:r>
      <w:r>
        <w:rPr>
          <w:rFonts w:ascii="Calibri" w:cs="Calibri" w:eastAsia="Calibri" w:hAnsi="Calibri"/>
          <w:sz w:val="21"/>
          <w:szCs w:val="21"/>
        </w:rPr>
        <w:t xml:space="preserve">Cenas jau tagad ir pieejamas — tās tiek nosauktas piedāvājumu atvēršanā, kurā pretendenti piedalās, un ir atrodamas protokolos. Karteļa dalībniekiem šī informācija ir pieejama jau šodien. Strukturēts formāts nedod tiem neko jaunu, taču būtiski maina iespējas uzraugiem un sabiedrībai.</w:t>
      </w:r>
    </w:p>
    <w:p>
      <w:pPr>
        <w:spacing w:after="130" w:line="288"/>
      </w:pPr>
      <w:r>
        <w:rPr>
          <w:rFonts w:ascii="Calibri" w:cs="Calibri" w:eastAsia="Calibri" w:hAnsi="Calibri"/>
          <w:sz w:val="21"/>
          <w:szCs w:val="21"/>
        </w:rPr>
        <w:t xml:space="preserve">Ja tas tomēr tiek uzskatīts par risku, apspriešanai piedāvāti trīs varianti prioritārā secībā:</w:t>
      </w:r>
    </w:p>
    <w:p>
      <w:pPr>
        <w:pStyle w:val="ListParagraph"/>
        <w:numPr>
          <w:ilvl w:val="0"/>
          <w:numId w:val="2"/>
        </w:numPr>
        <w:spacing w:after="80" w:line="288"/>
      </w:pPr>
      <w:r>
        <w:rPr>
          <w:rFonts w:ascii="Calibri" w:cs="Calibri" w:eastAsia="Calibri" w:hAnsi="Calibri"/>
          <w:sz w:val="21"/>
          <w:szCs w:val="21"/>
        </w:rPr>
        <w:t xml:space="preserve">Ieteicamais: publicēt kopējās piedāvājumu cenas mašīnlasāmā formātā pēc līguma noslēgšanas.</w:t>
      </w:r>
    </w:p>
    <w:p>
      <w:pPr>
        <w:pStyle w:val="ListParagraph"/>
        <w:numPr>
          <w:ilvl w:val="0"/>
          <w:numId w:val="2"/>
        </w:numPr>
        <w:spacing w:after="80" w:line="288"/>
      </w:pPr>
      <w:r>
        <w:rPr>
          <w:rFonts w:ascii="Calibri" w:cs="Calibri" w:eastAsia="Calibri" w:hAnsi="Calibri"/>
          <w:sz w:val="21"/>
          <w:szCs w:val="21"/>
        </w:rPr>
        <w:t xml:space="preserve">Kompromiss A: publicēt anonimizēti — cenu sadalījumu bez pretendentu nosaukumiem. Tas ļauj veikt statistiskās pārbaudes, vienlaikus neradot kartelim uzraudzības līdzekli.</w:t>
      </w:r>
    </w:p>
    <w:p>
      <w:pPr>
        <w:pStyle w:val="ListParagraph"/>
        <w:numPr>
          <w:ilvl w:val="0"/>
          <w:numId w:val="2"/>
        </w:numPr>
        <w:spacing w:after="80" w:line="288"/>
      </w:pPr>
      <w:r>
        <w:rPr>
          <w:rFonts w:ascii="Calibri" w:cs="Calibri" w:eastAsia="Calibri" w:hAnsi="Calibri"/>
          <w:sz w:val="21"/>
          <w:szCs w:val="21"/>
        </w:rPr>
        <w:t xml:space="preserve">Kompromiss B: nepublicēt, taču nodrošināt, ka šādas pārbaudes regulāri veic Iepirkumu uzraudzības birojs vai Konkurences padome (KP). Attiecīgā metodika šādā gadījumā tiek nodota bez atlīdzības.</w:t>
      </w:r>
    </w:p>
    <w:p>
      <w:pPr>
        <w:pStyle w:val="Heading2"/>
        <w:spacing w:after="90" w:before="190"/>
      </w:pPr>
      <w:r>
        <w:rPr>
          <w:rFonts w:ascii="Calibri" w:cs="Calibri" w:eastAsia="Calibri" w:hAnsi="Calibri"/>
          <w:b/>
          <w:bCs/>
          <w:color w:val="2E2A24"/>
          <w:sz w:val="22"/>
          <w:szCs w:val="22"/>
        </w:rPr>
        <w:t xml:space="preserve">2.2. Ar to saistītie trūkumi</w:t>
      </w:r>
    </w:p>
    <w:p>
      <w:pPr>
        <w:pStyle w:val="ListParagraph"/>
        <w:numPr>
          <w:ilvl w:val="0"/>
          <w:numId w:val="2"/>
        </w:numPr>
        <w:spacing w:after="80" w:line="288"/>
      </w:pPr>
      <w:r>
        <w:rPr>
          <w:rFonts w:ascii="Calibri" w:cs="Calibri" w:eastAsia="Calibri" w:hAnsi="Calibri"/>
          <w:b/>
          <w:bCs/>
          <w:sz w:val="21"/>
          <w:szCs w:val="21"/>
        </w:rPr>
        <w:t xml:space="preserve">Paredzamā līgumcena. </w:t>
      </w:r>
      <w:r>
        <w:rPr>
          <w:rFonts w:ascii="Calibri" w:cs="Calibri" w:eastAsia="Calibri" w:hAnsi="Calibri"/>
          <w:sz w:val="21"/>
          <w:szCs w:val="21"/>
        </w:rPr>
        <w:t xml:space="preserve">Bez tās nav iespējams salīdzināt plānoto ar faktisko un pārbaudīt, vai iepirkums nav sadalīts, lai paliktu zem sliekšņa.</w:t>
      </w:r>
    </w:p>
    <w:p>
      <w:pPr>
        <w:pStyle w:val="ListParagraph"/>
        <w:numPr>
          <w:ilvl w:val="0"/>
          <w:numId w:val="2"/>
        </w:numPr>
        <w:spacing w:after="80" w:line="288"/>
      </w:pPr>
      <w:r>
        <w:rPr>
          <w:rFonts w:ascii="Calibri" w:cs="Calibri" w:eastAsia="Calibri" w:hAnsi="Calibri"/>
          <w:b/>
          <w:bCs/>
          <w:sz w:val="21"/>
          <w:szCs w:val="21"/>
        </w:rPr>
        <w:t xml:space="preserve">Piedāvājumu noraidīšanas iemesli. </w:t>
      </w:r>
      <w:r>
        <w:rPr>
          <w:rFonts w:ascii="Calibri" w:cs="Calibri" w:eastAsia="Calibri" w:hAnsi="Calibri"/>
          <w:sz w:val="21"/>
          <w:szCs w:val="21"/>
        </w:rPr>
        <w:t xml:space="preserve">Bez tiem nav iespējams konstatēt prasības, kas formulētas tā, lai izslēgtu visus pretendentus, izņemot vienu.</w:t>
      </w:r>
    </w:p>
    <w:p>
      <w:pPr>
        <w:pStyle w:val="ListParagraph"/>
        <w:numPr>
          <w:ilvl w:val="0"/>
          <w:numId w:val="2"/>
        </w:numPr>
        <w:spacing w:after="80" w:line="288"/>
      </w:pPr>
      <w:r>
        <w:rPr>
          <w:rFonts w:ascii="Calibri" w:cs="Calibri" w:eastAsia="Calibri" w:hAnsi="Calibri"/>
          <w:b/>
          <w:bCs/>
          <w:sz w:val="21"/>
          <w:szCs w:val="21"/>
        </w:rPr>
        <w:t xml:space="preserve">Vērtēšanas kritēriju punkti. </w:t>
      </w:r>
      <w:r>
        <w:rPr>
          <w:rFonts w:ascii="Calibri" w:cs="Calibri" w:eastAsia="Calibri" w:hAnsi="Calibri"/>
          <w:sz w:val="21"/>
          <w:szCs w:val="21"/>
        </w:rPr>
        <w:t xml:space="preserve">Bez tiem nav iespējams konstatēt subjektīvu vērtēšanu gadījumos, kad neuzvar saimnieciski izdevīgākais piedāvājums.</w:t>
      </w:r>
    </w:p>
    <w:p>
      <w:pPr>
        <w:pStyle w:val="ListParagraph"/>
        <w:numPr>
          <w:ilvl w:val="0"/>
          <w:numId w:val="2"/>
        </w:numPr>
        <w:spacing w:after="80" w:line="288"/>
      </w:pPr>
      <w:r>
        <w:rPr>
          <w:rFonts w:ascii="Calibri" w:cs="Calibri" w:eastAsia="Calibri" w:hAnsi="Calibri"/>
          <w:b/>
          <w:bCs/>
          <w:sz w:val="21"/>
          <w:szCs w:val="21"/>
        </w:rPr>
        <w:t xml:space="preserve">Apakšuzņēmēji. </w:t>
      </w:r>
      <w:r>
        <w:rPr>
          <w:rFonts w:ascii="Calibri" w:cs="Calibri" w:eastAsia="Calibri" w:hAnsi="Calibri"/>
          <w:sz w:val="21"/>
          <w:szCs w:val="21"/>
        </w:rPr>
        <w:t xml:space="preserve">Pretendents, kurš zaudē konkursā un pēc tam parādās kā uzvarētāja apakšuzņēmējs, ir klasiska saskaņotas rīcības pazīme. Šobrīd to nav iespējams pārbaudīt.</w:t>
      </w:r>
    </w:p>
    <w:p>
      <w:pPr>
        <w:pStyle w:val="Heading1"/>
        <w:spacing w:after="130" w:before="300"/>
      </w:pPr>
      <w:r>
        <w:rPr>
          <w:rFonts w:ascii="Calibri" w:cs="Calibri" w:eastAsia="Calibri" w:hAnsi="Calibri"/>
          <w:b/>
          <w:bCs/>
          <w:color w:val="1F4D3C"/>
          <w:sz w:val="26"/>
          <w:szCs w:val="26"/>
        </w:rPr>
        <w:t xml:space="preserve">3. Datu kvalitātes novērojumi</w:t>
      </w:r>
    </w:p>
    <w:p>
      <w:pPr>
        <w:spacing w:after="130" w:line="288"/>
      </w:pPr>
      <w:r>
        <w:rPr>
          <w:rFonts w:ascii="Calibri" w:cs="Calibri" w:eastAsia="Calibri" w:hAnsi="Calibri"/>
          <w:sz w:val="21"/>
          <w:szCs w:val="21"/>
        </w:rPr>
        <w:t xml:space="preserve">Šī sadaļa domāta kā ieguldījums, nevis kā pārmetums — runa ir par konkrētiem un labojamiem gadījumiem. Turpmāk minētie rādītāji attiecas tikai uz līgumiem, kuros ir izraudzīts uzvarētājs (22 277 līgumi). Pārtrauktie iepirkumi nav ieskaitīti, jo tiem tukši lauki ir likumsakarīgi.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2660"/>
      </w:tblGrid>
      <w:tr>
        <w:trPr>
          <w:tblHeader/>
        </w:trPr>
        <w:tc>
          <w:tcPr>
            <w:tcW w:type="dxa" w:w="5000"/>
            <w:shd w:fill="EFEAE0" w:val="clear"/>
            <w:tcMar>
              <w:top w:type="dxa" w:w="80"/>
              <w:left w:type="dxa" w:w="110"/>
              <w:bottom w:type="dxa" w:w="80"/>
              <w:right w:type="dxa" w:w="110"/>
            </w:tcMar>
          </w:tcPr>
          <w:p>
            <w:pPr>
              <w:spacing w:after="0"/>
            </w:pPr>
            <w:r>
              <w:rPr>
                <w:rFonts w:ascii="Calibri" w:cs="Calibri" w:eastAsia="Calibri" w:hAnsi="Calibri"/>
                <w:b/>
                <w:bCs/>
                <w:sz w:val="19"/>
                <w:szCs w:val="19"/>
              </w:rPr>
              <w:t xml:space="preserve">Kas trūkst (tikai piešķirtajos līgumos)</w:t>
            </w:r>
          </w:p>
        </w:tc>
        <w:tc>
          <w:tcPr>
            <w:tcW w:type="dxa" w:w="1700"/>
            <w:shd w:fill="EFEAE0" w:val="clear"/>
            <w:tcMar>
              <w:top w:type="dxa" w:w="80"/>
              <w:left w:type="dxa" w:w="110"/>
              <w:bottom w:type="dxa" w:w="80"/>
              <w:right w:type="dxa" w:w="110"/>
            </w:tcMar>
          </w:tcPr>
          <w:p>
            <w:pPr>
              <w:spacing w:after="0"/>
            </w:pPr>
            <w:r>
              <w:rPr>
                <w:rFonts w:ascii="Calibri" w:cs="Calibri" w:eastAsia="Calibri" w:hAnsi="Calibri"/>
                <w:b/>
                <w:bCs/>
                <w:sz w:val="19"/>
                <w:szCs w:val="19"/>
              </w:rPr>
              <w:t xml:space="preserve">Cik</w:t>
            </w:r>
          </w:p>
        </w:tc>
        <w:tc>
          <w:tcPr>
            <w:tcW w:type="dxa" w:w="2660"/>
            <w:shd w:fill="EFEAE0" w:val="clear"/>
            <w:tcMar>
              <w:top w:type="dxa" w:w="80"/>
              <w:left w:type="dxa" w:w="110"/>
              <w:bottom w:type="dxa" w:w="80"/>
              <w:right w:type="dxa" w:w="110"/>
            </w:tcMar>
          </w:tcPr>
          <w:p>
            <w:pPr>
              <w:spacing w:after="0"/>
            </w:pPr>
            <w:r>
              <w:rPr>
                <w:rFonts w:ascii="Calibri" w:cs="Calibri" w:eastAsia="Calibri" w:hAnsi="Calibri"/>
                <w:b/>
                <w:bCs/>
                <w:sz w:val="19"/>
                <w:szCs w:val="19"/>
              </w:rPr>
              <w:t xml:space="preserve">Kas nav iespējams</w:t>
            </w:r>
          </w:p>
        </w:tc>
      </w:tr>
      <w:tr>
        <w:trPr>
          <w:tblHeader w:val="false"/>
        </w:trPr>
        <w:tc>
          <w:tcPr>
            <w:tcW w:type="dxa" w:w="5000"/>
            <w:tcMar>
              <w:top w:type="dxa" w:w="80"/>
              <w:left w:type="dxa" w:w="110"/>
              <w:bottom w:type="dxa" w:w="80"/>
              <w:right w:type="dxa" w:w="110"/>
            </w:tcMar>
          </w:tcPr>
          <w:p>
            <w:pPr>
              <w:spacing w:after="0"/>
            </w:pPr>
            <w:r>
              <w:rPr>
                <w:rFonts w:ascii="Calibri" w:cs="Calibri" w:eastAsia="Calibri" w:hAnsi="Calibri"/>
                <w:sz w:val="19"/>
                <w:szCs w:val="19"/>
              </w:rPr>
              <w:t xml:space="preserve">Nav norādīta līguma vērtība</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819 (3,7 %)</w:t>
            </w:r>
          </w:p>
        </w:tc>
        <w:tc>
          <w:tcPr>
            <w:tcW w:type="dxa" w:w="2660"/>
            <w:tcMar>
              <w:top w:type="dxa" w:w="80"/>
              <w:left w:type="dxa" w:w="110"/>
              <w:bottom w:type="dxa" w:w="80"/>
              <w:right w:type="dxa" w:w="110"/>
            </w:tcMar>
          </w:tcPr>
          <w:p>
            <w:pPr>
              <w:spacing w:after="0"/>
            </w:pPr>
            <w:r>
              <w:rPr>
                <w:rFonts w:ascii="Calibri" w:cs="Calibri" w:eastAsia="Calibri" w:hAnsi="Calibri"/>
                <w:sz w:val="19"/>
                <w:szCs w:val="19"/>
              </w:rPr>
              <w:t xml:space="preserve">Aprēķināt iepirkuma apjomu</w:t>
            </w:r>
          </w:p>
        </w:tc>
      </w:tr>
      <w:tr>
        <w:trPr>
          <w:tblHeader w:val="false"/>
        </w:trPr>
        <w:tc>
          <w:tcPr>
            <w:tcW w:type="dxa" w:w="5000"/>
            <w:tcMar>
              <w:top w:type="dxa" w:w="80"/>
              <w:left w:type="dxa" w:w="110"/>
              <w:bottom w:type="dxa" w:w="80"/>
              <w:right w:type="dxa" w:w="110"/>
            </w:tcMar>
          </w:tcPr>
          <w:p>
            <w:pPr>
              <w:spacing w:after="0"/>
            </w:pPr>
            <w:r>
              <w:rPr>
                <w:rFonts w:ascii="Calibri" w:cs="Calibri" w:eastAsia="Calibri" w:hAnsi="Calibri"/>
                <w:sz w:val="19"/>
                <w:szCs w:val="19"/>
              </w:rPr>
              <w:t xml:space="preserve">Nav CPV koda</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842 (3,8 %)</w:t>
            </w:r>
          </w:p>
        </w:tc>
        <w:tc>
          <w:tcPr>
            <w:tcW w:type="dxa" w:w="2660"/>
            <w:tcMar>
              <w:top w:type="dxa" w:w="80"/>
              <w:left w:type="dxa" w:w="110"/>
              <w:bottom w:type="dxa" w:w="80"/>
              <w:right w:type="dxa" w:w="110"/>
            </w:tcMar>
          </w:tcPr>
          <w:p>
            <w:pPr>
              <w:spacing w:after="0"/>
            </w:pPr>
            <w:r>
              <w:rPr>
                <w:rFonts w:ascii="Calibri" w:cs="Calibri" w:eastAsia="Calibri" w:hAnsi="Calibri"/>
                <w:sz w:val="19"/>
                <w:szCs w:val="19"/>
              </w:rPr>
              <w:t xml:space="preserve">Iekļaut iepirkumu nozares analīzē</w:t>
            </w:r>
          </w:p>
        </w:tc>
      </w:tr>
      <w:tr>
        <w:trPr>
          <w:tblHeader w:val="false"/>
        </w:trPr>
        <w:tc>
          <w:tcPr>
            <w:tcW w:type="dxa" w:w="5000"/>
            <w:tcMar>
              <w:top w:type="dxa" w:w="80"/>
              <w:left w:type="dxa" w:w="110"/>
              <w:bottom w:type="dxa" w:w="80"/>
              <w:right w:type="dxa" w:w="110"/>
            </w:tcMar>
          </w:tcPr>
          <w:p>
            <w:pPr>
              <w:spacing w:after="0"/>
            </w:pPr>
            <w:r>
              <w:rPr>
                <w:rFonts w:ascii="Calibri" w:cs="Calibri" w:eastAsia="Calibri" w:hAnsi="Calibri"/>
                <w:sz w:val="19"/>
                <w:szCs w:val="19"/>
              </w:rPr>
              <w:t xml:space="preserve">Nav saņemto piedāvājumu skaita</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1 267 (5,7 %)</w:t>
            </w:r>
          </w:p>
        </w:tc>
        <w:tc>
          <w:tcPr>
            <w:tcW w:type="dxa" w:w="2660"/>
            <w:tcMar>
              <w:top w:type="dxa" w:w="80"/>
              <w:left w:type="dxa" w:w="110"/>
              <w:bottom w:type="dxa" w:w="80"/>
              <w:right w:type="dxa" w:w="110"/>
            </w:tcMar>
          </w:tcPr>
          <w:p>
            <w:pPr>
              <w:spacing w:after="0"/>
            </w:pPr>
            <w:r>
              <w:rPr>
                <w:rFonts w:ascii="Calibri" w:cs="Calibri" w:eastAsia="Calibri" w:hAnsi="Calibri"/>
                <w:sz w:val="19"/>
                <w:szCs w:val="19"/>
              </w:rPr>
              <w:t xml:space="preserve">Aprēķināt konkurences rādītāju</w:t>
            </w:r>
          </w:p>
        </w:tc>
      </w:tr>
      <w:tr>
        <w:trPr>
          <w:tblHeader w:val="false"/>
        </w:trPr>
        <w:tc>
          <w:tcPr>
            <w:tcW w:type="dxa" w:w="5000"/>
            <w:tcMar>
              <w:top w:type="dxa" w:w="80"/>
              <w:left w:type="dxa" w:w="110"/>
              <w:bottom w:type="dxa" w:w="80"/>
              <w:right w:type="dxa" w:w="110"/>
            </w:tcMar>
          </w:tcPr>
          <w:p>
            <w:pPr>
              <w:spacing w:after="0"/>
            </w:pPr>
            <w:r>
              <w:rPr>
                <w:rFonts w:ascii="Calibri" w:cs="Calibri" w:eastAsia="Calibri" w:hAnsi="Calibri"/>
                <w:sz w:val="19"/>
                <w:szCs w:val="19"/>
              </w:rPr>
              <w:t xml:space="preserve">Nav uzvarētāja reģ. Nr.</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399 (1,8 %)</w:t>
            </w:r>
          </w:p>
        </w:tc>
        <w:tc>
          <w:tcPr>
            <w:tcW w:type="dxa" w:w="2660"/>
            <w:tcMar>
              <w:top w:type="dxa" w:w="80"/>
              <w:left w:type="dxa" w:w="110"/>
              <w:bottom w:type="dxa" w:w="80"/>
              <w:right w:type="dxa" w:w="110"/>
            </w:tcMar>
          </w:tcPr>
          <w:p>
            <w:pPr>
              <w:spacing w:after="0"/>
            </w:pPr>
            <w:r>
              <w:rPr>
                <w:rFonts w:ascii="Calibri" w:cs="Calibri" w:eastAsia="Calibri" w:hAnsi="Calibri"/>
                <w:sz w:val="19"/>
                <w:szCs w:val="19"/>
              </w:rPr>
              <w:t xml:space="preserve">Sasaistīt ar Uzņēmumu reģistru</w:t>
            </w:r>
          </w:p>
        </w:tc>
      </w:tr>
      <w:tr>
        <w:trPr>
          <w:tblHeader w:val="false"/>
        </w:trPr>
        <w:tc>
          <w:tcPr>
            <w:tcW w:type="dxa" w:w="5000"/>
            <w:tcMar>
              <w:top w:type="dxa" w:w="80"/>
              <w:left w:type="dxa" w:w="110"/>
              <w:bottom w:type="dxa" w:w="80"/>
              <w:right w:type="dxa" w:w="110"/>
            </w:tcMar>
          </w:tcPr>
          <w:p>
            <w:pPr>
              <w:spacing w:after="0"/>
            </w:pPr>
            <w:r>
              <w:rPr>
                <w:rFonts w:ascii="Calibri" w:cs="Calibri" w:eastAsia="Calibri" w:hAnsi="Calibri"/>
                <w:sz w:val="19"/>
                <w:szCs w:val="19"/>
              </w:rPr>
              <w:t xml:space="preserve">Vienā procedūrā pretrunīgas summas</w:t>
            </w:r>
          </w:p>
        </w:tc>
        <w:tc>
          <w:tcPr>
            <w:tcW w:type="dxa" w:w="1700"/>
            <w:tcMar>
              <w:top w:type="dxa" w:w="80"/>
              <w:left w:type="dxa" w:w="110"/>
              <w:bottom w:type="dxa" w:w="80"/>
              <w:right w:type="dxa" w:w="110"/>
            </w:tcMar>
          </w:tcPr>
          <w:p>
            <w:pPr>
              <w:spacing w:after="0"/>
            </w:pPr>
            <w:r>
              <w:rPr>
                <w:rFonts w:ascii="Calibri" w:cs="Calibri" w:eastAsia="Calibri" w:hAnsi="Calibri"/>
                <w:sz w:val="19"/>
                <w:szCs w:val="19"/>
              </w:rPr>
              <w:t xml:space="preserve">63</w:t>
            </w:r>
          </w:p>
        </w:tc>
        <w:tc>
          <w:tcPr>
            <w:tcW w:type="dxa" w:w="2660"/>
            <w:tcMar>
              <w:top w:type="dxa" w:w="80"/>
              <w:left w:type="dxa" w:w="110"/>
              <w:bottom w:type="dxa" w:w="80"/>
              <w:right w:type="dxa" w:w="110"/>
            </w:tcMar>
          </w:tcPr>
          <w:p>
            <w:pPr>
              <w:spacing w:after="0"/>
            </w:pPr>
            <w:r>
              <w:rPr>
                <w:rFonts w:ascii="Calibri" w:cs="Calibri" w:eastAsia="Calibri" w:hAnsi="Calibri"/>
                <w:sz w:val="19"/>
                <w:szCs w:val="19"/>
              </w:rPr>
              <w:t xml:space="preserve">Noteikt, kura summa ir patiesā</w:t>
            </w:r>
          </w:p>
        </w:tc>
      </w:tr>
    </w:tbl>
    <w:p>
      <w:pPr>
        <w:spacing w:after="130" w:before="150"/>
      </w:pPr>
      <w:r>
        <w:rPr>
          <w:rFonts w:ascii="Calibri" w:cs="Calibri" w:eastAsia="Calibri" w:hAnsi="Calibri"/>
          <w:b/>
          <w:bCs/>
          <w:sz w:val="21"/>
          <w:szCs w:val="21"/>
        </w:rPr>
        <w:t xml:space="preserve">Divu nedēļu laikā iespējams iesniegt pilnu sarakstu ar konkrētiem paziņojumu identifikatoriem, lai kļūdas varētu izlabot datu avotā.</w:t>
      </w:r>
    </w:p>
    <w:p>
      <w:pPr>
        <w:spacing w:after="130" w:line="288"/>
      </w:pPr>
      <w:r>
        <w:rPr>
          <w:rFonts w:ascii="Calibri" w:cs="Calibri" w:eastAsia="Calibri" w:hAnsi="Calibri"/>
          <w:sz w:val="21"/>
          <w:szCs w:val="21"/>
        </w:rPr>
        <w:t xml:space="preserve">Atsevišķi jānorāda: ja paziņojums tiek publicēts atkārtoti ar labojumiem, datos nav lauka, kas norādītu, kurš ieraksts aizstāj kuru. Datu lietotājam pašam jānoskaidro, kurš ieraksts ir aktuālais. Attiecīgā sasaistes metodika ir izstrādāta un pieejama nodošanai.</w:t>
      </w:r>
    </w:p>
    <w:p>
      <w:pPr>
        <w:pStyle w:val="Heading1"/>
        <w:spacing w:after="130" w:before="300"/>
      </w:pPr>
      <w:r>
        <w:rPr>
          <w:rFonts w:ascii="Calibri" w:cs="Calibri" w:eastAsia="Calibri" w:hAnsi="Calibri"/>
          <w:b/>
          <w:bCs/>
          <w:color w:val="1F4D3C"/>
          <w:sz w:val="26"/>
          <w:szCs w:val="26"/>
        </w:rPr>
        <w:t xml:space="preserve">4. Ko šie dati ļauj redzēt</w:t>
      </w:r>
    </w:p>
    <w:p>
      <w:pPr>
        <w:spacing w:after="130" w:line="288"/>
      </w:pPr>
      <w:r>
        <w:rPr>
          <w:rFonts w:ascii="Calibri" w:cs="Calibri" w:eastAsia="Calibri" w:hAnsi="Calibri"/>
          <w:sz w:val="21"/>
          <w:szCs w:val="21"/>
        </w:rPr>
        <w:t xml:space="preserve">Šī sadaļa parāda, kāda analīze ar publiskajiem datiem ir iespējama jau šodien. Tā nav apsūdzība un neviens uzņēmums vai persona te nav nosaukta. Visi zemāk minētie skaitļi ir statistiski signāli, kas norāda, kur būtu vērts ieskatīties — neviens no gadījumiem nav individuāli izvērtēts, un daudziem no tiem var būt pilnīgi likumīgs izskaidrojums.</w:t>
      </w:r>
    </w:p>
    <w:p>
      <w:pPr>
        <w:spacing w:after="130" w:line="288"/>
      </w:pPr>
      <w:r>
        <w:rPr>
          <w:rFonts w:ascii="Calibri" w:cs="Calibri" w:eastAsia="Calibri" w:hAnsi="Calibri"/>
          <w:b/>
          <w:bCs/>
          <w:sz w:val="21"/>
          <w:szCs w:val="21"/>
        </w:rPr>
        <w:t xml:space="preserve">Vispirms pārbaude, vai maniem skaitļiem var ticēt: </w:t>
      </w:r>
      <w:r>
        <w:rPr>
          <w:rFonts w:ascii="Calibri" w:cs="Calibri" w:eastAsia="Calibri" w:hAnsi="Calibri"/>
          <w:sz w:val="21"/>
          <w:szCs w:val="21"/>
        </w:rPr>
        <w:t xml:space="preserve">neatkarīgi aprēķinātā viena pretendenta likme ir 24,6 %, kas atbilst Iepirkumu uzraudzības biroja publicētajam rādītājam. Tas nav atklājums — tā ir kalibrācija. Ja šis rādītājs sakrīt, arī pārējie aprēķini balstās uz to pašu metodiku.</w:t>
      </w:r>
    </w:p>
    <w:p>
      <w:pPr>
        <w:pStyle w:val="Heading2"/>
        <w:spacing w:after="90" w:before="190"/>
      </w:pPr>
      <w:r>
        <w:rPr>
          <w:rFonts w:ascii="Calibri" w:cs="Calibri" w:eastAsia="Calibri" w:hAnsi="Calibri"/>
          <w:b/>
          <w:bCs/>
          <w:color w:val="2E2A24"/>
          <w:sz w:val="22"/>
          <w:szCs w:val="22"/>
        </w:rPr>
        <w:t xml:space="preserve">4.1. Sistēmas aina (agregēti rādītāji)</w:t>
      </w:r>
    </w:p>
    <w:p>
      <w:pPr>
        <w:pStyle w:val="ListParagraph"/>
        <w:numPr>
          <w:ilvl w:val="0"/>
          <w:numId w:val="2"/>
        </w:numPr>
        <w:spacing w:after="80" w:line="288"/>
      </w:pPr>
      <w:r>
        <w:rPr>
          <w:rFonts w:ascii="Calibri" w:cs="Calibri" w:eastAsia="Calibri" w:hAnsi="Calibri"/>
          <w:b/>
          <w:bCs/>
          <w:sz w:val="21"/>
          <w:szCs w:val="21"/>
        </w:rPr>
        <w:t xml:space="preserve">Konkurences trūkums koncentrējas nozarēs. </w:t>
      </w:r>
      <w:r>
        <w:rPr>
          <w:rFonts w:ascii="Calibri" w:cs="Calibri" w:eastAsia="Calibri" w:hAnsi="Calibri"/>
          <w:sz w:val="21"/>
          <w:szCs w:val="21"/>
        </w:rPr>
        <w:t xml:space="preserve">Veselībā un sociālajā aprūpē viena pretendenta likme ir 63 %, IT pakalpojumos 61 %, programmatūrā 57 % — pret nacionālo vidējo 24,6 %. Daļai no tā ir objektīvi iemesli (patentētas zāles, savietojamības prasības), taču atšķirība ir pārāk liela, lai to izskaidrotu tikai ar tirgus specifiku.</w:t>
      </w:r>
    </w:p>
    <w:p>
      <w:pPr>
        <w:pStyle w:val="ListParagraph"/>
        <w:numPr>
          <w:ilvl w:val="0"/>
          <w:numId w:val="2"/>
        </w:numPr>
        <w:spacing w:after="80" w:line="288"/>
      </w:pPr>
      <w:r>
        <w:rPr>
          <w:rFonts w:ascii="Calibri" w:cs="Calibri" w:eastAsia="Calibri" w:hAnsi="Calibri"/>
          <w:b/>
          <w:bCs/>
          <w:sz w:val="21"/>
          <w:szCs w:val="21"/>
        </w:rPr>
        <w:t xml:space="preserve">30 pasūtītājiem viena pretendenta likme pārsniedz 50 %. </w:t>
      </w:r>
      <w:r>
        <w:rPr>
          <w:rFonts w:ascii="Calibri" w:cs="Calibri" w:eastAsia="Calibri" w:hAnsi="Calibri"/>
          <w:sz w:val="21"/>
          <w:szCs w:val="21"/>
        </w:rPr>
        <w:t xml:space="preserve">Vērtēti tikai pasūtītāji ar vismaz 10 līgumiem. Tas ir vienkāršs, caurspīdīgs rādītājs bez svariem un pieņēmumiem — un tieši tāpēc noderīgs uzraudzības prioritizācijai.</w:t>
      </w:r>
    </w:p>
    <w:p>
      <w:pPr>
        <w:pStyle w:val="ListParagraph"/>
        <w:numPr>
          <w:ilvl w:val="0"/>
          <w:numId w:val="2"/>
        </w:numPr>
        <w:spacing w:after="80" w:line="288"/>
      </w:pPr>
      <w:r>
        <w:rPr>
          <w:rFonts w:ascii="Calibri" w:cs="Calibri" w:eastAsia="Calibri" w:hAnsi="Calibri"/>
          <w:b/>
          <w:bCs/>
          <w:sz w:val="21"/>
          <w:szCs w:val="21"/>
        </w:rPr>
        <w:t xml:space="preserve">26 pasūtītājiem vērtības sablīvējas tieši zem sliekšņa. </w:t>
      </w:r>
      <w:r>
        <w:rPr>
          <w:rFonts w:ascii="Calibri" w:cs="Calibri" w:eastAsia="Calibri" w:hAnsi="Calibri"/>
          <w:sz w:val="21"/>
          <w:szCs w:val="21"/>
        </w:rPr>
        <w:t xml:space="preserve">Vismaz 18 % viņu līgumu vērtības ir 85–100 % no likumā noteiktā sliekšņa, kamēr nacionāli tā ir aptuveni 7 %. Metode (bunching analysis) ir atzīta zinātniskajā literatūrā, un nacionālais vidējais kalpo par kontroli. Piezīme: aprēķinā izmantota līguma gala vērtība, jo paredzamā līgumcena datos nav pieejama, tāpēc rādītājs ir tuvinājums.</w:t>
      </w:r>
    </w:p>
    <w:p>
      <w:pPr>
        <w:spacing w:after="130" w:line="288"/>
      </w:pPr>
      <w:r>
        <w:rPr>
          <w:rFonts w:ascii="Calibri" w:cs="Calibri" w:eastAsia="Calibri" w:hAnsi="Calibri"/>
          <w:sz w:val="21"/>
          <w:szCs w:val="21"/>
        </w:rPr>
        <w:t xml:space="preserve">No 843 pasūtītājiem izvērtējami ir 462 — pārējiem 381 nepietiek datu. No izvērtētajiem tikai 4 sasniedz vairāku neatkarīgu signālu sakritību. </w:t>
      </w:r>
      <w:r>
        <w:rPr>
          <w:rFonts w:ascii="Calibri" w:cs="Calibri" w:eastAsia="Calibri" w:hAnsi="Calibri"/>
          <w:b/>
          <w:bCs/>
          <w:sz w:val="21"/>
          <w:szCs w:val="21"/>
        </w:rPr>
        <w:t xml:space="preserve">Tas nav apgalvojums, ka pārējie ir nevainojami; tas ir apgalvojums, ka metode ir konservatīva.</w:t>
      </w:r>
    </w:p>
    <w:p>
      <w:pPr>
        <w:pStyle w:val="Heading2"/>
        <w:spacing w:after="90" w:before="190"/>
      </w:pPr>
      <w:r>
        <w:rPr>
          <w:rFonts w:ascii="Calibri" w:cs="Calibri" w:eastAsia="Calibri" w:hAnsi="Calibri"/>
          <w:b/>
          <w:bCs/>
          <w:color w:val="2E2A24"/>
          <w:sz w:val="22"/>
          <w:szCs w:val="22"/>
        </w:rPr>
        <w:t xml:space="preserve">4.2. Jaunā redzamība: saistīti pretendenti vienā iepirkumā</w:t>
      </w:r>
    </w:p>
    <w:p>
      <w:pPr>
        <w:spacing w:after="130" w:line="288"/>
      </w:pPr>
      <w:r>
        <w:rPr>
          <w:rFonts w:ascii="Calibri" w:cs="Calibri" w:eastAsia="Calibri" w:hAnsi="Calibri"/>
          <w:sz w:val="21"/>
          <w:szCs w:val="21"/>
        </w:rPr>
        <w:t xml:space="preserve">Šis ir vienīgais atradums, ko ar Iepirkumu uzraudzības biroja atvērtajiem datiem vien nav iespējams iegūt, jo tajos nav zaudējušo pretendentu identitātes. Tas iegūts, salīdzinot EIS piedāvājumu atvēršanas protokolus ar Uzņēmumu reģistra datiem par īpašniekiem un valdes locekļiem.</w:t>
      </w:r>
    </w:p>
    <w:p>
      <w:pPr>
        <w:spacing w:after="130" w:line="288"/>
      </w:pPr>
      <w:r>
        <w:rPr>
          <w:rFonts w:ascii="Calibri" w:cs="Calibri" w:eastAsia="Calibri" w:hAnsi="Calibri"/>
          <w:b/>
          <w:bCs/>
          <w:sz w:val="21"/>
          <w:szCs w:val="21"/>
        </w:rPr>
        <w:t xml:space="preserve">397 iepirkumos (no 18 858, kuros zināmi visi pretendenti) diviem vai vairākiem savstarpējiem konkurentiem ir kopīga fiziska persona — patiesā labuma guvējs vai valdes loceklis.</w:t>
      </w:r>
      <w:r>
        <w:rPr>
          <w:rFonts w:ascii="Calibri" w:cs="Calibri" w:eastAsia="Calibri" w:hAnsi="Calibri"/>
          <w:sz w:val="21"/>
          <w:szCs w:val="21"/>
        </w:rPr>
        <w:t xml:space="preserve"> Tie ir 2,1 % no visiem konkursiem.</w:t>
      </w:r>
    </w:p>
    <w:p>
      <w:pPr>
        <w:spacing w:after="130" w:line="288"/>
      </w:pPr>
      <w:r>
        <w:rPr>
          <w:rFonts w:ascii="Calibri" w:cs="Calibri" w:eastAsia="Calibri" w:hAnsi="Calibri"/>
          <w:sz w:val="21"/>
          <w:szCs w:val="21"/>
        </w:rPr>
        <w:t xml:space="preserve">Lai pārbaudītu, vai tā nav nejaušība, veicu permutāciju testu: 200 reizes nejauši pārjaucu pretendentu piederību konkursiem, saglabājot gan katra konkursa pretendentu skaitu, gan katras firmas dalības biežumu. </w:t>
      </w:r>
      <w:r>
        <w:rPr>
          <w:rFonts w:ascii="Calibri" w:cs="Calibri" w:eastAsia="Calibri" w:hAnsi="Calibri"/>
          <w:b/>
          <w:bCs/>
          <w:sz w:val="21"/>
          <w:szCs w:val="21"/>
        </w:rPr>
        <w:t xml:space="preserve">Nejauši sagaidāmi vidēji 31 šāds iepirkums. Novēroti 397 — tas ir 12,8 reizes vairāk, un nevienā no 200 permutācijām rezultāts nesasniedza novēroto.</w:t>
      </w:r>
    </w:p>
    <w:p>
      <w:pPr>
        <w:spacing w:after="130" w:line="288"/>
      </w:pPr>
      <w:r>
        <w:rPr>
          <w:rFonts w:ascii="Calibri" w:cs="Calibri" w:eastAsia="Calibri" w:hAnsi="Calibri"/>
          <w:sz w:val="21"/>
          <w:szCs w:val="21"/>
        </w:rPr>
        <w:t xml:space="preserve">Uzsveru, ka tas nav pārkāpuma pierādījums. Eiropas Savienības Tiesa ir skaidri norādījusi, ka saistītu uzņēmumu vienlaicīga dalība iepirkumā pati par sevi nav aizliegta un tos nedrīkst izslēgt automātiski (Assitur, C-538/07). Pārkāpums būtu piedāvājumu saskaņošana, un to konstatēt ir Konkurences padomes kompetencē. Šie 397 gadījumi ir norāde, kur meklēt — nekas vairāk.</w:t>
      </w:r>
    </w:p>
    <w:p>
      <w:pPr>
        <w:pStyle w:val="Heading2"/>
        <w:spacing w:after="90" w:before="190"/>
      </w:pPr>
      <w:r>
        <w:rPr>
          <w:rFonts w:ascii="Calibri" w:cs="Calibri" w:eastAsia="Calibri" w:hAnsi="Calibri"/>
          <w:b/>
          <w:bCs/>
          <w:color w:val="2E2A24"/>
          <w:sz w:val="22"/>
          <w:szCs w:val="22"/>
        </w:rPr>
        <w:t xml:space="preserve">4.3. Ko vēl ļauj redzēt datu sasaiste</w:t>
      </w:r>
    </w:p>
    <w:p>
      <w:pPr>
        <w:pStyle w:val="ListParagraph"/>
        <w:numPr>
          <w:ilvl w:val="0"/>
          <w:numId w:val="2"/>
        </w:numPr>
        <w:spacing w:after="80" w:line="288"/>
      </w:pPr>
      <w:r>
        <w:rPr>
          <w:rFonts w:ascii="Calibri" w:cs="Calibri" w:eastAsia="Calibri" w:hAnsi="Calibri"/>
          <w:b/>
          <w:bCs/>
          <w:sz w:val="21"/>
          <w:szCs w:val="21"/>
        </w:rPr>
        <w:t xml:space="preserve">Atkarība no viena piegādātāja. </w:t>
      </w:r>
      <w:r>
        <w:rPr>
          <w:rFonts w:ascii="Calibri" w:cs="Calibri" w:eastAsia="Calibri" w:hAnsi="Calibri"/>
          <w:sz w:val="21"/>
          <w:szCs w:val="21"/>
        </w:rPr>
        <w:t xml:space="preserve">9 pasūtītāju un piegādātāju pāros piegādātājs saņem vismaz 30 % no pasūtītāja kopējā iepirkumu apjoma; augstākajā gadījumā 62 %. Tas nav pārkāpums — tā ir norāde uz iespējamu atkarības risku un jautājums par iepirkumu plānošanu.</w:t>
      </w:r>
    </w:p>
    <w:p>
      <w:pPr>
        <w:pStyle w:val="ListParagraph"/>
        <w:numPr>
          <w:ilvl w:val="0"/>
          <w:numId w:val="2"/>
        </w:numPr>
        <w:spacing w:after="80" w:line="288"/>
      </w:pPr>
      <w:r>
        <w:rPr>
          <w:rFonts w:ascii="Calibri" w:cs="Calibri" w:eastAsia="Calibri" w:hAnsi="Calibri"/>
          <w:b/>
          <w:bCs/>
          <w:sz w:val="21"/>
          <w:szCs w:val="21"/>
        </w:rPr>
        <w:t xml:space="preserve">Īpašnieku caurspīdīgums. </w:t>
      </w:r>
      <w:r>
        <w:rPr>
          <w:rFonts w:ascii="Calibri" w:cs="Calibri" w:eastAsia="Calibri" w:hAnsi="Calibri"/>
          <w:sz w:val="21"/>
          <w:szCs w:val="21"/>
        </w:rPr>
        <w:t xml:space="preserve">28 piegādātājiem no 4 478 (0,6 %) patiesā labuma guvējs ir zemu nodokļu vai ofšora jurisdikcijā. Tas ir likumīgi. Taču publiskās naudas saņēmēju īpašnieku caurspīdīgums ir politikas jautājums, un šī grupa ir pietiekami maza, lai to būtu viegli uzraudzīt.</w:t>
      </w:r>
    </w:p>
    <w:p>
      <w:pPr>
        <w:pStyle w:val="ListParagraph"/>
        <w:numPr>
          <w:ilvl w:val="0"/>
          <w:numId w:val="2"/>
        </w:numPr>
        <w:spacing w:after="80" w:line="288"/>
      </w:pPr>
      <w:r>
        <w:rPr>
          <w:rFonts w:ascii="Calibri" w:cs="Calibri" w:eastAsia="Calibri" w:hAnsi="Calibri"/>
          <w:b/>
          <w:bCs/>
          <w:sz w:val="21"/>
          <w:szCs w:val="21"/>
        </w:rPr>
        <w:t xml:space="preserve">Trīs sistēmu savienošana. </w:t>
      </w:r>
      <w:r>
        <w:rPr>
          <w:rFonts w:ascii="Calibri" w:cs="Calibri" w:eastAsia="Calibri" w:hAnsi="Calibri"/>
          <w:sz w:val="21"/>
          <w:szCs w:val="21"/>
        </w:rPr>
        <w:t xml:space="preserve">Vērtīgākais nav atsevišķs skaitlis, bet gan tas, ka ES fondu projektu (CFLA), iepirkuma (IUB) un īpašnieku (UR) datus iespējams skatīt vienā skatā. Šobrīd šos datus neviens nesavieno, jo tie atrodas trīs atsevišķās sistēmās bez kopīga identifikatora — tieši tāpēc 5.2. sadaļā minētais lūgums par vienotu identifikatoru ir svarīgs.</w:t>
      </w:r>
    </w:p>
    <w:p>
      <w:pPr>
        <w:pStyle w:val="ListParagraph"/>
        <w:numPr>
          <w:ilvl w:val="0"/>
          <w:numId w:val="2"/>
        </w:numPr>
        <w:spacing w:after="80" w:line="288"/>
      </w:pPr>
      <w:r>
        <w:rPr>
          <w:rFonts w:ascii="Calibri" w:cs="Calibri" w:eastAsia="Calibri" w:hAnsi="Calibri"/>
          <w:b/>
          <w:bCs/>
          <w:sz w:val="21"/>
          <w:szCs w:val="21"/>
        </w:rPr>
        <w:t xml:space="preserve">Politiski nozīmīgas personas (PEP). </w:t>
      </w:r>
      <w:r>
        <w:rPr>
          <w:rFonts w:ascii="Calibri" w:cs="Calibri" w:eastAsia="Calibri" w:hAnsi="Calibri"/>
          <w:sz w:val="21"/>
          <w:szCs w:val="21"/>
        </w:rPr>
        <w:t xml:space="preserve">Ja iepirkumu uzvarētāju un pretendentu īpašniekus varētu salīdzināt ar politiski nozīmīgu personu loku, kļūtu redzams, vai publiskā nauda nonāk ar politiku saistītos uzņēmumos. Kā daļēju pārbaudi salīdzināju piegādātāju īpašniekus un valdes locekļus ar Centrālās vēlēšanu komisijas atvērtajiem 14. Saeimas vēlēšanu datiem. Rezultāts: no 100 ievēlētajiem deputātiem 3, bet no visiem 1 820 kandidātiem 58 dalās vārdā un uzvārdā ar kādu iepirkumu piegādātāja īpašnieku vai valdes locekli.</w:t>
      </w:r>
    </w:p>
    <w:p>
      <w:pPr>
        <w:spacing w:after="130" w:line="288"/>
      </w:pPr>
      <w:r>
        <w:rPr>
          <w:rFonts w:ascii="Calibri" w:cs="Calibri" w:eastAsia="Calibri" w:hAnsi="Calibri"/>
          <w:b/>
          <w:bCs/>
          <w:sz w:val="21"/>
          <w:szCs w:val="21"/>
        </w:rPr>
        <w:t xml:space="preserve">Uzsveru, ka tā ir sakritība tikai pēc vārda un uzvārda, bez personas koda pārbaudes, tāpēc tie ir kandidāti pārbaudei, nevis apstiprināti gadījumi. </w:t>
      </w:r>
      <w:r>
        <w:rPr>
          <w:rFonts w:ascii="Calibri" w:cs="Calibri" w:eastAsia="Calibri" w:hAnsi="Calibri"/>
          <w:sz w:val="21"/>
          <w:szCs w:val="21"/>
        </w:rPr>
        <w:t xml:space="preserve">Neviena persona te netiek nosaukta. Šis piemērs balstās tikai uz vienu publisko sarakstu (Saeimas vēlēšanas) — pašvaldību deputāti, ministri, valžu locekļi un ģimenes locekļu loks nav iekļauts, tāpēc patiesais gadījumu skaits ir lielāks. Tas parāda, ka sasaiste strādā, taču bez pilna un mašīnlasāma saraksta tā paliek daļēja.</w:t>
      </w:r>
    </w:p>
    <w:p>
      <w:pPr>
        <w:spacing w:after="130" w:line="288"/>
      </w:pPr>
      <w:r>
        <w:rPr>
          <w:rFonts w:ascii="Calibri" w:cs="Calibri" w:eastAsia="Calibri" w:hAnsi="Calibri"/>
          <w:b/>
          <w:bCs/>
          <w:sz w:val="21"/>
          <w:szCs w:val="21"/>
        </w:rPr>
        <w:t xml:space="preserve">Visus šos signālus esmu gatavs nodot strukturētā formā Iepirkumu uzraudzības birojam vai Konkurences padomei izvērtēšanai. </w:t>
      </w:r>
      <w:r>
        <w:rPr>
          <w:rFonts w:ascii="Calibri" w:cs="Calibri" w:eastAsia="Calibri" w:hAnsi="Calibri"/>
          <w:sz w:val="21"/>
          <w:szCs w:val="21"/>
        </w:rPr>
        <w:t xml:space="preserve">Platformas mērķis nav aizstāt uzraudzību, bet norādīt, kur to vērsts pielietot.</w:t>
      </w:r>
    </w:p>
    <w:p>
      <w:pPr>
        <w:pStyle w:val="Heading1"/>
        <w:spacing w:after="130" w:before="300"/>
      </w:pPr>
      <w:r>
        <w:rPr>
          <w:rFonts w:ascii="Calibri" w:cs="Calibri" w:eastAsia="Calibri" w:hAnsi="Calibri"/>
          <w:b/>
          <w:bCs/>
          <w:color w:val="1F4D3C"/>
          <w:sz w:val="26"/>
          <w:szCs w:val="26"/>
        </w:rPr>
        <w:t xml:space="preserve">5. Priekšlikumi pēc kompetences</w:t>
      </w:r>
    </w:p>
    <w:p>
      <w:pPr>
        <w:spacing w:after="130" w:line="288"/>
      </w:pPr>
      <w:r>
        <w:rPr>
          <w:rFonts w:ascii="Calibri" w:cs="Calibri" w:eastAsia="Calibri" w:hAnsi="Calibri"/>
          <w:sz w:val="21"/>
          <w:szCs w:val="21"/>
        </w:rPr>
        <w:t xml:space="preserve">Ņemot vērā, ka ne visi jautājumi ir vienas iestādes kompetencē, priekšlikumi sadalīti atbilstoši tam, kurš tos var īstenot.</w:t>
      </w:r>
    </w:p>
    <w:p>
      <w:pPr>
        <w:pStyle w:val="Heading2"/>
        <w:spacing w:after="90" w:before="190"/>
      </w:pPr>
      <w:r>
        <w:rPr>
          <w:rFonts w:ascii="Calibri" w:cs="Calibri" w:eastAsia="Calibri" w:hAnsi="Calibri"/>
          <w:b/>
          <w:bCs/>
          <w:color w:val="2E2A24"/>
          <w:sz w:val="22"/>
          <w:szCs w:val="22"/>
        </w:rPr>
        <w:t xml:space="preserve">5.1. Iepirkumu uzraudzības biroja kompetencē</w:t>
      </w:r>
    </w:p>
    <w:p>
      <w:pPr>
        <w:pStyle w:val="ListParagraph"/>
        <w:numPr>
          <w:ilvl w:val="0"/>
          <w:numId w:val="2"/>
        </w:numPr>
        <w:spacing w:after="80" w:line="288"/>
      </w:pPr>
      <w:r>
        <w:rPr>
          <w:rFonts w:ascii="Calibri" w:cs="Calibri" w:eastAsia="Calibri" w:hAnsi="Calibri"/>
          <w:b/>
          <w:bCs/>
          <w:sz w:val="21"/>
          <w:szCs w:val="21"/>
        </w:rPr>
        <w:t xml:space="preserve">Publicēt karodziņus atvērtajos datos. </w:t>
      </w:r>
      <w:r>
        <w:rPr>
          <w:rFonts w:ascii="Calibri" w:cs="Calibri" w:eastAsia="Calibri" w:hAnsi="Calibri"/>
          <w:sz w:val="21"/>
          <w:szCs w:val="21"/>
        </w:rPr>
        <w:t xml:space="preserve">Karodziņi jau tiek aprēķināti un attēloti pie paziņojumiem, taču nav pieejami mašīnlasāmā formātā. To publicēšana ļautu ikvienam tos apkopot pa pasūtītājiem un laikposmiem. Šis ir priekšlikums ar mazāko īstenošanas slogu un lielāko tūlītējo ieguvumu.</w:t>
      </w:r>
    </w:p>
    <w:p>
      <w:pPr>
        <w:pStyle w:val="ListParagraph"/>
        <w:numPr>
          <w:ilvl w:val="0"/>
          <w:numId w:val="2"/>
        </w:numPr>
        <w:spacing w:after="80" w:line="288"/>
      </w:pPr>
      <w:r>
        <w:rPr>
          <w:rFonts w:ascii="Calibri" w:cs="Calibri" w:eastAsia="Calibri" w:hAnsi="Calibri"/>
          <w:b/>
          <w:bCs/>
          <w:sz w:val="21"/>
          <w:szCs w:val="21"/>
        </w:rPr>
        <w:t xml:space="preserve">Validēt uzvarētāja reģistrācijas numuru jau datu ievades brīdī. </w:t>
      </w:r>
      <w:r>
        <w:rPr>
          <w:rFonts w:ascii="Calibri" w:cs="Calibri" w:eastAsia="Calibri" w:hAnsi="Calibri"/>
          <w:sz w:val="21"/>
          <w:szCs w:val="21"/>
        </w:rPr>
        <w:t xml:space="preserve">399 piešķirtiem līgumiem tas nav norādīts. Bez reģistrācijas numura nav iespējams sasaistīt uzvarētāju ar Uzņēmumu reģistra datiem par īpašniekiem un patiesā labuma guvējiem.</w:t>
      </w:r>
    </w:p>
    <w:p>
      <w:pPr>
        <w:pStyle w:val="ListParagraph"/>
        <w:numPr>
          <w:ilvl w:val="0"/>
          <w:numId w:val="2"/>
        </w:numPr>
        <w:spacing w:after="80" w:line="288"/>
      </w:pPr>
      <w:r>
        <w:rPr>
          <w:rFonts w:ascii="Calibri" w:cs="Calibri" w:eastAsia="Calibri" w:hAnsi="Calibri"/>
          <w:b/>
          <w:bCs/>
          <w:sz w:val="21"/>
          <w:szCs w:val="21"/>
        </w:rPr>
        <w:t xml:space="preserve">Ieviest lauku, kas norāda uz iepriekšējo paziņojuma versiju. </w:t>
      </w:r>
      <w:r>
        <w:rPr>
          <w:rFonts w:ascii="Calibri" w:cs="Calibri" w:eastAsia="Calibri" w:hAnsi="Calibri"/>
          <w:sz w:val="21"/>
          <w:szCs w:val="21"/>
        </w:rPr>
        <w:t xml:space="preserve">Labojumu publicēšana ir paredzēta un normāla prakse, taču datu lietotājam nebūtu pašam jānoskaidro, kurš ieraksts ir spēkā esošais.</w:t>
      </w:r>
    </w:p>
    <w:p>
      <w:pPr>
        <w:pStyle w:val="ListParagraph"/>
        <w:numPr>
          <w:ilvl w:val="0"/>
          <w:numId w:val="2"/>
        </w:numPr>
        <w:spacing w:after="80" w:line="288"/>
      </w:pPr>
      <w:r>
        <w:rPr>
          <w:rFonts w:ascii="Calibri" w:cs="Calibri" w:eastAsia="Calibri" w:hAnsi="Calibri"/>
          <w:b/>
          <w:bCs/>
          <w:sz w:val="21"/>
          <w:szCs w:val="21"/>
        </w:rPr>
        <w:t xml:space="preserve">Publicēt visus līguma grozījumus, tostarp to pielikumus. </w:t>
      </w:r>
      <w:r>
        <w:rPr>
          <w:rFonts w:ascii="Calibri" w:cs="Calibri" w:eastAsia="Calibri" w:hAnsi="Calibri"/>
          <w:sz w:val="21"/>
          <w:szCs w:val="21"/>
        </w:rPr>
        <w:t xml:space="preserve">Sākotnējā līguma summa un faktiski samaksātā summa mēdz būtiski atšķirties. Iepirkumu uzraudzības birojs jau tagad ar karodziņu atzīmē gadījumus, kad faktiskā summa pārsniedz sākotnējo par vairāk nekā 50 %, taču nav pieejams pats grozījumu saturs. Bez pielikumiem nav redzams, kas tieši mainījies — cena, apjoms, termiņš vai prasības. Tieši šeit rodas vislielākā daļa neizskaidrotā sadārdzinājuma, un tieši šī daļa šobrīd ir vismazāk caurskatāma.</w:t>
      </w:r>
    </w:p>
    <w:p>
      <w:pPr>
        <w:pStyle w:val="ListParagraph"/>
        <w:numPr>
          <w:ilvl w:val="0"/>
          <w:numId w:val="2"/>
        </w:numPr>
        <w:spacing w:after="80" w:line="288"/>
      </w:pPr>
      <w:r>
        <w:rPr>
          <w:rFonts w:ascii="Calibri" w:cs="Calibri" w:eastAsia="Calibri" w:hAnsi="Calibri"/>
          <w:b/>
          <w:bCs/>
          <w:sz w:val="21"/>
          <w:szCs w:val="21"/>
        </w:rPr>
        <w:t xml:space="preserve">Publicēt iepirkuma komisijas sastāvu un piesaistītos ekspertus — tikai vārdu un uzvārdu, bez personas koda. </w:t>
      </w:r>
      <w:r>
        <w:rPr>
          <w:rFonts w:ascii="Calibri" w:cs="Calibri" w:eastAsia="Calibri" w:hAnsi="Calibri"/>
          <w:sz w:val="21"/>
          <w:szCs w:val="21"/>
        </w:rPr>
        <w:t xml:space="preserve">Komisijas locekļi un eksperti pieņem lēmumu par vairāku miljonu vērtiem līgumiem, taču viņu vārdi mašīnlasāmi nav pieejami. Ja tie būtu, tos varētu salīdzināt ar Uzņēmumu reģistra datiem un pārbaudīt, vai lēmuma pieņēmējam nav īpašuma vai amata saiknes ar kādu no pretendentiem. Interešu konflikta novēršana ir Publisko iepirkumu likuma prasība, taču sabiedrība tās izpildi šobrīd pārbaudīt nevar.</w:t>
      </w:r>
    </w:p>
    <w:p>
      <w:pPr>
        <w:spacing w:after="150" w:line="288"/>
      </w:pPr>
      <w:r>
        <w:rPr>
          <w:rFonts w:ascii="Calibri" w:cs="Calibri" w:eastAsia="Calibri" w:hAnsi="Calibri"/>
          <w:b/>
          <w:bCs/>
          <w:sz w:val="21"/>
          <w:szCs w:val="21"/>
        </w:rPr>
        <w:t xml:space="preserve">Uzsveru, ka personas kods nav nepieciešams un tā publicēšanu neierosinu. </w:t>
      </w:r>
      <w:r>
        <w:rPr>
          <w:rFonts w:ascii="Calibri" w:cs="Calibri" w:eastAsia="Calibri" w:hAnsi="Calibri"/>
          <w:sz w:val="21"/>
          <w:szCs w:val="21"/>
        </w:rPr>
        <w:t xml:space="preserve">Pietiek ar vārdu un uzvārdu, kas norādīts saistībā ar personas publisko funkciju izpildi — tāpat kā tas jau tiek darīts citos valsts pārvaldes reģistros.</w:t>
      </w:r>
    </w:p>
    <w:p>
      <w:pPr>
        <w:pStyle w:val="Heading2"/>
        <w:spacing w:after="90" w:before="190"/>
      </w:pPr>
      <w:r>
        <w:rPr>
          <w:rFonts w:ascii="Calibri" w:cs="Calibri" w:eastAsia="Calibri" w:hAnsi="Calibri"/>
          <w:b/>
          <w:bCs/>
          <w:color w:val="2E2A24"/>
          <w:sz w:val="22"/>
          <w:szCs w:val="22"/>
        </w:rPr>
        <w:t xml:space="preserve">5.2. Risināms sadarbībā ar Elektronisko iepirkumu sistēmas (EIS) pārzini</w:t>
      </w:r>
    </w:p>
    <w:p>
      <w:pPr>
        <w:spacing w:after="130" w:line="288"/>
      </w:pPr>
      <w:r>
        <w:rPr>
          <w:rFonts w:ascii="Calibri" w:cs="Calibri" w:eastAsia="Calibri" w:hAnsi="Calibri"/>
          <w:sz w:val="21"/>
          <w:szCs w:val="21"/>
        </w:rPr>
        <w:t xml:space="preserve">Elektronisko iepirkumu sistēma nav Iepirkumu uzraudzības biroja pārziņā, tāpēc šie priekšlikumi nav adresēti izpildei, bet gan atbalstam:</w:t>
      </w:r>
    </w:p>
    <w:p>
      <w:pPr>
        <w:pStyle w:val="ListParagraph"/>
        <w:numPr>
          <w:ilvl w:val="0"/>
          <w:numId w:val="3"/>
        </w:numPr>
        <w:spacing w:after="80" w:line="288"/>
      </w:pPr>
      <w:r>
        <w:rPr>
          <w:rFonts w:ascii="Calibri" w:cs="Calibri" w:eastAsia="Calibri" w:hAnsi="Calibri"/>
          <w:b/>
          <w:bCs/>
          <w:sz w:val="21"/>
          <w:szCs w:val="21"/>
        </w:rPr>
        <w:t xml:space="preserve">Pretendentu saraksti un kopējās piedāvājumu cenas mašīnlasāmā formātā. </w:t>
      </w:r>
      <w:r>
        <w:rPr>
          <w:rFonts w:ascii="Calibri" w:cs="Calibri" w:eastAsia="Calibri" w:hAnsi="Calibri"/>
          <w:sz w:val="21"/>
          <w:szCs w:val="21"/>
        </w:rPr>
        <w:t xml:space="preserve">Kā norādīts 2. sadaļā, šī informācija jau ir publiska un atrodama atvēršanas protokolos; trūkst vienīgi atkalizmantojama formāta.</w:t>
      </w:r>
    </w:p>
    <w:p>
      <w:pPr>
        <w:pStyle w:val="ListParagraph"/>
        <w:numPr>
          <w:ilvl w:val="0"/>
          <w:numId w:val="3"/>
        </w:numPr>
        <w:spacing w:after="80" w:line="288"/>
      </w:pPr>
      <w:r>
        <w:rPr>
          <w:rFonts w:ascii="Calibri" w:cs="Calibri" w:eastAsia="Calibri" w:hAnsi="Calibri"/>
          <w:b/>
          <w:bCs/>
          <w:sz w:val="21"/>
          <w:szCs w:val="21"/>
        </w:rPr>
        <w:t xml:space="preserve">Vienots identifikators, kas sasaista paziņojumu, EIS procedūru, noslēgto līgumu un attiecīgo ES fondu projektu. </w:t>
      </w:r>
      <w:r>
        <w:rPr>
          <w:rFonts w:ascii="Calibri" w:cs="Calibri" w:eastAsia="Calibri" w:hAnsi="Calibri"/>
          <w:sz w:val="21"/>
          <w:szCs w:val="21"/>
        </w:rPr>
        <w:t xml:space="preserve">Pašlaik šī saikne jāizsecina netieši, un tas rada kļūdu risku.</w:t>
      </w:r>
    </w:p>
    <w:p>
      <w:pPr>
        <w:pStyle w:val="Heading2"/>
        <w:spacing w:after="90" w:before="190"/>
      </w:pPr>
      <w:r>
        <w:rPr>
          <w:rFonts w:ascii="Calibri" w:cs="Calibri" w:eastAsia="Calibri" w:hAnsi="Calibri"/>
          <w:b/>
          <w:bCs/>
          <w:color w:val="2E2A24"/>
          <w:sz w:val="22"/>
          <w:szCs w:val="22"/>
        </w:rPr>
        <w:t xml:space="preserve">5.3. Politikas līmeņa jautājums (Finanšu ministrija)</w:t>
      </w:r>
    </w:p>
    <w:p>
      <w:pPr>
        <w:spacing w:after="130" w:line="288"/>
      </w:pPr>
      <w:r>
        <w:rPr>
          <w:rFonts w:ascii="Calibri" w:cs="Calibri" w:eastAsia="Calibri" w:hAnsi="Calibri"/>
          <w:sz w:val="21"/>
          <w:szCs w:val="21"/>
        </w:rPr>
        <w:t xml:space="preserve">Attiecībā uz zemsliekšņa iepirkumiem jānorāda šādi apsvērumi. </w:t>
      </w:r>
      <w:r>
        <w:rPr>
          <w:rFonts w:ascii="Calibri" w:cs="Calibri" w:eastAsia="Calibri" w:hAnsi="Calibri"/>
          <w:b/>
          <w:bCs/>
          <w:sz w:val="21"/>
          <w:szCs w:val="21"/>
        </w:rPr>
        <w:t xml:space="preserve">tas nav Iepirkumu uzraudzības biroja trūkums</w:t>
      </w:r>
      <w:r>
        <w:rPr>
          <w:rFonts w:ascii="Calibri" w:cs="Calibri" w:eastAsia="Calibri" w:hAnsi="Calibri"/>
          <w:sz w:val="21"/>
          <w:szCs w:val="21"/>
        </w:rPr>
        <w:t xml:space="preserve">. Turpmāk minētie dati iegūti no Centrālās finanšu un līgumu aģentūras (CFLA) publicētajiem ES fondu projektu iepirkumu datiem — tie aptver vienīgi ES līdzfinansētos projektus. Pārējie zemsliekšņa iepirkumi nav redzami nekur.</w:t>
      </w:r>
    </w:p>
    <w:p>
      <w:pPr>
        <w:spacing w:after="130" w:line="288"/>
      </w:pPr>
      <w:r>
        <w:rPr>
          <w:rFonts w:ascii="Calibri" w:cs="Calibri" w:eastAsia="Calibri" w:hAnsi="Calibri"/>
          <w:sz w:val="21"/>
          <w:szCs w:val="21"/>
        </w:rPr>
        <w:t xml:space="preserve">No ES fondu zemsliekšņa līgumiem 97 % (3 789 no 3 910) ir mazāki par 10 000 eiro, ar mediānu 1 310 eiro. Likums to publicēšanu neprasa.</w:t>
      </w:r>
    </w:p>
    <w:p>
      <w:pPr>
        <w:spacing w:after="130" w:line="288"/>
      </w:pPr>
      <w:r>
        <w:rPr>
          <w:rFonts w:ascii="Calibri" w:cs="Calibri" w:eastAsia="Calibri" w:hAnsi="Calibri"/>
          <w:sz w:val="21"/>
          <w:szCs w:val="21"/>
        </w:rPr>
        <w:t xml:space="preserve">Tomēr kopumā tie ir 3 789 līgumi, un </w:t>
      </w:r>
      <w:r>
        <w:rPr>
          <w:rFonts w:ascii="Calibri" w:cs="Calibri" w:eastAsia="Calibri" w:hAnsi="Calibri"/>
          <w:b/>
          <w:bCs/>
          <w:sz w:val="21"/>
          <w:szCs w:val="21"/>
        </w:rPr>
        <w:t xml:space="preserve">122 gadījumos viens piegādātājs ir saņēmis vairākus zemsliekšņa līgumus vienā projektā.</w:t>
      </w:r>
      <w:r>
        <w:rPr>
          <w:rFonts w:ascii="Calibri" w:cs="Calibri" w:eastAsia="Calibri" w:hAnsi="Calibri"/>
          <w:sz w:val="21"/>
          <w:szCs w:val="21"/>
        </w:rPr>
        <w:t xml:space="preserve"> Tam var būt objektīvs pamatojums, taču tas var arī liecināt par iepirkuma sadalīšanu.</w:t>
      </w:r>
    </w:p>
    <w:p>
      <w:pPr>
        <w:spacing w:after="130" w:line="288"/>
      </w:pPr>
      <w:r>
        <w:rPr>
          <w:rFonts w:ascii="Calibri" w:cs="Calibri" w:eastAsia="Calibri" w:hAnsi="Calibri"/>
          <w:sz w:val="21"/>
          <w:szCs w:val="21"/>
        </w:rPr>
        <w:t xml:space="preserve">Ierosinu apsvērt, vai būtu lietderīgi noteikt vienkāršu ikgadēja apkopojuma sniegšanas pienākumu (pasūtītājs, CPV kods, piegādātājs, summa). Tas padarītu sadalīšanu pamanāmu, neuzliekot administratīvu slogu par katru atsevišķu mazo iepirkumu.</w:t>
      </w:r>
    </w:p>
    <w:p>
      <w:pPr>
        <w:spacing w:after="130" w:line="288"/>
      </w:pPr>
      <w:r>
        <w:rPr>
          <w:rFonts w:ascii="Calibri" w:cs="Calibri" w:eastAsia="Calibri" w:hAnsi="Calibri"/>
          <w:b/>
          <w:bCs/>
          <w:sz w:val="21"/>
          <w:szCs w:val="21"/>
        </w:rPr>
        <w:t xml:space="preserve">Politiski nozīmīgu personu saraksta pieejamība. </w:t>
      </w:r>
      <w:r>
        <w:rPr>
          <w:rFonts w:ascii="Calibri" w:cs="Calibri" w:eastAsia="Calibri" w:hAnsi="Calibri"/>
          <w:sz w:val="21"/>
          <w:szCs w:val="21"/>
        </w:rPr>
        <w:t xml:space="preserve">Valsts ieņēmumu dienests jau uztur politiski nozīmīgu personu reģistru (www6.vid.gov.lv/PNP), taču tas ir pieejams tikai kā meklēšana pa vienai personai, ar personas kodu — nevis kā mašīnlasāms, atkalizmantojams saraksts. Ja šis reģistrs (vai tā daļa, kas attiecas uz publiskajām funkcijām) būtu pieejams atvērto datu formātā, to varētu sistemātiski salīdzināt ar iepirkumu īpašnieku datiem un ar personas kodu izslēgt vārdamāsu kļūdas. Tas ir noziedzīgi iegūtu līdzekļu legalizācijas novēršanas regulējuma loģisks turpinājums un prasītu vairāku iestāžu sadarbību.</w:t>
      </w:r>
    </w:p>
    <w:p>
      <w:pPr>
        <w:pStyle w:val="Heading1"/>
        <w:spacing w:after="130" w:before="300"/>
      </w:pPr>
      <w:r>
        <w:rPr>
          <w:rFonts w:ascii="Calibri" w:cs="Calibri" w:eastAsia="Calibri" w:hAnsi="Calibri"/>
          <w:b/>
          <w:bCs/>
          <w:color w:val="1F4D3C"/>
          <w:sz w:val="26"/>
          <w:szCs w:val="26"/>
        </w:rPr>
        <w:t xml:space="preserve">6. Piedāvātais ieguldījums</w:t>
      </w:r>
    </w:p>
    <w:p>
      <w:pPr>
        <w:spacing w:after="130" w:line="288"/>
      </w:pPr>
      <w:r>
        <w:rPr>
          <w:rFonts w:ascii="Calibri" w:cs="Calibri" w:eastAsia="Calibri" w:hAnsi="Calibri"/>
          <w:sz w:val="21"/>
          <w:szCs w:val="21"/>
        </w:rPr>
        <w:t xml:space="preserve">Divu nedēļu laikā pēc tikšanās, bez atlīdzības:</w:t>
      </w:r>
    </w:p>
    <w:p>
      <w:pPr>
        <w:pStyle w:val="ListParagraph"/>
        <w:numPr>
          <w:ilvl w:val="0"/>
          <w:numId w:val="2"/>
        </w:numPr>
        <w:spacing w:after="80" w:line="288"/>
      </w:pPr>
      <w:r>
        <w:rPr>
          <w:rFonts w:ascii="Calibri" w:cs="Calibri" w:eastAsia="Calibri" w:hAnsi="Calibri"/>
          <w:sz w:val="21"/>
          <w:szCs w:val="21"/>
        </w:rPr>
        <w:t xml:space="preserve">Pilns datu kļūdu saraksts ar paziņojumu identifikatoriem, tostarp 63 procedūras ar savstarpēji pretrunīgām summām.</w:t>
      </w:r>
    </w:p>
    <w:p>
      <w:pPr>
        <w:pStyle w:val="ListParagraph"/>
        <w:numPr>
          <w:ilvl w:val="0"/>
          <w:numId w:val="2"/>
        </w:numPr>
        <w:spacing w:after="80" w:line="288"/>
      </w:pPr>
      <w:r>
        <w:rPr>
          <w:rFonts w:ascii="Calibri" w:cs="Calibri" w:eastAsia="Calibri" w:hAnsi="Calibri"/>
          <w:sz w:val="21"/>
          <w:szCs w:val="21"/>
        </w:rPr>
        <w:t xml:space="preserve">Metodika atkārtoti publicēto paziņojumu sasaistei.</w:t>
      </w:r>
    </w:p>
    <w:p>
      <w:pPr>
        <w:pStyle w:val="ListParagraph"/>
        <w:numPr>
          <w:ilvl w:val="0"/>
          <w:numId w:val="2"/>
        </w:numPr>
        <w:spacing w:after="80" w:line="288"/>
      </w:pPr>
      <w:r>
        <w:rPr>
          <w:rFonts w:ascii="Calibri" w:cs="Calibri" w:eastAsia="Calibri" w:hAnsi="Calibri"/>
          <w:sz w:val="21"/>
          <w:szCs w:val="21"/>
        </w:rPr>
        <w:t xml:space="preserve">Visas riska rādītāju definīcijas — pārbaudei, saskaņošanai vai kritikai.</w:t>
      </w:r>
    </w:p>
    <w:p>
      <w:pPr>
        <w:pStyle w:val="ListParagraph"/>
        <w:numPr>
          <w:ilvl w:val="0"/>
          <w:numId w:val="2"/>
        </w:numPr>
        <w:spacing w:after="80" w:line="288"/>
      </w:pPr>
      <w:r>
        <w:rPr>
          <w:rFonts w:ascii="Calibri" w:cs="Calibri" w:eastAsia="Calibri" w:hAnsi="Calibri"/>
          <w:sz w:val="21"/>
          <w:szCs w:val="21"/>
        </w:rPr>
        <w:t xml:space="preserve">Dalība jaunu datu kopu testēšanā pirms to plašas publiskošanas.</w:t>
      </w:r>
    </w:p>
    <w:p>
      <w:pPr>
        <w:pStyle w:val="Heading1"/>
        <w:spacing w:after="130" w:before="300"/>
      </w:pPr>
      <w:r>
        <w:rPr>
          <w:rFonts w:ascii="Calibri" w:cs="Calibri" w:eastAsia="Calibri" w:hAnsi="Calibri"/>
          <w:b/>
          <w:bCs/>
          <w:color w:val="1F4D3C"/>
          <w:sz w:val="26"/>
          <w:szCs w:val="26"/>
        </w:rPr>
        <w:t xml:space="preserve">7. Jautājumi</w:t>
      </w:r>
    </w:p>
    <w:p>
      <w:pPr>
        <w:pStyle w:val="ListParagraph"/>
        <w:numPr>
          <w:ilvl w:val="0"/>
          <w:numId w:val="2"/>
        </w:numPr>
        <w:spacing w:after="80" w:line="288"/>
      </w:pPr>
      <w:r>
        <w:rPr>
          <w:rFonts w:ascii="Calibri" w:cs="Calibri" w:eastAsia="Calibri" w:hAnsi="Calibri"/>
          <w:sz w:val="21"/>
          <w:szCs w:val="21"/>
        </w:rPr>
        <w:t xml:space="preserve">Kāds ieguldījums būtu visnoderīgākais?</w:t>
      </w:r>
    </w:p>
    <w:p>
      <w:pPr>
        <w:pStyle w:val="ListParagraph"/>
        <w:numPr>
          <w:ilvl w:val="0"/>
          <w:numId w:val="2"/>
        </w:numPr>
        <w:spacing w:after="80" w:line="288"/>
      </w:pPr>
      <w:r>
        <w:rPr>
          <w:rFonts w:ascii="Calibri" w:cs="Calibri" w:eastAsia="Calibri" w:hAnsi="Calibri"/>
          <w:sz w:val="21"/>
          <w:szCs w:val="21"/>
        </w:rPr>
        <w:t xml:space="preserve">Vai piedāvājumu cenas tiek saglabātas strukturētā formātā? Ja jā, vai tās iespējams padarīt pieejamas analīzei kaut vai anonimizētā veidā?</w:t>
      </w:r>
    </w:p>
    <w:p>
      <w:pPr>
        <w:pStyle w:val="ListParagraph"/>
        <w:numPr>
          <w:ilvl w:val="0"/>
          <w:numId w:val="2"/>
        </w:numPr>
        <w:spacing w:after="80" w:line="288"/>
      </w:pPr>
      <w:r>
        <w:rPr>
          <w:rFonts w:ascii="Calibri" w:cs="Calibri" w:eastAsia="Calibri" w:hAnsi="Calibri"/>
          <w:sz w:val="21"/>
          <w:szCs w:val="21"/>
        </w:rPr>
        <w:t xml:space="preserve">Vai karodziņu publicēšana atvērtajos datos jau ir plānota un, ja jā, kādā termiņā?</w:t>
      </w:r>
    </w:p>
    <w:p>
      <w:pPr>
        <w:pStyle w:val="ListParagraph"/>
        <w:numPr>
          <w:ilvl w:val="0"/>
          <w:numId w:val="2"/>
        </w:numPr>
        <w:spacing w:after="80" w:line="288"/>
      </w:pPr>
      <w:r>
        <w:rPr>
          <w:rFonts w:ascii="Calibri" w:cs="Calibri" w:eastAsia="Calibri" w:hAnsi="Calibri"/>
          <w:sz w:val="21"/>
          <w:szCs w:val="21"/>
        </w:rPr>
        <w:t xml:space="preserve">Kāda ir sadarbības kārtība ar Konkurences padomi gadījumos, kad parādās saskaņotas rīcības pazīmes?</w:t>
      </w:r>
    </w:p>
    <w:p>
      <w:pPr>
        <w:pBdr>
          <w:bottom w:val="single" w:color="D8D0C2" w:sz="6"/>
        </w:pBdr>
        <w:spacing w:after="150"/>
      </w:pPr>
    </w:p>
    <w:p>
      <w:pPr>
        <w:spacing w:after="60" w:line="288"/>
      </w:pPr>
      <w:r>
        <w:rPr>
          <w:rFonts w:ascii="Calibri" w:cs="Calibri" w:eastAsia="Calibri" w:hAnsi="Calibri"/>
          <w:sz w:val="21"/>
          <w:szCs w:val="21"/>
        </w:rPr>
        <w:t xml:space="preserve">Ar cieņu,</w:t>
      </w:r>
    </w:p>
    <w:p>
      <w:pPr>
        <w:spacing w:after="30" w:line="288"/>
      </w:pPr>
      <w:r>
        <w:rPr>
          <w:rFonts w:ascii="Calibri" w:cs="Calibri" w:eastAsia="Calibri" w:hAnsi="Calibri"/>
          <w:b/>
          <w:bCs/>
          <w:sz w:val="21"/>
          <w:szCs w:val="21"/>
        </w:rPr>
        <w:t xml:space="preserve">Jānis Rupeiks</w:t>
      </w:r>
    </w:p>
    <w:p>
      <w:pPr>
        <w:spacing w:after="130" w:line="288"/>
      </w:pPr>
      <w:r>
        <w:rPr>
          <w:rFonts w:ascii="Calibri" w:cs="Calibri" w:eastAsia="Calibri" w:hAnsi="Calibri"/>
          <w:color w:val="5A5248"/>
          <w:sz w:val="19"/>
          <w:szCs w:val="19"/>
        </w:rPr>
        <w:t xml:space="preserve">iepirkumurisks.lv · janis.rupeiks@inbox.lv</w:t>
      </w:r>
    </w:p>
    <w:p>
      <w:pPr>
        <w:spacing w:after="130" w:line="288"/>
      </w:pPr>
      <w:r>
        <w:rPr>
          <w:rFonts w:ascii="Calibri" w:cs="Calibri" w:eastAsia="Calibri" w:hAnsi="Calibri"/>
          <w:i/>
          <w:iCs/>
          <w:color w:val="5A5248"/>
          <w:sz w:val="18"/>
          <w:szCs w:val="18"/>
        </w:rPr>
        <w:t xml:space="preserve">Vietnes metodika un pirmkods ir publiski pieejami vietnē iepirkumurisks.lv. Izmantoti vienīgi publiski atvērtie dati: Iepirkumu uzraudzības biroja, Uzņēmumu reģistra, CFLA un Elektronisko iepirkumu sistēmas dati.</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2026-07-16T20:22:39.915Z</dcterms:created>
  <dcterms:modified xsi:type="dcterms:W3CDTF">2026-07-16T20:22:39.916Z</dcterms:modified>
</cp:coreProperties>
</file>

<file path=docProps/custom.xml><?xml version="1.0" encoding="utf-8"?>
<Properties xmlns="http://schemas.openxmlformats.org/officeDocument/2006/custom-properties" xmlns:vt="http://schemas.openxmlformats.org/officeDocument/2006/docPropsVTypes"/>
</file>