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23420"/>
          <w:sz w:val="22"/>
          <w:szCs w:val="22"/>
        </w:rPr>
        <w:t xml:space="preserve">PRIVĀTI — TIKAI SEV. NENODOT IUB.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D3C"/>
          <w:sz w:val="26"/>
          <w:szCs w:val="26"/>
        </w:rPr>
        <w:t xml:space="preserve">Sarunu punkti — IUB (Artis Lapiņš) + FM (Guntars Vītols)</w:t>
      </w:r>
    </w:p>
    <w:p>
      <w:pPr>
        <w:spacing w:after="130"/>
      </w:pPr>
      <w:r>
        <w:rPr>
          <w:rFonts w:ascii="Calibri" w:cs="Calibri" w:eastAsia="Calibri" w:hAnsi="Calibri"/>
          <w:i/>
          <w:iCs/>
          <w:color w:val="5A5248"/>
          <w:sz w:val="19"/>
          <w:szCs w:val="19"/>
        </w:rPr>
        <w:t xml:space="preserve">14.07.2026., 11:00, Smilšu iela 1. Mērķis: partnerība, nevis prasību saraksts. Beigt ar konkrētu nākamo soli.</w:t>
      </w:r>
    </w:p>
    <w:p>
      <w:pPr>
        <w:pBdr>
          <w:bottom w:val="single" w:color="D8D0C2" w:sz="6"/>
        </w:pBdr>
        <w:spacing w:after="150"/>
      </w:pP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SĀC AR ŠO (tava spēcīgākā pozīcija)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"Es to varēju uzbūvēt tikai tāpēc, ka jūs kopš 2024. gada publicējat e-veidlapas mašīnlasāmi. Es esmu jūsu atvērto datu politikas rezultāts."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Jūsu karodziņi saka "iespējami riski". Mana vietne saka "karogs nav pierādījums". Mēs jau runājam vienā valodā.</w:t>
      </w: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LIELAIS ARGUMENTS — ja atceries tikai vienu lietu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"Es zinu, CIK pretendentu bija. Daļēji zinu, KAS tie bija. Bet es nekad nezinu, KO VIŅI PIEDĀVĀJA."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91 612 pretendentu ierakstu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nevienam nav cenas</w:t>
      </w:r>
      <w:r>
        <w:rPr>
          <w:rFonts w:ascii="Calibri" w:cs="Calibri" w:eastAsia="Calibri" w:hAnsi="Calibri"/>
          <w:sz w:val="19"/>
          <w:szCs w:val="19"/>
        </w:rPr>
        <w:t xml:space="preserve">. Bez cenām neizpildās neviens karteļu tests: segpiedāvājumi, cenu regularitāte, nemainīga zaudēšanas starpība, izkliede.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Frāze: "Es varu pateikt, kur bija maz konkurentu. Es nevaru pateikt, kur konkurence bija izlikšanās."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Pasaki pretargumentu PATS (OECD): visu cenu publicēšana palīdz kartelim sevi uzraudzīt. Piedāvā 3 variantus: ar nobīdi · anonimizēti · vai testus veic paši IUB/KP, un tu dod metodiku.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Tas parāda, ka esi nopietns, ne naivs.</w:t>
      </w: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VIEGLAIS LŪGUMS — ar ko dabūt ātru "jā"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Publicējiet karodziņus atvērtajos datos (JSON/API).</w:t>
      </w:r>
      <w:r>
        <w:rPr>
          <w:rFonts w:ascii="Calibri" w:cs="Calibri" w:eastAsia="Calibri" w:hAnsi="Calibri"/>
          <w:sz w:val="19"/>
          <w:szCs w:val="19"/>
        </w:rPr>
        <w:t xml:space="preserve"> Jau tiek rēķināti, tikai nav mašīnlasāmi. Lēti, viņu sistēmā, PR pluss.</w:t>
      </w: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PĀRĒJIE — pa adresātiem (nesajauc!)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IUB pats: </w:t>
      </w:r>
      <w:r>
        <w:rPr>
          <w:rFonts w:ascii="Calibri" w:cs="Calibri" w:eastAsia="Calibri" w:hAnsi="Calibri"/>
          <w:sz w:val="19"/>
          <w:szCs w:val="19"/>
        </w:rPr>
        <w:t xml:space="preserve">uzvarētāja reģ. nr. validācija (399 nav) · versiju lauks · ievades pārbaudes.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VRAA: </w:t>
      </w:r>
      <w:r>
        <w:rPr>
          <w:rFonts w:ascii="Calibri" w:cs="Calibri" w:eastAsia="Calibri" w:hAnsi="Calibri"/>
          <w:sz w:val="19"/>
          <w:szCs w:val="19"/>
        </w:rPr>
        <w:t xml:space="preserve">pretendentu saraksti + cenas · stabils ID.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EIS nav IUB sistēma — lūdz ATBALSTU, ne izpildi.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FM (Vītolam): </w:t>
      </w:r>
      <w:r>
        <w:rPr>
          <w:rFonts w:ascii="Calibri" w:cs="Calibri" w:eastAsia="Calibri" w:hAnsi="Calibri"/>
          <w:sz w:val="19"/>
          <w:szCs w:val="19"/>
        </w:rPr>
        <w:t xml:space="preserve">zemsliekšņa gada apkopojums.</w:t>
      </w: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DATU KVALITĀTE — pasniedz kā DĀVANU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3,7 % bez vērtības · 3,8 % bez CPV · 5,7 % bez pretendentu skaita · 1,8 % bez uzvarētāja reģ. nr. · 63 pretrunīgas summas.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"Divu nedēļu laikā iedodu pilnu sarakstu ar paziņojumu numuriem."</w:t>
      </w: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ZEMSLIEKŠŅA — esi godīgs, tas nostiprina uzticību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Saki pats: "97 % ir zem 10 000 € (mediāna 1 310 €). Likums neprasa publicēt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tā nav IUB vaina</w:t>
      </w:r>
      <w:r>
        <w:rPr>
          <w:rFonts w:ascii="Calibri" w:cs="Calibri" w:eastAsia="Calibri" w:hAnsi="Calibri"/>
          <w:sz w:val="19"/>
          <w:szCs w:val="19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BET: 122 gadījumos viens piegādātājs, daudz zemsliekšņa līgumu vienā projektā → sadalīšana.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Tas ir jautājums FM, ne Lapiņam.</w:t>
      </w: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UZMANIES — kur tevi var noķert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NEsaki "skrāpēju EIS". </w:t>
      </w:r>
      <w:r>
        <w:rPr>
          <w:rFonts w:ascii="Calibri" w:cs="Calibri" w:eastAsia="Calibri" w:hAnsi="Calibri"/>
          <w:sz w:val="19"/>
          <w:szCs w:val="19"/>
        </w:rPr>
        <w:t xml:space="preserve">Saki: "apkopoju no publiskajiem atvēršanas protokoliem".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NEliec uz galda 40 "saistīto pretendentu" gadījumus ar vārdiem. </w:t>
      </w:r>
      <w:r>
        <w:rPr>
          <w:rFonts w:ascii="Calibri" w:cs="Calibri" w:eastAsia="Calibri" w:hAnsi="Calibri"/>
          <w:sz w:val="19"/>
          <w:szCs w:val="19"/>
        </w:rPr>
        <w:t xml:space="preserve">Kopīgs īpašnieks NAV pārkāpums (ES Tiesa, Assitur C-538/07). Tikai agregāti + piedāvā nodot konfidenciāli.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Nesauc republikācijas par "dublikātiem" — tās ir paredzētas. Lūdz versiju lauku.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Ja tavs 24,6 % nesakrīt ar viņu skaitli — nestrīdies: "tāpēc vajag kopīgas definīcijas".</w:t>
      </w:r>
    </w:p>
    <w:p>
      <w:pPr>
        <w:spacing w:after="70" w:before="165"/>
      </w:pPr>
      <w:r>
        <w:rPr>
          <w:rFonts w:ascii="Calibri" w:cs="Calibri" w:eastAsia="Calibri" w:hAnsi="Calibri"/>
          <w:b/>
          <w:bCs/>
          <w:color w:val="1F4D3C"/>
          <w:sz w:val="21"/>
          <w:szCs w:val="21"/>
        </w:rPr>
        <w:t xml:space="preserve">BEIDZ AR ŠO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"Kas jums no manis noderētu?"</w:t>
      </w:r>
      <w:r>
        <w:rPr>
          <w:rFonts w:ascii="Calibri" w:cs="Calibri" w:eastAsia="Calibri" w:hAnsi="Calibri"/>
          <w:sz w:val="19"/>
          <w:szCs w:val="19"/>
        </w:rPr>
        <w:t xml:space="preserve"> — pārvērš tevi no prasītāja par piegādātāju.</w:t>
      </w:r>
    </w:p>
    <w:p>
      <w:pPr>
        <w:pStyle w:val="ListParagraph"/>
        <w:numPr>
          <w:ilvl w:val="0"/>
          <w:numId w:val="2"/>
        </w:numPr>
        <w:spacing w:after="50" w:line="250"/>
      </w:pPr>
      <w:r>
        <w:rPr>
          <w:rFonts w:ascii="Calibri" w:cs="Calibri" w:eastAsia="Calibri" w:hAnsi="Calibri"/>
          <w:sz w:val="19"/>
          <w:szCs w:val="19"/>
        </w:rPr>
        <w:t xml:space="preserve">Vienojies: tehniskā kontaktpersona · saziņa ceturksnī · VRAA pieaicināšana nākamreiz.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74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2026-07-14T03:40:40.842Z</dcterms:created>
  <dcterms:modified xsi:type="dcterms:W3CDTF">2026-07-14T03:40:40.842Z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