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CE927" w14:textId="77777777" w:rsidR="00E80323" w:rsidRDefault="00E80323" w:rsidP="00E80323"/>
    <w:tbl>
      <w:tblPr>
        <w:tblW w:w="96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9"/>
        <w:gridCol w:w="5799"/>
        <w:gridCol w:w="1934"/>
      </w:tblGrid>
      <w:tr w:rsidR="008666D2" w:rsidRPr="0029236A" w14:paraId="79ECA286" w14:textId="77777777" w:rsidTr="00A80786">
        <w:trPr>
          <w:trHeight w:val="1213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3912A2CA" w14:textId="77777777" w:rsidR="008666D2" w:rsidRPr="0029236A" w:rsidRDefault="008666D2" w:rsidP="00A80786">
            <w:pPr>
              <w:widowControl w:val="0"/>
              <w:spacing w:after="0"/>
              <w:ind w:right="85"/>
              <w:rPr>
                <w:rFonts w:ascii="Arial" w:hAnsi="Arial"/>
                <w:lang w:eastAsia="en-GB"/>
              </w:rPr>
            </w:pPr>
            <w:r w:rsidRPr="0029236A">
              <w:rPr>
                <w:rFonts w:ascii="Arial" w:hAnsi="Arial"/>
                <w:noProof/>
                <w:sz w:val="20"/>
                <w:lang w:val="fr-BE" w:eastAsia="fr-BE"/>
              </w:rPr>
              <w:drawing>
                <wp:inline distT="0" distB="0" distL="0" distR="0" wp14:anchorId="7B1B8DDC" wp14:editId="6B1E23EF">
                  <wp:extent cx="1367790" cy="673100"/>
                  <wp:effectExtent l="0" t="0" r="3810" b="0"/>
                  <wp:docPr id="3" name="Picture 3" descr="logo_ec_17_colors_300d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ec_17_colors_300d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9" w:type="dxa"/>
            <w:tcBorders>
              <w:top w:val="nil"/>
              <w:left w:val="nil"/>
              <w:bottom w:val="nil"/>
              <w:right w:val="nil"/>
            </w:tcBorders>
          </w:tcPr>
          <w:p w14:paraId="1AFC02D1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lang w:eastAsia="en-GB"/>
              </w:rPr>
            </w:pPr>
            <w:r w:rsidRPr="0029236A">
              <w:rPr>
                <w:rFonts w:ascii="Arial" w:hAnsi="Arial"/>
                <w:lang w:eastAsia="en-GB"/>
              </w:rPr>
              <w:t>EUROPEAN COMMISSION</w:t>
            </w:r>
          </w:p>
          <w:p w14:paraId="5104C0D3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sz w:val="16"/>
                <w:lang w:eastAsia="en-GB"/>
              </w:rPr>
            </w:pPr>
            <w:r w:rsidRPr="0029236A">
              <w:rPr>
                <w:rFonts w:ascii="Arial" w:hAnsi="Arial"/>
                <w:sz w:val="16"/>
                <w:lang w:eastAsia="en-GB"/>
              </w:rPr>
              <w:t>EUROSTAT</w:t>
            </w:r>
          </w:p>
          <w:p w14:paraId="3E6641A2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sz w:val="16"/>
                <w:lang w:eastAsia="en-GB"/>
              </w:rPr>
            </w:pPr>
          </w:p>
          <w:p w14:paraId="73F0BBAA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sz w:val="16"/>
                <w:lang w:eastAsia="en-GB"/>
              </w:rPr>
            </w:pPr>
            <w:r w:rsidRPr="0029236A">
              <w:rPr>
                <w:rFonts w:ascii="Arial" w:hAnsi="Arial"/>
                <w:sz w:val="16"/>
                <w:lang w:eastAsia="en-GB"/>
              </w:rPr>
              <w:t>Directorate F: Social statistics</w:t>
            </w:r>
          </w:p>
          <w:p w14:paraId="755C6476" w14:textId="77777777" w:rsidR="008666D2" w:rsidRPr="0029236A" w:rsidRDefault="008666D2" w:rsidP="00A80786">
            <w:pPr>
              <w:widowControl w:val="0"/>
              <w:spacing w:after="0"/>
              <w:ind w:left="142" w:right="85"/>
              <w:rPr>
                <w:rFonts w:ascii="Arial" w:hAnsi="Arial"/>
                <w:sz w:val="16"/>
                <w:lang w:eastAsia="en-GB"/>
              </w:rPr>
            </w:pPr>
            <w:r w:rsidRPr="0029236A">
              <w:rPr>
                <w:rFonts w:ascii="Arial" w:hAnsi="Arial"/>
                <w:b/>
                <w:bCs/>
                <w:sz w:val="16"/>
                <w:lang w:eastAsia="en-GB"/>
              </w:rPr>
              <w:t>Unit F-4: Income and living conditions; Quality of life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14:paraId="7486FEDF" w14:textId="77777777" w:rsidR="008666D2" w:rsidRPr="0029236A" w:rsidRDefault="008666D2" w:rsidP="00A80786">
            <w:pPr>
              <w:widowControl w:val="0"/>
              <w:spacing w:after="0"/>
              <w:ind w:right="85"/>
              <w:rPr>
                <w:rFonts w:ascii="Arial" w:hAnsi="Arial"/>
                <w:lang w:eastAsia="en-GB"/>
              </w:rPr>
            </w:pPr>
          </w:p>
        </w:tc>
      </w:tr>
    </w:tbl>
    <w:p w14:paraId="0623F614" w14:textId="77777777" w:rsidR="008666D2" w:rsidRPr="0084180C" w:rsidRDefault="008666D2" w:rsidP="008666D2">
      <w:pPr>
        <w:jc w:val="center"/>
        <w:rPr>
          <w:rFonts w:ascii="Calibri" w:eastAsia="Calibri" w:hAnsi="Calibri"/>
          <w:b/>
          <w:szCs w:val="24"/>
          <w:lang w:val="en-US"/>
        </w:rPr>
      </w:pPr>
    </w:p>
    <w:p w14:paraId="2CA4196F" w14:textId="77777777" w:rsidR="008666D2" w:rsidRPr="0084180C" w:rsidRDefault="008666D2" w:rsidP="008666D2">
      <w:pPr>
        <w:jc w:val="center"/>
        <w:rPr>
          <w:rFonts w:ascii="Calibri" w:eastAsia="Calibri" w:hAnsi="Calibri"/>
          <w:b/>
          <w:szCs w:val="24"/>
          <w:lang w:val="en-US"/>
        </w:rPr>
      </w:pPr>
    </w:p>
    <w:p w14:paraId="2E708BB2" w14:textId="77777777" w:rsidR="008666D2" w:rsidRPr="0084180C" w:rsidRDefault="008666D2" w:rsidP="008666D2">
      <w:pPr>
        <w:jc w:val="center"/>
        <w:rPr>
          <w:rFonts w:ascii="Calibri" w:eastAsia="Calibri" w:hAnsi="Calibri"/>
          <w:b/>
          <w:szCs w:val="24"/>
          <w:lang w:val="en-US"/>
        </w:rPr>
      </w:pPr>
    </w:p>
    <w:p w14:paraId="2EABF35F" w14:textId="77777777" w:rsidR="008666D2" w:rsidRPr="0084180C" w:rsidRDefault="008666D2" w:rsidP="008666D2">
      <w:pPr>
        <w:spacing w:before="240" w:after="0"/>
        <w:jc w:val="right"/>
        <w:outlineLvl w:val="0"/>
        <w:rPr>
          <w:rFonts w:ascii="Arial" w:hAnsi="Arial"/>
          <w:b/>
          <w:kern w:val="28"/>
          <w:szCs w:val="28"/>
          <w:lang w:val="en-US"/>
        </w:rPr>
      </w:pPr>
    </w:p>
    <w:p w14:paraId="15A456D6" w14:textId="77777777" w:rsidR="008666D2" w:rsidRDefault="008666D2" w:rsidP="008666D2">
      <w:pPr>
        <w:jc w:val="center"/>
        <w:rPr>
          <w:rFonts w:ascii="Calibri" w:eastAsia="Calibri" w:hAnsi="Calibri"/>
          <w:b/>
          <w:sz w:val="32"/>
          <w:szCs w:val="32"/>
        </w:rPr>
      </w:pPr>
    </w:p>
    <w:p w14:paraId="5CA4029E" w14:textId="77777777" w:rsidR="008666D2" w:rsidRDefault="008666D2" w:rsidP="008666D2">
      <w:pPr>
        <w:jc w:val="center"/>
        <w:rPr>
          <w:rFonts w:ascii="Calibri" w:eastAsia="Calibri" w:hAnsi="Calibri"/>
          <w:b/>
          <w:sz w:val="32"/>
          <w:szCs w:val="32"/>
        </w:rPr>
      </w:pPr>
    </w:p>
    <w:p w14:paraId="1B054E0E" w14:textId="77777777" w:rsidR="008666D2" w:rsidRDefault="008666D2" w:rsidP="008666D2">
      <w:pPr>
        <w:jc w:val="center"/>
        <w:rPr>
          <w:rFonts w:ascii="Calibri" w:eastAsia="Calibri" w:hAnsi="Calibri"/>
          <w:b/>
          <w:sz w:val="32"/>
          <w:szCs w:val="32"/>
        </w:rPr>
      </w:pPr>
    </w:p>
    <w:p w14:paraId="35901CB8" w14:textId="77777777" w:rsidR="008666D2" w:rsidRDefault="008666D2" w:rsidP="008666D2">
      <w:pPr>
        <w:jc w:val="center"/>
        <w:rPr>
          <w:rFonts w:ascii="Calibri" w:eastAsia="Calibri" w:hAnsi="Calibri"/>
          <w:b/>
          <w:sz w:val="32"/>
          <w:szCs w:val="32"/>
        </w:rPr>
      </w:pPr>
    </w:p>
    <w:p w14:paraId="74AA8A12" w14:textId="77777777" w:rsidR="008666D2" w:rsidRPr="0084180C" w:rsidRDefault="008666D2" w:rsidP="008666D2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4"/>
      </w:tblGrid>
      <w:tr w:rsidR="008666D2" w:rsidRPr="00182303" w14:paraId="394A7A75" w14:textId="77777777" w:rsidTr="00A80786">
        <w:trPr>
          <w:trHeight w:val="1617"/>
          <w:jc w:val="center"/>
        </w:trPr>
        <w:tc>
          <w:tcPr>
            <w:tcW w:w="8834" w:type="dxa"/>
          </w:tcPr>
          <w:p w14:paraId="4D7FBC77" w14:textId="77777777" w:rsidR="008666D2" w:rsidRPr="00182303" w:rsidRDefault="008666D2" w:rsidP="00A80786">
            <w:pPr>
              <w:spacing w:before="120" w:after="120"/>
              <w:ind w:left="567" w:right="567"/>
              <w:jc w:val="center"/>
              <w:rPr>
                <w:rFonts w:cstheme="minorHAnsi"/>
                <w:b/>
                <w:sz w:val="32"/>
              </w:rPr>
            </w:pPr>
          </w:p>
          <w:p w14:paraId="386DF8AC" w14:textId="77777777" w:rsidR="008666D2" w:rsidRPr="00182303" w:rsidRDefault="008666D2" w:rsidP="00A80786">
            <w:pPr>
              <w:spacing w:before="120" w:after="120"/>
              <w:ind w:left="567" w:right="567"/>
              <w:jc w:val="center"/>
              <w:rPr>
                <w:rFonts w:cstheme="minorHAnsi"/>
                <w:b/>
                <w:sz w:val="32"/>
              </w:rPr>
            </w:pPr>
            <w:r w:rsidRPr="00182303">
              <w:rPr>
                <w:rFonts w:cstheme="minorHAnsi"/>
                <w:b/>
                <w:sz w:val="32"/>
              </w:rPr>
              <w:t xml:space="preserve">EU-SILC Validation Software </w:t>
            </w:r>
          </w:p>
          <w:p w14:paraId="6DE9B759" w14:textId="5695AFC2" w:rsidR="008666D2" w:rsidRDefault="008666D2" w:rsidP="00A80786">
            <w:pPr>
              <w:spacing w:before="120" w:after="120"/>
              <w:ind w:left="567" w:right="567"/>
              <w:jc w:val="center"/>
              <w:rPr>
                <w:rFonts w:cstheme="minorHAnsi"/>
                <w:b/>
                <w:sz w:val="32"/>
              </w:rPr>
            </w:pPr>
            <w:r>
              <w:rPr>
                <w:rFonts w:cstheme="minorHAnsi"/>
                <w:b/>
                <w:sz w:val="32"/>
              </w:rPr>
              <w:t xml:space="preserve">INSTALLATION GUIDE – EG and SAS </w:t>
            </w:r>
            <w:r w:rsidRPr="00563138">
              <w:rPr>
                <w:rFonts w:cstheme="minorHAnsi"/>
                <w:b/>
                <w:sz w:val="32"/>
              </w:rPr>
              <w:t>9.</w:t>
            </w:r>
            <w:r w:rsidR="00531A96">
              <w:rPr>
                <w:rFonts w:cstheme="minorHAnsi"/>
                <w:b/>
                <w:sz w:val="32"/>
              </w:rPr>
              <w:t>4</w:t>
            </w:r>
            <w:r>
              <w:rPr>
                <w:rFonts w:cstheme="minorHAnsi"/>
                <w:b/>
                <w:sz w:val="32"/>
              </w:rPr>
              <w:t xml:space="preserve"> Users</w:t>
            </w:r>
            <w:r w:rsidR="00934EB0">
              <w:rPr>
                <w:rFonts w:cstheme="minorHAnsi"/>
                <w:b/>
                <w:sz w:val="32"/>
              </w:rPr>
              <w:t xml:space="preserve"> </w:t>
            </w:r>
            <w:r w:rsidR="00934EB0" w:rsidRPr="00934EB0">
              <w:rPr>
                <w:rFonts w:cstheme="minorHAnsi"/>
                <w:b/>
                <w:sz w:val="32"/>
                <w:highlight w:val="yellow"/>
              </w:rPr>
              <w:t>and R-studio users</w:t>
            </w:r>
          </w:p>
          <w:p w14:paraId="3AC52C8A" w14:textId="77777777" w:rsidR="008666D2" w:rsidRPr="00182303" w:rsidRDefault="008666D2" w:rsidP="00516FAD">
            <w:pPr>
              <w:spacing w:before="120" w:after="120"/>
              <w:ind w:left="567" w:right="567"/>
              <w:jc w:val="center"/>
              <w:rPr>
                <w:rFonts w:cstheme="minorHAnsi"/>
                <w:b/>
                <w:sz w:val="32"/>
              </w:rPr>
            </w:pPr>
          </w:p>
        </w:tc>
      </w:tr>
    </w:tbl>
    <w:p w14:paraId="7948A98D" w14:textId="77777777" w:rsidR="008666D2" w:rsidRPr="00182303" w:rsidRDefault="008666D2" w:rsidP="008666D2">
      <w:pPr>
        <w:jc w:val="center"/>
        <w:rPr>
          <w:rFonts w:cstheme="minorHAnsi"/>
          <w:b/>
        </w:rPr>
      </w:pPr>
    </w:p>
    <w:p w14:paraId="39D4F8E6" w14:textId="4905AA4A" w:rsidR="008666D2" w:rsidRPr="008666D2" w:rsidRDefault="008666D2" w:rsidP="008666D2">
      <w:pPr>
        <w:pStyle w:val="Heading1"/>
        <w:rPr>
          <w:rFonts w:asciiTheme="minorHAnsi" w:hAnsiTheme="minorHAnsi" w:cstheme="minorHAnsi"/>
          <w:b w:val="0"/>
          <w:color w:val="auto"/>
          <w:sz w:val="28"/>
        </w:rPr>
      </w:pPr>
      <w:r w:rsidRPr="00182303">
        <w:rPr>
          <w:rFonts w:asciiTheme="minorHAnsi" w:hAnsiTheme="minorHAnsi" w:cstheme="minorHAnsi"/>
        </w:rPr>
        <w:br w:type="page"/>
      </w:r>
    </w:p>
    <w:bookmarkStart w:id="0" w:name="_Toc24620110" w:displacedByCustomXml="next"/>
    <w:bookmarkEnd w:id="0" w:displacedByCustomXml="next"/>
    <w:bookmarkStart w:id="1" w:name="_Toc2395817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636536107"/>
        <w:docPartObj>
          <w:docPartGallery w:val="Table of Contents"/>
          <w:docPartUnique/>
        </w:docPartObj>
      </w:sdtPr>
      <w:sdtEndPr/>
      <w:sdtContent>
        <w:p w14:paraId="0358C543" w14:textId="0BAB1E3F" w:rsidR="00E80323" w:rsidRDefault="00E80323" w:rsidP="00E80323">
          <w:pPr>
            <w:pStyle w:val="TOCHeading"/>
          </w:pPr>
          <w:r>
            <w:t>Contents</w:t>
          </w:r>
        </w:p>
        <w:p w14:paraId="3EB40AF6" w14:textId="77777777" w:rsidR="009B086F" w:rsidRPr="009B086F" w:rsidRDefault="009B086F" w:rsidP="009B086F"/>
        <w:p w14:paraId="176B3E90" w14:textId="3098CE0E" w:rsidR="00372D5F" w:rsidRDefault="00E803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fldChar w:fldCharType="separate"/>
          </w:r>
          <w:hyperlink w:anchor="_Toc212190084" w:history="1">
            <w:r w:rsidR="00372D5F" w:rsidRPr="00386BDC">
              <w:rPr>
                <w:rStyle w:val="Hyperlink"/>
                <w:noProof/>
              </w:rPr>
              <w:t>SILC VALIDATION INSTALLATION GUIDE</w:t>
            </w:r>
            <w:r w:rsidR="00372D5F">
              <w:rPr>
                <w:noProof/>
                <w:webHidden/>
              </w:rPr>
              <w:tab/>
            </w:r>
            <w:r w:rsidR="00372D5F">
              <w:rPr>
                <w:noProof/>
                <w:webHidden/>
              </w:rPr>
              <w:fldChar w:fldCharType="begin"/>
            </w:r>
            <w:r w:rsidR="00372D5F">
              <w:rPr>
                <w:noProof/>
                <w:webHidden/>
              </w:rPr>
              <w:instrText xml:space="preserve"> PAGEREF _Toc212190084 \h </w:instrText>
            </w:r>
            <w:r w:rsidR="00372D5F">
              <w:rPr>
                <w:noProof/>
                <w:webHidden/>
              </w:rPr>
            </w:r>
            <w:r w:rsidR="00372D5F">
              <w:rPr>
                <w:noProof/>
                <w:webHidden/>
              </w:rPr>
              <w:fldChar w:fldCharType="separate"/>
            </w:r>
            <w:r w:rsidR="00372D5F">
              <w:rPr>
                <w:noProof/>
                <w:webHidden/>
              </w:rPr>
              <w:t>3</w:t>
            </w:r>
            <w:r w:rsidR="00372D5F">
              <w:rPr>
                <w:noProof/>
                <w:webHidden/>
              </w:rPr>
              <w:fldChar w:fldCharType="end"/>
            </w:r>
          </w:hyperlink>
        </w:p>
        <w:p w14:paraId="084BD9B5" w14:textId="434793B3" w:rsidR="00372D5F" w:rsidRDefault="00372D5F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190085" w:history="1">
            <w:r w:rsidRPr="00386BDC">
              <w:rPr>
                <w:rStyle w:val="Hyperlink"/>
                <w:noProof/>
              </w:rPr>
              <w:t>Assumptions &amp; 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BA6FE" w14:textId="4458A950" w:rsidR="00372D5F" w:rsidRDefault="00372D5F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190086" w:history="1">
            <w:r w:rsidRPr="00386BDC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2433D" w14:textId="1B73A4E7" w:rsidR="00372D5F" w:rsidRDefault="00372D5F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190087" w:history="1">
            <w:r w:rsidRPr="00386BDC">
              <w:rPr>
                <w:rStyle w:val="Hyperlink"/>
                <w:noProof/>
              </w:rPr>
              <w:t>Directories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A5EF6" w14:textId="39C17C6C" w:rsidR="00372D5F" w:rsidRDefault="00372D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190088" w:history="1">
            <w:r w:rsidRPr="00386BDC">
              <w:rPr>
                <w:rStyle w:val="Hyperlink"/>
                <w:noProof/>
              </w:rPr>
              <w:t>Software Configuration - SAS Enterprise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A0179" w14:textId="11C0F5EB" w:rsidR="00372D5F" w:rsidRDefault="00372D5F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190089" w:history="1">
            <w:r w:rsidRPr="00386BDC">
              <w:rPr>
                <w:rStyle w:val="Hyperlink"/>
                <w:noProof/>
              </w:rPr>
              <w:t>SETENV-XML-EG.sas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4D69" w14:textId="245E32BA" w:rsidR="00372D5F" w:rsidRDefault="00372D5F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190090" w:history="1">
            <w:r w:rsidRPr="00386BDC">
              <w:rPr>
                <w:rStyle w:val="Hyperlink"/>
                <w:noProof/>
              </w:rPr>
              <w:t>SAS Application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16F71" w14:textId="4CBE0B9A" w:rsidR="00372D5F" w:rsidRDefault="00372D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190091" w:history="1">
            <w:r w:rsidRPr="00386BDC">
              <w:rPr>
                <w:rStyle w:val="Hyperlink"/>
                <w:noProof/>
              </w:rPr>
              <w:t>Software Configuration - SAS 9.4 Standalone (SA)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D01AB" w14:textId="51C33420" w:rsidR="00372D5F" w:rsidRDefault="00372D5F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190092" w:history="1">
            <w:r w:rsidRPr="00386BDC">
              <w:rPr>
                <w:rStyle w:val="Hyperlink"/>
                <w:noProof/>
              </w:rPr>
              <w:t>Prerequisites – SAS Version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B8C3" w14:textId="04C2BB77" w:rsidR="00372D5F" w:rsidRDefault="00372D5F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190093" w:history="1">
            <w:r w:rsidRPr="00386BDC">
              <w:rPr>
                <w:rStyle w:val="Hyperlink"/>
                <w:noProof/>
              </w:rPr>
              <w:t>SETENV-XML-SA.sas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012A" w14:textId="7905AFA4" w:rsidR="00372D5F" w:rsidRDefault="00372D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190094" w:history="1">
            <w:r w:rsidRPr="00386BDC">
              <w:rPr>
                <w:rStyle w:val="Hyperlink"/>
                <w:noProof/>
              </w:rPr>
              <w:t>Software Configuration – R-Studio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F5716" w14:textId="6C0F7A4C" w:rsidR="00372D5F" w:rsidRDefault="00372D5F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190095" w:history="1">
            <w:r w:rsidRPr="00386BDC">
              <w:rPr>
                <w:rStyle w:val="Hyperlink"/>
                <w:noProof/>
              </w:rPr>
              <w:t>Prerequisites – R-studio Version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CD4FD" w14:textId="53FA5FFD" w:rsidR="00372D5F" w:rsidRDefault="00372D5F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12190096" w:history="1">
            <w:r w:rsidRPr="00386BDC">
              <w:rPr>
                <w:rStyle w:val="Hyperlink"/>
                <w:noProof/>
              </w:rPr>
              <w:t>DATACHECKSQL.Rmd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286D" w14:textId="3AD3BA43" w:rsidR="00E80323" w:rsidRDefault="00E80323" w:rsidP="00E80323">
          <w:r>
            <w:fldChar w:fldCharType="end"/>
          </w:r>
        </w:p>
      </w:sdtContent>
    </w:sdt>
    <w:p w14:paraId="29A1C9AB" w14:textId="6CE55BFA" w:rsidR="00964B99" w:rsidRDefault="00E80323" w:rsidP="00A95568">
      <w:pPr>
        <w:pStyle w:val="Heading1"/>
      </w:pPr>
      <w:r>
        <w:br w:type="page"/>
      </w:r>
      <w:bookmarkStart w:id="2" w:name="_Toc82435701"/>
      <w:bookmarkStart w:id="3" w:name="_Toc212190084"/>
      <w:r w:rsidR="00964B99">
        <w:lastRenderedPageBreak/>
        <w:t xml:space="preserve">SILC VALIDATION </w:t>
      </w:r>
      <w:r w:rsidR="008619F0">
        <w:t>INSTALLATION</w:t>
      </w:r>
      <w:r w:rsidR="00964B99">
        <w:t xml:space="preserve"> GUIDE</w:t>
      </w:r>
      <w:bookmarkEnd w:id="2"/>
      <w:bookmarkEnd w:id="3"/>
    </w:p>
    <w:p w14:paraId="3EC267E2" w14:textId="46C72137" w:rsidR="00964B99" w:rsidRDefault="00964B99" w:rsidP="00A95568">
      <w:pPr>
        <w:pStyle w:val="Heading2"/>
      </w:pPr>
      <w:bookmarkStart w:id="4" w:name="_Toc82435702"/>
      <w:bookmarkStart w:id="5" w:name="_Toc212190085"/>
      <w:r>
        <w:t>Assumptions &amp; Notations</w:t>
      </w:r>
      <w:bookmarkEnd w:id="4"/>
      <w:bookmarkEnd w:id="5"/>
    </w:p>
    <w:p w14:paraId="43181CDF" w14:textId="77777777" w:rsidR="00964B99" w:rsidRDefault="00964B99" w:rsidP="00964B99">
      <w:r>
        <w:t>In this guide, we adopt the following assumptions/notations (the prefix “&amp;” denotes an environment variable, which may differ according to the installation node, i.e.: to the NSI):</w:t>
      </w:r>
    </w:p>
    <w:p w14:paraId="0F1873B4" w14:textId="4AD39CF8" w:rsidR="00964B99" w:rsidRDefault="00964B99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 w:rsidRPr="00494D77">
        <w:rPr>
          <w:b/>
          <w:color w:val="2F5496" w:themeColor="accent1" w:themeShade="BF"/>
        </w:rPr>
        <w:t>eusilc</w:t>
      </w:r>
      <w:proofErr w:type="spellEnd"/>
      <w:r>
        <w:t xml:space="preserve"> = </w:t>
      </w:r>
      <w:r w:rsidR="009A1D1A" w:rsidRPr="009A1D1A">
        <w:rPr>
          <w:b/>
        </w:rPr>
        <w:t>ROOT</w:t>
      </w:r>
      <w:r w:rsidRPr="009A1D1A">
        <w:rPr>
          <w:b/>
        </w:rPr>
        <w:t xml:space="preserve"> </w:t>
      </w:r>
      <w:r w:rsidR="009A1D1A" w:rsidRPr="009A1D1A">
        <w:rPr>
          <w:b/>
        </w:rPr>
        <w:t>DIRECTORY</w:t>
      </w:r>
      <w:r w:rsidR="00162BA3">
        <w:t xml:space="preserve"> of your</w:t>
      </w:r>
      <w:r>
        <w:t xml:space="preserve"> </w:t>
      </w:r>
      <w:r w:rsidR="00162BA3">
        <w:t>SILC installation</w:t>
      </w:r>
      <w:r w:rsidR="00D9510F">
        <w:t xml:space="preserve"> (i.e.: C:\ or C:\SILC)</w:t>
      </w:r>
      <w:r w:rsidR="00162BA3">
        <w:t>; this is the target directory of your installation process</w:t>
      </w:r>
    </w:p>
    <w:p w14:paraId="5407EA07" w14:textId="15CE70C4" w:rsidR="00D9510F" w:rsidRPr="009A1D1A" w:rsidRDefault="009A1D1A" w:rsidP="009A1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ind w:left="784" w:right="90"/>
        <w:jc w:val="center"/>
        <w:rPr>
          <w:caps/>
        </w:rPr>
      </w:pPr>
      <w:r>
        <w:rPr>
          <w:caps/>
        </w:rPr>
        <w:t xml:space="preserve">THE CONTENT OF THE </w:t>
      </w:r>
      <w:r w:rsidRPr="009A1D1A">
        <w:rPr>
          <w:b/>
          <w:caps/>
        </w:rPr>
        <w:t>INSTALLATION PACKAGE</w:t>
      </w:r>
      <w:r w:rsidR="00162BA3">
        <w:rPr>
          <w:caps/>
        </w:rPr>
        <w:t xml:space="preserve"> MUST BE COPIED INTO THE </w:t>
      </w:r>
      <w:r>
        <w:rPr>
          <w:caps/>
        </w:rPr>
        <w:t>root DIRECTORY</w:t>
      </w:r>
      <w:r>
        <w:rPr>
          <w:rStyle w:val="FootnoteReference"/>
          <w:caps/>
        </w:rPr>
        <w:footnoteReference w:id="1"/>
      </w:r>
    </w:p>
    <w:p w14:paraId="381B67F4" w14:textId="77777777" w:rsidR="00964B99" w:rsidRDefault="00964B99" w:rsidP="009A1D1A">
      <w:pPr>
        <w:pStyle w:val="ListParagraph"/>
        <w:numPr>
          <w:ilvl w:val="0"/>
          <w:numId w:val="18"/>
        </w:numPr>
        <w:spacing w:before="120" w:line="257" w:lineRule="auto"/>
        <w:ind w:left="714" w:hanging="357"/>
      </w:pPr>
      <w:r w:rsidRPr="00494D77">
        <w:rPr>
          <w:b/>
          <w:color w:val="2F5496" w:themeColor="accent1" w:themeShade="BF"/>
        </w:rPr>
        <w:t>&amp;</w:t>
      </w:r>
      <w:r>
        <w:rPr>
          <w:b/>
          <w:color w:val="2F5496" w:themeColor="accent1" w:themeShade="BF"/>
        </w:rPr>
        <w:t>cc</w:t>
      </w:r>
      <w:r>
        <w:t xml:space="preserve"> = country to be processed (e.g.: </w:t>
      </w:r>
      <w:r w:rsidRPr="003220D0">
        <w:t>AT</w:t>
      </w:r>
      <w:r>
        <w:t xml:space="preserve"> = Austria)</w:t>
      </w:r>
    </w:p>
    <w:p w14:paraId="0E6FD1E3" w14:textId="43B4EA99" w:rsidR="00964B99" w:rsidRPr="005A04B5" w:rsidRDefault="00964B99" w:rsidP="00964B99">
      <w:pPr>
        <w:pStyle w:val="ListParagraph"/>
        <w:numPr>
          <w:ilvl w:val="0"/>
          <w:numId w:val="18"/>
        </w:numPr>
      </w:pPr>
      <w:r w:rsidRPr="005A04B5">
        <w:rPr>
          <w:b/>
          <w:color w:val="2F5496" w:themeColor="accent1" w:themeShade="BF"/>
        </w:rPr>
        <w:t xml:space="preserve">&amp;ss </w:t>
      </w:r>
      <w:r w:rsidRPr="005A04B5">
        <w:t>= transmission type</w:t>
      </w:r>
      <w:r w:rsidR="005A04B5">
        <w:t>, from 2021 onwards this parameter is set to R permanently</w:t>
      </w:r>
    </w:p>
    <w:p w14:paraId="72D3A78F" w14:textId="77777777" w:rsidR="00964B99" w:rsidRDefault="00964B99" w:rsidP="00964B99">
      <w:pPr>
        <w:pStyle w:val="ListParagraph"/>
        <w:numPr>
          <w:ilvl w:val="0"/>
          <w:numId w:val="18"/>
        </w:numPr>
      </w:pPr>
      <w:r>
        <w:rPr>
          <w:b/>
          <w:color w:val="2F5496" w:themeColor="accent1" w:themeShade="BF"/>
        </w:rPr>
        <w:t xml:space="preserve">&amp;F </w:t>
      </w:r>
      <w:r>
        <w:t>= SILC File</w:t>
      </w:r>
    </w:p>
    <w:p w14:paraId="3CD01EB2" w14:textId="77777777" w:rsidR="00964B99" w:rsidRDefault="00964B99" w:rsidP="00AE71DC">
      <w:pPr>
        <w:pStyle w:val="ListParagraph"/>
        <w:numPr>
          <w:ilvl w:val="1"/>
          <w:numId w:val="18"/>
        </w:numPr>
        <w:spacing w:line="240" w:lineRule="auto"/>
        <w:ind w:left="1434" w:hanging="357"/>
      </w:pPr>
      <w:r>
        <w:t>D</w:t>
      </w:r>
    </w:p>
    <w:p w14:paraId="17367559" w14:textId="77777777" w:rsidR="00964B99" w:rsidRDefault="00964B99" w:rsidP="00AE71DC">
      <w:pPr>
        <w:pStyle w:val="ListParagraph"/>
        <w:numPr>
          <w:ilvl w:val="1"/>
          <w:numId w:val="18"/>
        </w:numPr>
        <w:spacing w:line="240" w:lineRule="auto"/>
        <w:ind w:left="1434" w:hanging="357"/>
      </w:pPr>
      <w:r>
        <w:t>R</w:t>
      </w:r>
    </w:p>
    <w:p w14:paraId="1F409347" w14:textId="77777777" w:rsidR="00964B99" w:rsidRDefault="00964B99" w:rsidP="00AE71DC">
      <w:pPr>
        <w:pStyle w:val="ListParagraph"/>
        <w:numPr>
          <w:ilvl w:val="1"/>
          <w:numId w:val="18"/>
        </w:numPr>
        <w:spacing w:line="240" w:lineRule="auto"/>
        <w:ind w:left="1434" w:hanging="357"/>
      </w:pPr>
      <w:r>
        <w:t>H</w:t>
      </w:r>
    </w:p>
    <w:p w14:paraId="0B5ECA43" w14:textId="77777777" w:rsidR="00964B99" w:rsidRDefault="00964B99" w:rsidP="00AE71DC">
      <w:pPr>
        <w:pStyle w:val="ListParagraph"/>
        <w:numPr>
          <w:ilvl w:val="1"/>
          <w:numId w:val="18"/>
        </w:numPr>
        <w:spacing w:line="240" w:lineRule="auto"/>
        <w:ind w:left="1434" w:hanging="357"/>
      </w:pPr>
      <w:r>
        <w:t>P</w:t>
      </w:r>
    </w:p>
    <w:p w14:paraId="4E821A0C" w14:textId="19D3E62B" w:rsidR="00964B99" w:rsidRDefault="00964B99" w:rsidP="00964B99">
      <w:pPr>
        <w:pStyle w:val="ListParagraph"/>
        <w:numPr>
          <w:ilvl w:val="0"/>
          <w:numId w:val="18"/>
        </w:numPr>
      </w:pPr>
      <w:r>
        <w:rPr>
          <w:b/>
          <w:color w:val="2F5496" w:themeColor="accent1" w:themeShade="BF"/>
        </w:rPr>
        <w:t xml:space="preserve">&amp;FVER </w:t>
      </w:r>
      <w:r>
        <w:t>= SILC File Version</w:t>
      </w:r>
    </w:p>
    <w:p w14:paraId="057CC5B3" w14:textId="77777777" w:rsidR="00964B99" w:rsidRDefault="00964B99" w:rsidP="00964B99">
      <w:pPr>
        <w:pStyle w:val="ListParagraph"/>
        <w:numPr>
          <w:ilvl w:val="0"/>
          <w:numId w:val="18"/>
        </w:numPr>
      </w:pP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yyyy</w:t>
      </w:r>
      <w:proofErr w:type="spellEnd"/>
      <w:r>
        <w:t xml:space="preserve">, </w:t>
      </w: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yy</w:t>
      </w:r>
      <w:proofErr w:type="spellEnd"/>
      <w:r>
        <w:rPr>
          <w:b/>
          <w:color w:val="2F5496" w:themeColor="accent1" w:themeShade="BF"/>
        </w:rPr>
        <w:t xml:space="preserve"> </w:t>
      </w:r>
      <w:r>
        <w:t>= survey year, respectively expressed as a 4-digit (i.e.: 2021) and a 2-digit figure (i.e.: 21)</w:t>
      </w:r>
    </w:p>
    <w:p w14:paraId="1EB927C4" w14:textId="77777777" w:rsidR="00964B99" w:rsidRDefault="00964B99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 w:rsidRPr="00494D77">
        <w:rPr>
          <w:b/>
          <w:color w:val="2F5496" w:themeColor="accent1" w:themeShade="BF"/>
        </w:rPr>
        <w:t>eusilc</w:t>
      </w:r>
      <w:proofErr w:type="spellEnd"/>
      <w:r w:rsidRPr="00494D77">
        <w:rPr>
          <w:b/>
          <w:color w:val="2F5496" w:themeColor="accent1" w:themeShade="BF"/>
        </w:rPr>
        <w:t>/main/</w:t>
      </w:r>
      <w:r>
        <w:rPr>
          <w:b/>
          <w:color w:val="2F5496" w:themeColor="accent1" w:themeShade="BF"/>
        </w:rPr>
        <w:t>&amp;</w:t>
      </w:r>
      <w:r w:rsidRPr="00494D77">
        <w:rPr>
          <w:b/>
          <w:color w:val="2F5496" w:themeColor="accent1" w:themeShade="BF"/>
        </w:rPr>
        <w:t>cc/csv</w:t>
      </w:r>
      <w:r>
        <w:t xml:space="preserve"> = inbound directory </w:t>
      </w:r>
      <w:r>
        <w:sym w:font="Wingdings" w:char="F0E0"/>
      </w:r>
      <w:r>
        <w:t xml:space="preserve"> the SILC data files to be processed are stored here and are expected to comply with the following naming rules:</w:t>
      </w:r>
    </w:p>
    <w:p w14:paraId="40374579" w14:textId="422FA659" w:rsidR="00964B99" w:rsidRPr="00FC1858" w:rsidRDefault="00964B99" w:rsidP="00964B99">
      <w:pPr>
        <w:pStyle w:val="ListParagraph"/>
        <w:numPr>
          <w:ilvl w:val="1"/>
          <w:numId w:val="18"/>
        </w:numPr>
        <w:rPr>
          <w:lang w:val="pt-PT"/>
        </w:rPr>
      </w:pPr>
      <w:r w:rsidRPr="00FC1858">
        <w:rPr>
          <w:lang w:val="pt-PT"/>
        </w:rPr>
        <w:t>SILC</w:t>
      </w:r>
      <w:r w:rsidR="00A95568" w:rsidRPr="00FC1858">
        <w:rPr>
          <w:lang w:val="pt-PT"/>
        </w:rPr>
        <w:t>_R</w:t>
      </w:r>
      <w:r w:rsidRPr="00FC1858">
        <w:rPr>
          <w:b/>
          <w:color w:val="2F5496" w:themeColor="accent1" w:themeShade="BF"/>
          <w:lang w:val="pt-PT"/>
        </w:rPr>
        <w:t>&amp;F</w:t>
      </w:r>
      <w:r w:rsidRPr="00FC1858">
        <w:rPr>
          <w:lang w:val="pt-PT"/>
        </w:rPr>
        <w:t>_A_</w:t>
      </w:r>
      <w:r w:rsidRPr="00FC1858">
        <w:rPr>
          <w:b/>
          <w:color w:val="2F5496" w:themeColor="accent1" w:themeShade="BF"/>
          <w:lang w:val="pt-PT"/>
        </w:rPr>
        <w:t>&amp;cc</w:t>
      </w:r>
      <w:r w:rsidRPr="00FC1858">
        <w:rPr>
          <w:lang w:val="pt-PT"/>
        </w:rPr>
        <w:t>_</w:t>
      </w:r>
      <w:r w:rsidRPr="00FC1858">
        <w:rPr>
          <w:b/>
          <w:color w:val="2F5496" w:themeColor="accent1" w:themeShade="BF"/>
          <w:lang w:val="pt-PT"/>
        </w:rPr>
        <w:t>&amp;yyyy</w:t>
      </w:r>
      <w:r w:rsidRPr="00FC1858">
        <w:rPr>
          <w:lang w:val="pt-PT"/>
        </w:rPr>
        <w:t>_0000_V</w:t>
      </w:r>
      <w:r w:rsidRPr="00FC1858">
        <w:rPr>
          <w:b/>
          <w:color w:val="2F5496" w:themeColor="accent1" w:themeShade="BF"/>
          <w:lang w:val="pt-PT"/>
        </w:rPr>
        <w:t>&amp;FVER</w:t>
      </w:r>
      <w:r w:rsidRPr="00FC1858">
        <w:rPr>
          <w:lang w:val="pt-PT"/>
        </w:rPr>
        <w:t>.csv</w:t>
      </w:r>
    </w:p>
    <w:p w14:paraId="2371006F" w14:textId="77777777" w:rsidR="00964B99" w:rsidRDefault="00964B99" w:rsidP="00964B99">
      <w:pPr>
        <w:ind w:left="720"/>
      </w:pPr>
      <w:r>
        <w:t xml:space="preserve">Note: the file version here (&amp;FVER) is padded with zeros accounting for 4 digits in total; for instance, a SILC file of version 1 is expressed as follows: *V0001.csv </w:t>
      </w:r>
    </w:p>
    <w:p w14:paraId="412A751F" w14:textId="77777777" w:rsidR="00964B99" w:rsidRPr="003B40F1" w:rsidRDefault="00964B99" w:rsidP="00964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after="0"/>
        <w:ind w:left="810" w:right="90"/>
        <w:jc w:val="center"/>
        <w:rPr>
          <w:caps/>
        </w:rPr>
      </w:pPr>
      <w:r>
        <w:rPr>
          <w:caps/>
        </w:rPr>
        <w:t>ALL FOUR</w:t>
      </w:r>
      <w:r w:rsidRPr="003B40F1">
        <w:rPr>
          <w:caps/>
        </w:rPr>
        <w:t xml:space="preserve"> SILC </w:t>
      </w:r>
      <w:r>
        <w:rPr>
          <w:caps/>
        </w:rPr>
        <w:t xml:space="preserve">DATA </w:t>
      </w:r>
      <w:r w:rsidRPr="003B40F1">
        <w:rPr>
          <w:caps/>
        </w:rPr>
        <w:t xml:space="preserve">files to be processed must have the same version </w:t>
      </w:r>
      <w:proofErr w:type="gramStart"/>
      <w:r w:rsidRPr="003B40F1">
        <w:rPr>
          <w:caps/>
        </w:rPr>
        <w:t>number !</w:t>
      </w:r>
      <w:proofErr w:type="gramEnd"/>
    </w:p>
    <w:p w14:paraId="7CD13BD6" w14:textId="721AD723" w:rsidR="00A95568" w:rsidRDefault="00A95568" w:rsidP="00A95568">
      <w:pPr>
        <w:pStyle w:val="ListParagraph"/>
        <w:numPr>
          <w:ilvl w:val="0"/>
          <w:numId w:val="18"/>
        </w:numPr>
        <w:spacing w:before="80"/>
      </w:pP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/main/&amp;cc/out</w:t>
      </w:r>
      <w:r>
        <w:t xml:space="preserve"> = output directory </w:t>
      </w:r>
      <w:r>
        <w:sym w:font="Wingdings" w:char="F0E0"/>
      </w:r>
      <w:r>
        <w:t xml:space="preserve"> at the end of the validation run, such directory encompasses the reports, either in printable – </w:t>
      </w:r>
      <w:r w:rsidRPr="005A04B5">
        <w:t>pdf or docx–</w:t>
      </w:r>
      <w:r>
        <w:t xml:space="preserve"> or in spreadsheet form – </w:t>
      </w:r>
      <w:r w:rsidR="005A04B5">
        <w:t>csv</w:t>
      </w:r>
    </w:p>
    <w:p w14:paraId="17A82A25" w14:textId="77777777" w:rsidR="00964B99" w:rsidRDefault="00964B99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 w:rsidRPr="00494D77">
        <w:rPr>
          <w:b/>
          <w:color w:val="2F5496" w:themeColor="accent1" w:themeShade="BF"/>
        </w:rPr>
        <w:t>eusilc</w:t>
      </w:r>
      <w:proofErr w:type="spellEnd"/>
      <w:r w:rsidRPr="00494D77">
        <w:rPr>
          <w:b/>
          <w:color w:val="2F5496" w:themeColor="accent1" w:themeShade="BF"/>
        </w:rPr>
        <w:t>/main/</w:t>
      </w:r>
      <w:r>
        <w:rPr>
          <w:b/>
          <w:color w:val="2F5496" w:themeColor="accent1" w:themeShade="BF"/>
        </w:rPr>
        <w:t>&amp;</w:t>
      </w:r>
      <w:r w:rsidRPr="00494D77">
        <w:rPr>
          <w:b/>
          <w:color w:val="2F5496" w:themeColor="accent1" w:themeShade="BF"/>
        </w:rPr>
        <w:t>cc/</w:t>
      </w:r>
      <w:r>
        <w:rPr>
          <w:b/>
          <w:color w:val="2F5496" w:themeColor="accent1" w:themeShade="BF"/>
        </w:rPr>
        <w:t>stage</w:t>
      </w:r>
      <w:r>
        <w:t xml:space="preserve"> = intermediate (“staging”) raw data sets directory </w:t>
      </w:r>
      <w:r>
        <w:sym w:font="Wingdings" w:char="F0E0"/>
      </w:r>
      <w:r>
        <w:t xml:space="preserve"> contains the data sets created </w:t>
      </w:r>
      <w:proofErr w:type="gramStart"/>
      <w:r>
        <w:t>as a result of</w:t>
      </w:r>
      <w:proofErr w:type="gramEnd"/>
      <w:r>
        <w:t xml:space="preserve"> the SILC data files elaboration</w:t>
      </w:r>
    </w:p>
    <w:p w14:paraId="29657A8D" w14:textId="3E54686C" w:rsidR="00964B99" w:rsidRDefault="00964B99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/main/&amp;cc/&amp;</w:t>
      </w:r>
      <w:proofErr w:type="spellStart"/>
      <w:r>
        <w:rPr>
          <w:b/>
          <w:color w:val="2F5496" w:themeColor="accent1" w:themeShade="BF"/>
        </w:rPr>
        <w:t>ss&amp;yy</w:t>
      </w:r>
      <w:proofErr w:type="spellEnd"/>
      <w:r>
        <w:t xml:space="preserve"> = definitive raw data sets directory </w:t>
      </w:r>
      <w:r>
        <w:sym w:font="Wingdings" w:char="F0E0"/>
      </w:r>
      <w:r>
        <w:t xml:space="preserve"> contains the </w:t>
      </w:r>
      <w:r w:rsidR="005A04B5">
        <w:t xml:space="preserve">final </w:t>
      </w:r>
      <w:r>
        <w:t xml:space="preserve">data sets created </w:t>
      </w:r>
      <w:proofErr w:type="gramStart"/>
      <w:r>
        <w:t>as a result of</w:t>
      </w:r>
      <w:proofErr w:type="gramEnd"/>
      <w:r>
        <w:t xml:space="preserve"> the SILC data files elaboration; having output data sets in this directory is the precondition for the subsequent steps of the statistical chain, such as the BDB/IDB upload pr</w:t>
      </w:r>
      <w:r w:rsidR="005A04B5">
        <w:t>ocess and the Estimation Phase</w:t>
      </w:r>
    </w:p>
    <w:p w14:paraId="5D80F2E7" w14:textId="3BC6D2ED" w:rsidR="00C66070" w:rsidRDefault="00C66070" w:rsidP="00C66070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</w:t>
      </w:r>
      <w:r w:rsidR="00DA426F" w:rsidRPr="00DA426F">
        <w:rPr>
          <w:b/>
          <w:color w:val="2F5496" w:themeColor="accent1" w:themeShade="BF"/>
        </w:rPr>
        <w:t>XML_CONFIG</w:t>
      </w:r>
      <w:r w:rsidR="00DA426F">
        <w:rPr>
          <w:b/>
          <w:color w:val="2F5496" w:themeColor="accent1" w:themeShade="BF"/>
        </w:rPr>
        <w:t>/XML</w:t>
      </w:r>
      <w:r>
        <w:rPr>
          <w:b/>
          <w:color w:val="2F5496" w:themeColor="accent1" w:themeShade="BF"/>
        </w:rPr>
        <w:t xml:space="preserve"> </w:t>
      </w:r>
      <w:r>
        <w:t xml:space="preserve">= XML configuration files directory; such files provide the configurable SILC validation rules  </w:t>
      </w:r>
    </w:p>
    <w:p w14:paraId="66A5A1C8" w14:textId="2CF3E130" w:rsidR="00C66070" w:rsidRDefault="00C66070" w:rsidP="00964B99">
      <w:pPr>
        <w:pStyle w:val="ListParagraph"/>
        <w:numPr>
          <w:ilvl w:val="0"/>
          <w:numId w:val="18"/>
        </w:numPr>
      </w:pPr>
      <w:r w:rsidRPr="00494D77"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</w:t>
      </w:r>
      <w:r w:rsidR="00DA426F" w:rsidRPr="00DA426F">
        <w:rPr>
          <w:b/>
          <w:color w:val="2F5496" w:themeColor="accent1" w:themeShade="BF"/>
        </w:rPr>
        <w:t xml:space="preserve"> XML_CONFIG</w:t>
      </w:r>
      <w:r w:rsidR="00DA426F">
        <w:rPr>
          <w:b/>
          <w:color w:val="2F5496" w:themeColor="accent1" w:themeShade="BF"/>
        </w:rPr>
        <w:t>/</w:t>
      </w:r>
      <w:r>
        <w:rPr>
          <w:b/>
          <w:color w:val="2F5496" w:themeColor="accent1" w:themeShade="BF"/>
        </w:rPr>
        <w:t xml:space="preserve">MAP </w:t>
      </w:r>
      <w:r>
        <w:t>= XML mapper directory; such files instruct SAS/EG about how to read the XML configuration files above mentioned</w:t>
      </w:r>
    </w:p>
    <w:p w14:paraId="018BDFA3" w14:textId="20107AB2" w:rsidR="00873D8E" w:rsidRDefault="00C66070" w:rsidP="00AE4C6E">
      <w:pPr>
        <w:pStyle w:val="ListParagraph"/>
        <w:numPr>
          <w:ilvl w:val="0"/>
          <w:numId w:val="18"/>
        </w:numPr>
        <w:spacing w:after="120" w:line="257" w:lineRule="auto"/>
      </w:pPr>
      <w:r w:rsidRPr="005A04B5">
        <w:rPr>
          <w:b/>
          <w:color w:val="2F5496" w:themeColor="accent1" w:themeShade="BF"/>
        </w:rPr>
        <w:t>&amp;</w:t>
      </w:r>
      <w:proofErr w:type="spellStart"/>
      <w:r w:rsidRPr="005A04B5">
        <w:rPr>
          <w:b/>
          <w:color w:val="2F5496" w:themeColor="accent1" w:themeShade="BF"/>
        </w:rPr>
        <w:t>eusilc</w:t>
      </w:r>
      <w:proofErr w:type="spellEnd"/>
      <w:r w:rsidRPr="005A04B5">
        <w:rPr>
          <w:b/>
          <w:color w:val="2F5496" w:themeColor="accent1" w:themeShade="BF"/>
        </w:rPr>
        <w:t>/</w:t>
      </w:r>
      <w:r w:rsidR="00DA426F" w:rsidRPr="00DA426F">
        <w:rPr>
          <w:b/>
          <w:color w:val="2F5496" w:themeColor="accent1" w:themeShade="BF"/>
        </w:rPr>
        <w:t xml:space="preserve"> XML_CONFIG</w:t>
      </w:r>
      <w:r w:rsidR="00DA426F">
        <w:rPr>
          <w:b/>
          <w:color w:val="2F5496" w:themeColor="accent1" w:themeShade="BF"/>
        </w:rPr>
        <w:t>/</w:t>
      </w:r>
      <w:r w:rsidRPr="005A04B5">
        <w:rPr>
          <w:b/>
          <w:color w:val="2F5496" w:themeColor="accent1" w:themeShade="BF"/>
        </w:rPr>
        <w:t xml:space="preserve">XSD </w:t>
      </w:r>
      <w:r>
        <w:t xml:space="preserve">= XSD files directory; the XSD files comes handy to edit the XML configuration files (if needed) and to check that they are structurally and semantically valid </w:t>
      </w:r>
      <w:bookmarkStart w:id="6" w:name="_Toc82435703"/>
      <w:r w:rsidR="00873D8E">
        <w:br w:type="page"/>
      </w:r>
    </w:p>
    <w:p w14:paraId="0CE3B6D0" w14:textId="7C4D9365" w:rsidR="00873D8E" w:rsidRDefault="00873D8E" w:rsidP="00A95568">
      <w:pPr>
        <w:pStyle w:val="Heading2"/>
      </w:pPr>
      <w:bookmarkStart w:id="7" w:name="_Toc212190086"/>
      <w:r>
        <w:lastRenderedPageBreak/>
        <w:t>Directory Structure</w:t>
      </w:r>
      <w:bookmarkEnd w:id="7"/>
    </w:p>
    <w:p w14:paraId="368A5C3D" w14:textId="4E6A8DCD" w:rsidR="00AA7E2E" w:rsidRDefault="00873D8E" w:rsidP="00873D8E">
      <w:r>
        <w:t xml:space="preserve">The following screenshot shows the content of the SW installation bundle, </w:t>
      </w:r>
      <w:r w:rsidRPr="00873D8E">
        <w:rPr>
          <w:b/>
        </w:rPr>
        <w:t>eusilc-</w:t>
      </w:r>
      <w:r w:rsidR="005A04B5">
        <w:rPr>
          <w:b/>
        </w:rPr>
        <w:t>V</w:t>
      </w:r>
      <w:r w:rsidR="00321C12">
        <w:rPr>
          <w:b/>
        </w:rPr>
        <w:t>5</w:t>
      </w:r>
      <w:r w:rsidR="00DA426F">
        <w:rPr>
          <w:b/>
        </w:rPr>
        <w:t>.0</w:t>
      </w:r>
      <w:r w:rsidRPr="00873D8E">
        <w:rPr>
          <w:b/>
        </w:rPr>
        <w:t>.7z</w:t>
      </w:r>
      <w:r>
        <w:t xml:space="preserve">. </w:t>
      </w:r>
      <w:r w:rsidR="00AB447A">
        <w:t>Its</w:t>
      </w:r>
      <w:r w:rsidR="00E252D1">
        <w:t xml:space="preserve"> </w:t>
      </w:r>
      <w:r>
        <w:t xml:space="preserve">content must be transferred as-is to </w:t>
      </w:r>
      <w:r w:rsidR="0020428F">
        <w:t xml:space="preserve">your </w:t>
      </w:r>
      <w:r>
        <w:t>hard disk so that its “eusilc</w:t>
      </w:r>
      <w:r w:rsidR="00624C6A">
        <w:t>-V</w:t>
      </w:r>
      <w:r w:rsidR="00321C12">
        <w:t>5</w:t>
      </w:r>
      <w:r w:rsidR="00624C6A">
        <w:t>.</w:t>
      </w:r>
      <w:r w:rsidR="00FC1858">
        <w:t>0</w:t>
      </w:r>
      <w:r>
        <w:t xml:space="preserve">” directory be referenced by the </w:t>
      </w:r>
      <w:r w:rsidRPr="00FF2223">
        <w:rPr>
          <w:b/>
        </w:rPr>
        <w:t>&amp;</w:t>
      </w:r>
      <w:proofErr w:type="spellStart"/>
      <w:r w:rsidRPr="00FF2223">
        <w:rPr>
          <w:b/>
        </w:rPr>
        <w:t>eusilc</w:t>
      </w:r>
      <w:proofErr w:type="spellEnd"/>
      <w:r>
        <w:t xml:space="preserve"> macro variable defined so far. The “</w:t>
      </w:r>
      <w:r w:rsidR="005A04B5">
        <w:t>eusilc</w:t>
      </w:r>
      <w:r w:rsidR="00624C6A">
        <w:t>-V</w:t>
      </w:r>
      <w:r w:rsidR="00321C12">
        <w:t>5</w:t>
      </w:r>
      <w:r w:rsidR="00624C6A">
        <w:t>.</w:t>
      </w:r>
      <w:r w:rsidR="00FC1858">
        <w:t>0</w:t>
      </w:r>
      <w:r>
        <w:t xml:space="preserve">” directory shall then be renamed according to the macro variable </w:t>
      </w:r>
      <w:r w:rsidRPr="00FF2223">
        <w:rPr>
          <w:b/>
        </w:rPr>
        <w:t>&amp;</w:t>
      </w:r>
      <w:proofErr w:type="spellStart"/>
      <w:r w:rsidRPr="00FF2223">
        <w:rPr>
          <w:b/>
        </w:rPr>
        <w:t>eusilc</w:t>
      </w:r>
      <w:proofErr w:type="spellEnd"/>
      <w:r>
        <w:t>.</w:t>
      </w:r>
    </w:p>
    <w:p w14:paraId="01DE2EDD" w14:textId="556E1E6F" w:rsidR="00003FCE" w:rsidRDefault="00003FCE" w:rsidP="00003FCE">
      <w:pPr>
        <w:jc w:val="center"/>
      </w:pPr>
      <w:r w:rsidRPr="00003FCE">
        <w:rPr>
          <w:noProof/>
        </w:rPr>
        <w:drawing>
          <wp:inline distT="0" distB="0" distL="0" distR="0" wp14:anchorId="7C9271AC" wp14:editId="7182414A">
            <wp:extent cx="2400635" cy="4906060"/>
            <wp:effectExtent l="0" t="0" r="0" b="8890"/>
            <wp:docPr id="682337555" name="Picture 1" descr="A group of yellow fold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37555" name="Picture 1" descr="A group of yellow fold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6891" w14:textId="2D0FB044" w:rsidR="00873D8E" w:rsidRDefault="00873D8E" w:rsidP="00003FCE"/>
    <w:p w14:paraId="5A0CFB45" w14:textId="2A20BB8A" w:rsidR="00AA7E2E" w:rsidRDefault="00AA7E2E" w:rsidP="00A04E95">
      <w:r>
        <w:t>It</w:t>
      </w:r>
      <w:r w:rsidR="005E6132">
        <w:t xml:space="preserve"> </w:t>
      </w:r>
      <w:r w:rsidR="00AB447A">
        <w:t>i</w:t>
      </w:r>
      <w:r>
        <w:t xml:space="preserve">s worth remarking that the </w:t>
      </w:r>
      <w:r w:rsidR="00841731">
        <w:t>folder</w:t>
      </w:r>
      <w:r>
        <w:t xml:space="preserve"> “</w:t>
      </w:r>
      <w:r w:rsidR="00841731">
        <w:rPr>
          <w:b/>
        </w:rPr>
        <w:t>xx</w:t>
      </w:r>
      <w:r>
        <w:t xml:space="preserve">” </w:t>
      </w:r>
      <w:r w:rsidR="00841731">
        <w:t>and its subfolders are</w:t>
      </w:r>
      <w:r>
        <w:t xml:space="preserve"> empty. </w:t>
      </w:r>
      <w:r w:rsidR="00A04E95">
        <w:t>Said directory</w:t>
      </w:r>
      <w:r>
        <w:t xml:space="preserve"> </w:t>
      </w:r>
      <w:r w:rsidR="00A04E95">
        <w:t xml:space="preserve">in fact is not meant to contain </w:t>
      </w:r>
      <w:r>
        <w:t>any SW component but just input</w:t>
      </w:r>
      <w:r w:rsidR="0020428F">
        <w:t xml:space="preserve"> (SILC data files to be validated)</w:t>
      </w:r>
      <w:r>
        <w:t xml:space="preserve"> and output data</w:t>
      </w:r>
      <w:r w:rsidR="0020428F">
        <w:t xml:space="preserve"> (validation reports generated by the SW)</w:t>
      </w:r>
      <w:r>
        <w:t>. The section “</w:t>
      </w:r>
      <w:r w:rsidR="00E252D1">
        <w:t>Directories configuration</w:t>
      </w:r>
      <w:r>
        <w:t xml:space="preserve">” </w:t>
      </w:r>
      <w:r w:rsidR="00E252D1">
        <w:t>below</w:t>
      </w:r>
      <w:r>
        <w:t xml:space="preserve"> explains how to deal with it.</w:t>
      </w:r>
    </w:p>
    <w:p w14:paraId="05FC4382" w14:textId="3E7063AE" w:rsidR="00FF2223" w:rsidRDefault="00FF2223" w:rsidP="00FF2223">
      <w:pPr>
        <w:pStyle w:val="Heading2"/>
      </w:pPr>
      <w:bookmarkStart w:id="8" w:name="_Toc212190087"/>
      <w:bookmarkEnd w:id="6"/>
      <w:r>
        <w:t>Directories Configuration</w:t>
      </w:r>
      <w:bookmarkEnd w:id="8"/>
    </w:p>
    <w:p w14:paraId="36F2B49B" w14:textId="6F743619" w:rsidR="000224DD" w:rsidRDefault="009572B1" w:rsidP="00624C6A">
      <w:proofErr w:type="gramStart"/>
      <w:r>
        <w:t>In order to</w:t>
      </w:r>
      <w:proofErr w:type="gramEnd"/>
      <w:r>
        <w:t xml:space="preserve"> be able to execute</w:t>
      </w:r>
      <w:r w:rsidR="00FF2223">
        <w:t xml:space="preserve"> the validation program</w:t>
      </w:r>
      <w:r w:rsidR="00624C6A">
        <w:t>, the</w:t>
      </w:r>
      <w:r w:rsidR="00AA7E2E">
        <w:t xml:space="preserve"> fictitious country </w:t>
      </w:r>
      <w:r w:rsidR="00E252D1">
        <w:t xml:space="preserve">code </w:t>
      </w:r>
      <w:r w:rsidR="00AA7E2E">
        <w:t>“</w:t>
      </w:r>
      <w:r w:rsidR="00624C6A">
        <w:rPr>
          <w:b/>
        </w:rPr>
        <w:t>xx</w:t>
      </w:r>
      <w:r w:rsidR="00624C6A">
        <w:t xml:space="preserve">” </w:t>
      </w:r>
      <w:r w:rsidR="00AA7E2E">
        <w:t xml:space="preserve">should </w:t>
      </w:r>
      <w:r w:rsidR="00624C6A">
        <w:t>be renamed with “</w:t>
      </w:r>
      <w:r w:rsidR="00624C6A" w:rsidRPr="00624C6A">
        <w:rPr>
          <w:b/>
        </w:rPr>
        <w:t>&amp;cc</w:t>
      </w:r>
      <w:r w:rsidR="00624C6A">
        <w:t>”,</w:t>
      </w:r>
      <w:r w:rsidR="0020428F">
        <w:t xml:space="preserve"> which corresponds to</w:t>
      </w:r>
      <w:r w:rsidR="00E252D1">
        <w:t xml:space="preserve"> </w:t>
      </w:r>
      <w:r w:rsidR="00624C6A">
        <w:t xml:space="preserve">your country </w:t>
      </w:r>
      <w:r w:rsidR="00AB447A">
        <w:t xml:space="preserve">two-digit code </w:t>
      </w:r>
      <w:r w:rsidR="00624C6A">
        <w:t>in lowercase letters.</w:t>
      </w:r>
    </w:p>
    <w:p w14:paraId="18020B49" w14:textId="72A3A18C" w:rsidR="00FF2223" w:rsidRDefault="009572B1" w:rsidP="007C467E">
      <w:pPr>
        <w:pStyle w:val="Heading1"/>
      </w:pPr>
      <w:bookmarkStart w:id="9" w:name="_Toc212190088"/>
      <w:r>
        <w:lastRenderedPageBreak/>
        <w:t>Software</w:t>
      </w:r>
      <w:r w:rsidR="00FF2223">
        <w:t xml:space="preserve"> Configuration</w:t>
      </w:r>
      <w:r>
        <w:t xml:space="preserve"> - SAS Enterprise Guide</w:t>
      </w:r>
      <w:bookmarkEnd w:id="9"/>
    </w:p>
    <w:p w14:paraId="03F384EE" w14:textId="77777777" w:rsidR="00C05A8D" w:rsidRDefault="00FF2223" w:rsidP="00FF2223">
      <w:r>
        <w:t xml:space="preserve">The validation program is implemented as a SAS/EG (Enterprise Guide) project which in turn consists in the </w:t>
      </w:r>
      <w:proofErr w:type="spellStart"/>
      <w:r w:rsidRPr="003D083B">
        <w:rPr>
          <w:b/>
        </w:rPr>
        <w:t>DATACHECKXML</w:t>
      </w:r>
      <w:r>
        <w:rPr>
          <w:b/>
        </w:rPr>
        <w:t>.egp</w:t>
      </w:r>
      <w:proofErr w:type="spellEnd"/>
      <w:r>
        <w:rPr>
          <w:b/>
        </w:rPr>
        <w:t xml:space="preserve"> </w:t>
      </w:r>
      <w:r w:rsidRPr="0076426E">
        <w:t>file</w:t>
      </w:r>
      <w:r>
        <w:t xml:space="preserve">. </w:t>
      </w:r>
    </w:p>
    <w:p w14:paraId="2177A9BE" w14:textId="63B7242C" w:rsidR="00C05A8D" w:rsidRDefault="00FF2223" w:rsidP="00FF2223">
      <w:r>
        <w:t>This can be run provided that a minimal configuration is accomplished. Read the next paragraph to these regards.</w:t>
      </w:r>
    </w:p>
    <w:p w14:paraId="7D69ED07" w14:textId="2A3B2CD0" w:rsidR="00C05A8D" w:rsidRDefault="00C05A8D">
      <w:pPr>
        <w:jc w:val="left"/>
      </w:pPr>
    </w:p>
    <w:p w14:paraId="06B796AC" w14:textId="23FAE786" w:rsidR="00FF2223" w:rsidRDefault="00C05A8D" w:rsidP="00C05A8D">
      <w:pPr>
        <w:pStyle w:val="Heading3"/>
      </w:pPr>
      <w:bookmarkStart w:id="10" w:name="_Toc212190089"/>
      <w:r w:rsidRPr="00C05A8D">
        <w:t>SETENV-XML-</w:t>
      </w:r>
      <w:proofErr w:type="spellStart"/>
      <w:r w:rsidRPr="00C05A8D">
        <w:t>EG.sas</w:t>
      </w:r>
      <w:proofErr w:type="spellEnd"/>
      <w:r>
        <w:t xml:space="preserve"> c</w:t>
      </w:r>
      <w:r w:rsidR="00FF2223">
        <w:t>onfiguration</w:t>
      </w:r>
      <w:bookmarkEnd w:id="10"/>
    </w:p>
    <w:p w14:paraId="6B6639FF" w14:textId="78D6C5E5" w:rsidR="00162BA3" w:rsidRDefault="000224DD" w:rsidP="00162BA3">
      <w:r>
        <w:t xml:space="preserve">Once that the directory structure has been </w:t>
      </w:r>
      <w:r w:rsidR="009572B1">
        <w:t>renamed</w:t>
      </w:r>
      <w:r w:rsidR="00162BA3">
        <w:t xml:space="preserve">, the context variable </w:t>
      </w:r>
      <w:r w:rsidR="00162BA3" w:rsidRPr="00494D77">
        <w:rPr>
          <w:b/>
          <w:color w:val="2F5496" w:themeColor="accent1" w:themeShade="BF"/>
        </w:rPr>
        <w:t>&amp;</w:t>
      </w:r>
      <w:proofErr w:type="spellStart"/>
      <w:r w:rsidR="00162BA3" w:rsidRPr="00494D77">
        <w:rPr>
          <w:b/>
          <w:color w:val="2F5496" w:themeColor="accent1" w:themeShade="BF"/>
        </w:rPr>
        <w:t>eusilc</w:t>
      </w:r>
      <w:proofErr w:type="spellEnd"/>
      <w:r w:rsidR="00162BA3">
        <w:t xml:space="preserve"> must be set up </w:t>
      </w:r>
      <w:r>
        <w:t>within the configuration module,</w:t>
      </w:r>
      <w:r w:rsidR="00162BA3">
        <w:t xml:space="preserve"> </w:t>
      </w:r>
      <w:r>
        <w:t>namely the</w:t>
      </w:r>
      <w:r w:rsidR="00162BA3">
        <w:t xml:space="preserve"> following SAS </w:t>
      </w:r>
      <w:r>
        <w:t>module</w:t>
      </w:r>
      <w:r w:rsidR="00162BA3">
        <w:t xml:space="preserve"> </w:t>
      </w:r>
      <w:r w:rsidR="00152983">
        <w:t xml:space="preserve">located in the </w:t>
      </w:r>
      <w:r w:rsidR="00152983" w:rsidRPr="00494D77">
        <w:rPr>
          <w:b/>
          <w:color w:val="2F5496" w:themeColor="accent1" w:themeShade="BF"/>
        </w:rPr>
        <w:t>&amp;</w:t>
      </w:r>
      <w:proofErr w:type="spellStart"/>
      <w:r w:rsidR="00152983" w:rsidRPr="00494D77">
        <w:rPr>
          <w:b/>
          <w:color w:val="2F5496" w:themeColor="accent1" w:themeShade="BF"/>
        </w:rPr>
        <w:t>eusilc</w:t>
      </w:r>
      <w:proofErr w:type="spellEnd"/>
      <w:r w:rsidR="00152983" w:rsidRPr="00494D77">
        <w:rPr>
          <w:b/>
          <w:color w:val="2F5496" w:themeColor="accent1" w:themeShade="BF"/>
        </w:rPr>
        <w:t>/</w:t>
      </w:r>
      <w:r w:rsidR="00152983">
        <w:rPr>
          <w:b/>
          <w:color w:val="2F5496" w:themeColor="accent1" w:themeShade="BF"/>
        </w:rPr>
        <w:t>5.3_Validation/</w:t>
      </w:r>
      <w:proofErr w:type="spellStart"/>
      <w:r w:rsidR="00152983">
        <w:rPr>
          <w:b/>
          <w:color w:val="2F5496" w:themeColor="accent1" w:themeShade="BF"/>
        </w:rPr>
        <w:t>pgm</w:t>
      </w:r>
      <w:proofErr w:type="spellEnd"/>
      <w:r w:rsidR="00152983">
        <w:t xml:space="preserve"> directory</w:t>
      </w:r>
      <w:r w:rsidR="00162BA3">
        <w:t>:</w:t>
      </w:r>
    </w:p>
    <w:p w14:paraId="4BCBECAA" w14:textId="5E2488AF" w:rsidR="00162BA3" w:rsidRDefault="00162BA3" w:rsidP="00162BA3">
      <w:pPr>
        <w:pStyle w:val="ListParagraph"/>
        <w:numPr>
          <w:ilvl w:val="0"/>
          <w:numId w:val="18"/>
        </w:numPr>
      </w:pPr>
      <w:r w:rsidRPr="003D083B">
        <w:rPr>
          <w:b/>
        </w:rPr>
        <w:t>SETENV-XML</w:t>
      </w:r>
      <w:r w:rsidR="009572B1">
        <w:rPr>
          <w:b/>
        </w:rPr>
        <w:t>-</w:t>
      </w:r>
      <w:proofErr w:type="spellStart"/>
      <w:r w:rsidR="009572B1">
        <w:rPr>
          <w:b/>
        </w:rPr>
        <w:t>EG</w:t>
      </w:r>
      <w:r w:rsidR="00152983">
        <w:rPr>
          <w:b/>
        </w:rPr>
        <w:t>.sas</w:t>
      </w:r>
      <w:proofErr w:type="spellEnd"/>
    </w:p>
    <w:p w14:paraId="69430781" w14:textId="7BC68AE7" w:rsidR="00162BA3" w:rsidRDefault="00162BA3" w:rsidP="00C05A8D">
      <w:pPr>
        <w:ind w:left="720"/>
      </w:pPr>
      <w:proofErr w:type="gramStart"/>
      <w:r>
        <w:t>In order to</w:t>
      </w:r>
      <w:proofErr w:type="gramEnd"/>
      <w:r>
        <w:t xml:space="preserve"> provide the set up for </w:t>
      </w:r>
      <w:r w:rsidR="00152983">
        <w:t>said</w:t>
      </w:r>
      <w:r>
        <w:t xml:space="preserve"> variable</w:t>
      </w:r>
      <w:r w:rsidR="00152983">
        <w:t xml:space="preserve"> (“</w:t>
      </w:r>
      <w:proofErr w:type="spellStart"/>
      <w:r w:rsidR="00152983">
        <w:t>eusilc</w:t>
      </w:r>
      <w:proofErr w:type="spellEnd"/>
      <w:r w:rsidR="00152983">
        <w:t>”)</w:t>
      </w:r>
      <w:r>
        <w:t>, the following directive must be included on top of the SAS program in question, replacing ___PATH___ with the actual location of the SILC ROOT DIRECTORY on your server:</w:t>
      </w:r>
    </w:p>
    <w:p w14:paraId="4B83C038" w14:textId="03231C4B" w:rsidR="00162BA3" w:rsidRPr="00152983" w:rsidRDefault="00162BA3" w:rsidP="00C05A8D">
      <w:pPr>
        <w:pStyle w:val="ListParagraph"/>
        <w:numPr>
          <w:ilvl w:val="0"/>
          <w:numId w:val="18"/>
        </w:numPr>
        <w:ind w:left="1440"/>
        <w:rPr>
          <w:b/>
        </w:rPr>
      </w:pPr>
      <w:r w:rsidRPr="00152983">
        <w:rPr>
          <w:b/>
        </w:rPr>
        <w:t xml:space="preserve">%LET </w:t>
      </w:r>
      <w:proofErr w:type="spellStart"/>
      <w:r w:rsidRPr="00152983">
        <w:rPr>
          <w:b/>
        </w:rPr>
        <w:t>eusilc</w:t>
      </w:r>
      <w:proofErr w:type="spellEnd"/>
      <w:r w:rsidRPr="00152983">
        <w:rPr>
          <w:b/>
        </w:rPr>
        <w:t>=___PATH</w:t>
      </w:r>
      <w:proofErr w:type="gramStart"/>
      <w:r w:rsidRPr="00152983">
        <w:rPr>
          <w:b/>
        </w:rPr>
        <w:t>___;</w:t>
      </w:r>
      <w:proofErr w:type="gramEnd"/>
    </w:p>
    <w:p w14:paraId="187214D0" w14:textId="6266F611" w:rsidR="00162BA3" w:rsidRDefault="00162BA3" w:rsidP="00C05A8D">
      <w:pPr>
        <w:ind w:left="720"/>
      </w:pPr>
      <w:r>
        <w:t xml:space="preserve">The following illustrative directive refers to an installation environment having </w:t>
      </w:r>
      <w:r w:rsidRPr="000224DD">
        <w:rPr>
          <w:b/>
        </w:rPr>
        <w:t>C:\SILC</w:t>
      </w:r>
      <w:r>
        <w:t xml:space="preserve"> as the root directory:</w:t>
      </w:r>
    </w:p>
    <w:p w14:paraId="6B953BB0" w14:textId="77777777" w:rsidR="00162BA3" w:rsidRPr="00977466" w:rsidRDefault="00162BA3" w:rsidP="00C05A8D">
      <w:pPr>
        <w:pStyle w:val="ListParagraph"/>
        <w:numPr>
          <w:ilvl w:val="0"/>
          <w:numId w:val="18"/>
        </w:numPr>
        <w:ind w:left="1440"/>
        <w:rPr>
          <w:b/>
        </w:rPr>
      </w:pPr>
      <w:r w:rsidRPr="00977466">
        <w:rPr>
          <w:b/>
        </w:rPr>
        <w:t xml:space="preserve">%LET </w:t>
      </w:r>
      <w:proofErr w:type="spellStart"/>
      <w:r w:rsidRPr="00977466">
        <w:rPr>
          <w:b/>
        </w:rPr>
        <w:t>eusilc</w:t>
      </w:r>
      <w:proofErr w:type="spellEnd"/>
      <w:r w:rsidRPr="00977466">
        <w:rPr>
          <w:b/>
        </w:rPr>
        <w:t>=</w:t>
      </w:r>
      <w:proofErr w:type="gramStart"/>
      <w:r w:rsidRPr="00977466">
        <w:rPr>
          <w:b/>
        </w:rPr>
        <w:t>C:\SILC;</w:t>
      </w:r>
      <w:proofErr w:type="gramEnd"/>
    </w:p>
    <w:p w14:paraId="78AE106F" w14:textId="7D37C177" w:rsidR="00AA7E2E" w:rsidRDefault="00AA7E2E" w:rsidP="00C05A8D">
      <w:pPr>
        <w:ind w:left="720"/>
      </w:pPr>
      <w:r>
        <w:t>The last variable to set up is that aimed to specify whether the slash or the backslash is to be used as a directory separator:</w:t>
      </w:r>
    </w:p>
    <w:p w14:paraId="48B973BA" w14:textId="37C7D16C" w:rsidR="00AA7E2E" w:rsidRDefault="00AA7E2E" w:rsidP="00C05A8D">
      <w:pPr>
        <w:pStyle w:val="ListParagraph"/>
        <w:numPr>
          <w:ilvl w:val="0"/>
          <w:numId w:val="18"/>
        </w:numPr>
        <w:ind w:left="1440"/>
        <w:rPr>
          <w:b/>
        </w:rPr>
      </w:pPr>
      <w:r w:rsidRPr="00977466">
        <w:rPr>
          <w:b/>
        </w:rPr>
        <w:t xml:space="preserve">%LET </w:t>
      </w:r>
      <w:r w:rsidRPr="00AA7E2E">
        <w:rPr>
          <w:b/>
        </w:rPr>
        <w:t>%LET _</w:t>
      </w:r>
      <w:proofErr w:type="spellStart"/>
      <w:r w:rsidRPr="00AA7E2E">
        <w:rPr>
          <w:b/>
        </w:rPr>
        <w:t>dirsp</w:t>
      </w:r>
      <w:proofErr w:type="spellEnd"/>
      <w:r w:rsidRPr="00AA7E2E">
        <w:rPr>
          <w:b/>
        </w:rPr>
        <w:t>_=</w:t>
      </w:r>
      <w:proofErr w:type="gramStart"/>
      <w:r w:rsidRPr="00AA7E2E">
        <w:rPr>
          <w:b/>
        </w:rPr>
        <w:t>\;</w:t>
      </w:r>
      <w:proofErr w:type="gramEnd"/>
      <w:r>
        <w:rPr>
          <w:b/>
        </w:rPr>
        <w:t xml:space="preserve"> </w:t>
      </w:r>
    </w:p>
    <w:p w14:paraId="6DB0D9D3" w14:textId="04F0D9D6" w:rsidR="00AA7E2E" w:rsidRDefault="00AA7E2E" w:rsidP="00C05A8D">
      <w:pPr>
        <w:pStyle w:val="ListParagraph"/>
        <w:numPr>
          <w:ilvl w:val="0"/>
          <w:numId w:val="18"/>
        </w:numPr>
        <w:ind w:left="1440"/>
        <w:rPr>
          <w:b/>
        </w:rPr>
      </w:pPr>
      <w:r w:rsidRPr="00977466">
        <w:rPr>
          <w:b/>
        </w:rPr>
        <w:t xml:space="preserve">%LET </w:t>
      </w:r>
      <w:r w:rsidRPr="00AA7E2E">
        <w:rPr>
          <w:b/>
        </w:rPr>
        <w:t>%LET _</w:t>
      </w:r>
      <w:proofErr w:type="spellStart"/>
      <w:r w:rsidRPr="00AA7E2E">
        <w:rPr>
          <w:b/>
        </w:rPr>
        <w:t>dirsp</w:t>
      </w:r>
      <w:proofErr w:type="spellEnd"/>
      <w:r w:rsidRPr="00AA7E2E">
        <w:rPr>
          <w:b/>
        </w:rPr>
        <w:t>_=</w:t>
      </w:r>
      <w:proofErr w:type="gramStart"/>
      <w:r>
        <w:rPr>
          <w:b/>
        </w:rPr>
        <w:t>/</w:t>
      </w:r>
      <w:r w:rsidRPr="00AA7E2E">
        <w:rPr>
          <w:b/>
        </w:rPr>
        <w:t>;</w:t>
      </w:r>
      <w:proofErr w:type="gramEnd"/>
      <w:r>
        <w:rPr>
          <w:b/>
        </w:rPr>
        <w:t xml:space="preserve"> </w:t>
      </w:r>
    </w:p>
    <w:p w14:paraId="5412898C" w14:textId="77777777" w:rsidR="00252C39" w:rsidRDefault="00AA7E2E" w:rsidP="00C05A8D">
      <w:pPr>
        <w:ind w:left="720"/>
      </w:pPr>
      <w:r w:rsidRPr="00AA7E2E">
        <w:t>The</w:t>
      </w:r>
      <w:r>
        <w:t xml:space="preserve"> former setup applies in case of a Windows file system, whereas the latter applies in case of a UNIX file system.</w:t>
      </w:r>
    </w:p>
    <w:p w14:paraId="66339E7E" w14:textId="6B90B5ED" w:rsidR="00252C39" w:rsidRDefault="00252C39" w:rsidP="00C05A8D">
      <w:pPr>
        <w:pStyle w:val="Heading3"/>
      </w:pPr>
      <w:bookmarkStart w:id="11" w:name="_Toc212190090"/>
      <w:r>
        <w:t>SAS Application Server</w:t>
      </w:r>
      <w:bookmarkEnd w:id="11"/>
    </w:p>
    <w:p w14:paraId="483EA2C5" w14:textId="31FAFB2E" w:rsidR="007C1559" w:rsidRDefault="00AB447A" w:rsidP="00252C39">
      <w:r>
        <w:t>Eurostat has developed t</w:t>
      </w:r>
      <w:r w:rsidR="00252C39">
        <w:t>he default SAS Application Server</w:t>
      </w:r>
      <w:r w:rsidR="00AA7E2E">
        <w:t xml:space="preserve"> </w:t>
      </w:r>
      <w:r w:rsidR="00252C39">
        <w:t xml:space="preserve">set up in the </w:t>
      </w:r>
      <w:proofErr w:type="spellStart"/>
      <w:r w:rsidR="00252C39">
        <w:t>DATACHECKXML.eg</w:t>
      </w:r>
      <w:r w:rsidR="008765E7">
        <w:t>p</w:t>
      </w:r>
      <w:proofErr w:type="spellEnd"/>
      <w:r w:rsidR="00252C39">
        <w:t xml:space="preserve">. The user is supposed to overwrite this setup by selecting the proper SAS Application Server available in his execution environment. This operation can be accomplished through the menu </w:t>
      </w:r>
      <w:r w:rsidR="00252C39" w:rsidRPr="007C1559">
        <w:rPr>
          <w:b/>
        </w:rPr>
        <w:t>Tools</w:t>
      </w:r>
      <w:r w:rsidR="00252C39">
        <w:t xml:space="preserve"> </w:t>
      </w:r>
      <w:r w:rsidR="00252C39">
        <w:sym w:font="Wingdings" w:char="F0E0"/>
      </w:r>
      <w:r w:rsidR="00252C39">
        <w:t xml:space="preserve"> </w:t>
      </w:r>
      <w:r w:rsidR="007C1559" w:rsidRPr="007C1559">
        <w:rPr>
          <w:b/>
        </w:rPr>
        <w:t>Connections</w:t>
      </w:r>
      <w:r w:rsidR="00252C39">
        <w:t xml:space="preserve"> of SAS/E</w:t>
      </w:r>
      <w:r w:rsidR="007C1559">
        <w:t>G which makes possible to choose the user’s SAS profile, as shown in the screenshot below:</w:t>
      </w:r>
    </w:p>
    <w:p w14:paraId="1A65211F" w14:textId="77777777" w:rsidR="007C1559" w:rsidRDefault="007C1559" w:rsidP="007C1559">
      <w:pPr>
        <w:jc w:val="center"/>
      </w:pPr>
      <w:r>
        <w:rPr>
          <w:noProof/>
          <w:lang w:val="fr-BE" w:eastAsia="fr-BE"/>
        </w:rPr>
        <w:lastRenderedPageBreak/>
        <w:drawing>
          <wp:inline distT="0" distB="0" distL="0" distR="0" wp14:anchorId="0E993DC7" wp14:editId="1CA5091C">
            <wp:extent cx="4584936" cy="268618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B1F2" w14:textId="77777777" w:rsidR="007C1559" w:rsidRDefault="007C1559" w:rsidP="007C1559"/>
    <w:p w14:paraId="301A12CB" w14:textId="0CBAD386" w:rsidR="005E6132" w:rsidRDefault="005E6132" w:rsidP="007C1559">
      <w:r>
        <w:t xml:space="preserve">IT arrangements may vary across NSIs. Please contact your IT department in case you do not have a SAS </w:t>
      </w:r>
      <w:proofErr w:type="gramStart"/>
      <w:r>
        <w:t>profile</w:t>
      </w:r>
      <w:proofErr w:type="gramEnd"/>
      <w:r>
        <w:t xml:space="preserve"> but you need your Organisation’s SAS Application Servers parameters. </w:t>
      </w:r>
    </w:p>
    <w:p w14:paraId="094C372B" w14:textId="5ABA173B" w:rsidR="007C1559" w:rsidRDefault="007C1559" w:rsidP="007C1559">
      <w:r>
        <w:t xml:space="preserve">These must be selected from the dropdown list shown below: </w:t>
      </w:r>
    </w:p>
    <w:p w14:paraId="3BD6D392" w14:textId="3E78491D" w:rsidR="00964B99" w:rsidRDefault="007C1559" w:rsidP="007C1559">
      <w:pPr>
        <w:jc w:val="center"/>
      </w:pPr>
      <w:r>
        <w:rPr>
          <w:noProof/>
          <w:lang w:val="fr-BE" w:eastAsia="fr-BE"/>
        </w:rPr>
        <w:drawing>
          <wp:inline distT="0" distB="0" distL="0" distR="0" wp14:anchorId="4279AFBB" wp14:editId="238CAE76">
            <wp:extent cx="4584936" cy="268618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DD15" w14:textId="77777777" w:rsidR="00372D5F" w:rsidRDefault="00372D5F">
      <w:pPr>
        <w:spacing w:after="160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12" w:name="_Toc126751148"/>
      <w:r>
        <w:br w:type="page"/>
      </w:r>
    </w:p>
    <w:p w14:paraId="670BCB04" w14:textId="16E1ACCC" w:rsidR="009572B1" w:rsidRDefault="009572B1" w:rsidP="007C467E">
      <w:pPr>
        <w:pStyle w:val="Heading1"/>
      </w:pPr>
      <w:bookmarkStart w:id="13" w:name="_Toc212190091"/>
      <w:r>
        <w:lastRenderedPageBreak/>
        <w:t xml:space="preserve">Software Configuration - </w:t>
      </w:r>
      <w:r w:rsidRPr="00563138">
        <w:t>SAS 9.</w:t>
      </w:r>
      <w:r w:rsidR="00531A96">
        <w:t>4</w:t>
      </w:r>
      <w:r>
        <w:t xml:space="preserve"> Standalone</w:t>
      </w:r>
      <w:r w:rsidR="00951B64">
        <w:t xml:space="preserve"> (SA)</w:t>
      </w:r>
      <w:r>
        <w:t xml:space="preserve"> Platforms</w:t>
      </w:r>
      <w:bookmarkEnd w:id="12"/>
      <w:bookmarkEnd w:id="13"/>
    </w:p>
    <w:p w14:paraId="4A783E0E" w14:textId="7B34333B" w:rsidR="009572B1" w:rsidRDefault="00C05A8D" w:rsidP="00C05A8D">
      <w:pPr>
        <w:pStyle w:val="Heading3"/>
      </w:pPr>
      <w:bookmarkStart w:id="14" w:name="_Toc212190092"/>
      <w:r>
        <w:t>Prerequisites</w:t>
      </w:r>
      <w:r w:rsidR="009572B1">
        <w:t xml:space="preserve"> – SAS Version Check</w:t>
      </w:r>
      <w:bookmarkEnd w:id="14"/>
    </w:p>
    <w:p w14:paraId="01F1849E" w14:textId="416D7FFE" w:rsidR="009572B1" w:rsidRDefault="009572B1" w:rsidP="009572B1">
      <w:r>
        <w:t xml:space="preserve">The validation program is implemented </w:t>
      </w:r>
      <w:r w:rsidR="00AB447A">
        <w:t xml:space="preserve">through </w:t>
      </w:r>
      <w:r>
        <w:t>a collection of SAS programs (*.</w:t>
      </w:r>
      <w:proofErr w:type="spellStart"/>
      <w:r>
        <w:t>sas</w:t>
      </w:r>
      <w:proofErr w:type="spellEnd"/>
      <w:r>
        <w:t xml:space="preserve"> files) which run on all SAS standalone platforms </w:t>
      </w:r>
      <w:r w:rsidR="00AB447A">
        <w:t xml:space="preserve">which should </w:t>
      </w:r>
      <w:r>
        <w:rPr>
          <w:u w:val="single"/>
        </w:rPr>
        <w:t>not</w:t>
      </w:r>
      <w:r w:rsidR="00AB447A">
        <w:rPr>
          <w:u w:val="single"/>
        </w:rPr>
        <w:t xml:space="preserve"> be</w:t>
      </w:r>
      <w:r>
        <w:rPr>
          <w:u w:val="single"/>
        </w:rPr>
        <w:t xml:space="preserve"> older than </w:t>
      </w:r>
      <w:r w:rsidRPr="00563138">
        <w:rPr>
          <w:u w:val="single"/>
        </w:rPr>
        <w:t>SAS 9.</w:t>
      </w:r>
      <w:r w:rsidR="00531A96">
        <w:rPr>
          <w:u w:val="single"/>
        </w:rPr>
        <w:t>4</w:t>
      </w:r>
      <w:r>
        <w:t xml:space="preserve">. SAS older versions, such as SAS </w:t>
      </w:r>
      <w:r w:rsidR="00531A96">
        <w:t xml:space="preserve">9.3, </w:t>
      </w:r>
      <w:r>
        <w:t>9.2 or SAS 9.1, are not compatible with the SILC Validation SW.</w:t>
      </w:r>
    </w:p>
    <w:p w14:paraId="29795999" w14:textId="534B743A" w:rsidR="009572B1" w:rsidRDefault="00C05A8D" w:rsidP="00C05A8D">
      <w:pPr>
        <w:pStyle w:val="Heading3"/>
      </w:pPr>
      <w:bookmarkStart w:id="15" w:name="_Toc212190093"/>
      <w:r w:rsidRPr="00C05A8D">
        <w:t>SETENV-XML-</w:t>
      </w:r>
      <w:proofErr w:type="spellStart"/>
      <w:r w:rsidRPr="00C05A8D">
        <w:t>SA.sas</w:t>
      </w:r>
      <w:proofErr w:type="spellEnd"/>
      <w:r>
        <w:t xml:space="preserve"> c</w:t>
      </w:r>
      <w:r w:rsidR="009572B1">
        <w:t>onfiguration</w:t>
      </w:r>
      <w:bookmarkEnd w:id="15"/>
    </w:p>
    <w:p w14:paraId="22FFE223" w14:textId="1A39B422" w:rsidR="009572B1" w:rsidRDefault="009572B1" w:rsidP="009572B1">
      <w:r>
        <w:t xml:space="preserve">Once that the directory structure has been renamed, the context variable </w:t>
      </w: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t xml:space="preserve"> must be set up within the configuration module, namely the following SAS module located in the </w:t>
      </w:r>
      <w:r>
        <w:rPr>
          <w:b/>
          <w:color w:val="2F5496" w:themeColor="accent1" w:themeShade="BF"/>
        </w:rPr>
        <w:t>&amp;</w:t>
      </w:r>
      <w:proofErr w:type="spellStart"/>
      <w:r>
        <w:rPr>
          <w:b/>
          <w:color w:val="2F5496" w:themeColor="accent1" w:themeShade="BF"/>
        </w:rPr>
        <w:t>eusilc</w:t>
      </w:r>
      <w:proofErr w:type="spellEnd"/>
      <w:r>
        <w:rPr>
          <w:b/>
          <w:color w:val="2F5496" w:themeColor="accent1" w:themeShade="BF"/>
        </w:rPr>
        <w:t>/5.3_Validation/</w:t>
      </w:r>
      <w:proofErr w:type="spellStart"/>
      <w:r>
        <w:rPr>
          <w:b/>
          <w:color w:val="2F5496" w:themeColor="accent1" w:themeShade="BF"/>
        </w:rPr>
        <w:t>pgm</w:t>
      </w:r>
      <w:proofErr w:type="spellEnd"/>
      <w:r>
        <w:t xml:space="preserve"> directory:</w:t>
      </w:r>
    </w:p>
    <w:p w14:paraId="4D930E37" w14:textId="4B163AC4" w:rsidR="009572B1" w:rsidRDefault="009572B1" w:rsidP="009572B1">
      <w:pPr>
        <w:pStyle w:val="ListParagraph"/>
        <w:numPr>
          <w:ilvl w:val="0"/>
          <w:numId w:val="26"/>
        </w:numPr>
        <w:spacing w:line="254" w:lineRule="auto"/>
      </w:pPr>
      <w:r>
        <w:rPr>
          <w:b/>
        </w:rPr>
        <w:t>SETENV-XML-</w:t>
      </w:r>
      <w:proofErr w:type="spellStart"/>
      <w:r>
        <w:rPr>
          <w:b/>
        </w:rPr>
        <w:t>SA.sas</w:t>
      </w:r>
      <w:proofErr w:type="spellEnd"/>
    </w:p>
    <w:p w14:paraId="1D9521FC" w14:textId="77777777" w:rsidR="009572B1" w:rsidRDefault="009572B1" w:rsidP="00C05A8D">
      <w:pPr>
        <w:ind w:left="720"/>
      </w:pPr>
      <w:proofErr w:type="gramStart"/>
      <w:r>
        <w:t>In order to</w:t>
      </w:r>
      <w:proofErr w:type="gramEnd"/>
      <w:r>
        <w:t xml:space="preserve"> provide the set up for said variable (“</w:t>
      </w:r>
      <w:proofErr w:type="spellStart"/>
      <w:r>
        <w:t>eusilc</w:t>
      </w:r>
      <w:proofErr w:type="spellEnd"/>
      <w:r>
        <w:t>”), the following directive must be included on top of the SAS program in question, replacing ___PATH___ with the actual location of the SILC ROOT DIRECTORY on your server:</w:t>
      </w:r>
    </w:p>
    <w:p w14:paraId="7D457764" w14:textId="77777777" w:rsidR="009572B1" w:rsidRDefault="009572B1" w:rsidP="00C05A8D">
      <w:pPr>
        <w:pStyle w:val="ListParagraph"/>
        <w:numPr>
          <w:ilvl w:val="0"/>
          <w:numId w:val="26"/>
        </w:numPr>
        <w:spacing w:line="254" w:lineRule="auto"/>
        <w:ind w:left="1440"/>
        <w:rPr>
          <w:b/>
        </w:rPr>
      </w:pPr>
      <w:r>
        <w:rPr>
          <w:b/>
        </w:rPr>
        <w:t xml:space="preserve">%LET </w:t>
      </w:r>
      <w:proofErr w:type="spellStart"/>
      <w:r>
        <w:rPr>
          <w:b/>
        </w:rPr>
        <w:t>eusilc</w:t>
      </w:r>
      <w:proofErr w:type="spellEnd"/>
      <w:r>
        <w:rPr>
          <w:b/>
        </w:rPr>
        <w:t>=___PATH</w:t>
      </w:r>
      <w:proofErr w:type="gramStart"/>
      <w:r>
        <w:rPr>
          <w:b/>
        </w:rPr>
        <w:t>___;</w:t>
      </w:r>
      <w:proofErr w:type="gramEnd"/>
    </w:p>
    <w:p w14:paraId="6D023608" w14:textId="77777777" w:rsidR="009572B1" w:rsidRDefault="009572B1" w:rsidP="00C05A8D">
      <w:pPr>
        <w:ind w:left="720"/>
      </w:pPr>
      <w:r>
        <w:t xml:space="preserve">The following illustrative directive refers to an installation environment having </w:t>
      </w:r>
      <w:r>
        <w:rPr>
          <w:b/>
        </w:rPr>
        <w:t>C:\SILC</w:t>
      </w:r>
      <w:r>
        <w:t xml:space="preserve"> as the root directory:</w:t>
      </w:r>
    </w:p>
    <w:p w14:paraId="08DFB0BE" w14:textId="77777777" w:rsidR="009572B1" w:rsidRDefault="009572B1" w:rsidP="00C05A8D">
      <w:pPr>
        <w:pStyle w:val="ListParagraph"/>
        <w:numPr>
          <w:ilvl w:val="0"/>
          <w:numId w:val="26"/>
        </w:numPr>
        <w:spacing w:line="254" w:lineRule="auto"/>
        <w:ind w:left="1440"/>
        <w:rPr>
          <w:b/>
        </w:rPr>
      </w:pPr>
      <w:r>
        <w:rPr>
          <w:b/>
        </w:rPr>
        <w:t xml:space="preserve">%LET </w:t>
      </w:r>
      <w:proofErr w:type="spellStart"/>
      <w:r>
        <w:rPr>
          <w:b/>
        </w:rPr>
        <w:t>eusilc</w:t>
      </w:r>
      <w:proofErr w:type="spellEnd"/>
      <w:r>
        <w:rPr>
          <w:b/>
        </w:rPr>
        <w:t>=</w:t>
      </w:r>
      <w:proofErr w:type="gramStart"/>
      <w:r>
        <w:rPr>
          <w:b/>
        </w:rPr>
        <w:t>C:\SILC;</w:t>
      </w:r>
      <w:proofErr w:type="gramEnd"/>
    </w:p>
    <w:p w14:paraId="088C28CB" w14:textId="77777777" w:rsidR="009572B1" w:rsidRDefault="009572B1" w:rsidP="00C05A8D">
      <w:pPr>
        <w:ind w:left="720"/>
      </w:pPr>
      <w:r>
        <w:t>The last variable to set up is that aimed to specify whether the slash or the backslash is to be used as a directory separator:</w:t>
      </w:r>
    </w:p>
    <w:p w14:paraId="040596F7" w14:textId="77777777" w:rsidR="009572B1" w:rsidRDefault="009572B1" w:rsidP="00C05A8D">
      <w:pPr>
        <w:pStyle w:val="ListParagraph"/>
        <w:numPr>
          <w:ilvl w:val="0"/>
          <w:numId w:val="26"/>
        </w:numPr>
        <w:spacing w:line="254" w:lineRule="auto"/>
        <w:ind w:left="1440"/>
        <w:rPr>
          <w:b/>
        </w:rPr>
      </w:pPr>
      <w:r>
        <w:rPr>
          <w:b/>
        </w:rPr>
        <w:t>%LET %LET _</w:t>
      </w:r>
      <w:proofErr w:type="spellStart"/>
      <w:r>
        <w:rPr>
          <w:b/>
        </w:rPr>
        <w:t>dirsp</w:t>
      </w:r>
      <w:proofErr w:type="spellEnd"/>
      <w:r>
        <w:rPr>
          <w:b/>
        </w:rPr>
        <w:t>_=</w:t>
      </w:r>
      <w:proofErr w:type="gramStart"/>
      <w:r>
        <w:rPr>
          <w:b/>
        </w:rPr>
        <w:t>\;</w:t>
      </w:r>
      <w:proofErr w:type="gramEnd"/>
      <w:r>
        <w:rPr>
          <w:b/>
        </w:rPr>
        <w:t xml:space="preserve"> </w:t>
      </w:r>
    </w:p>
    <w:p w14:paraId="657D4371" w14:textId="77777777" w:rsidR="009572B1" w:rsidRDefault="009572B1" w:rsidP="00C05A8D">
      <w:pPr>
        <w:pStyle w:val="ListParagraph"/>
        <w:numPr>
          <w:ilvl w:val="0"/>
          <w:numId w:val="26"/>
        </w:numPr>
        <w:spacing w:line="254" w:lineRule="auto"/>
        <w:ind w:left="1440"/>
        <w:rPr>
          <w:b/>
        </w:rPr>
      </w:pPr>
      <w:r>
        <w:rPr>
          <w:b/>
        </w:rPr>
        <w:t>%LET %LET _</w:t>
      </w:r>
      <w:proofErr w:type="spellStart"/>
      <w:r>
        <w:rPr>
          <w:b/>
        </w:rPr>
        <w:t>dirsp</w:t>
      </w:r>
      <w:proofErr w:type="spellEnd"/>
      <w:r>
        <w:rPr>
          <w:b/>
        </w:rPr>
        <w:t>_=</w:t>
      </w:r>
      <w:proofErr w:type="gramStart"/>
      <w:r>
        <w:rPr>
          <w:b/>
        </w:rPr>
        <w:t>/;</w:t>
      </w:r>
      <w:proofErr w:type="gramEnd"/>
      <w:r>
        <w:rPr>
          <w:b/>
        </w:rPr>
        <w:t xml:space="preserve"> </w:t>
      </w:r>
    </w:p>
    <w:p w14:paraId="11912B5B" w14:textId="77777777" w:rsidR="009572B1" w:rsidRDefault="009572B1" w:rsidP="00C05A8D">
      <w:pPr>
        <w:ind w:left="720"/>
      </w:pPr>
      <w:r>
        <w:t>The former setup applies in case of a Windows file system, whereas the latter applies in case of a UNIX file system.</w:t>
      </w:r>
      <w:bookmarkEnd w:id="1"/>
    </w:p>
    <w:p w14:paraId="513A30C8" w14:textId="0E555A7D" w:rsidR="007C467E" w:rsidRDefault="007C467E">
      <w:pPr>
        <w:spacing w:after="160"/>
        <w:jc w:val="left"/>
      </w:pPr>
      <w:r>
        <w:br w:type="page"/>
      </w:r>
    </w:p>
    <w:p w14:paraId="51570C0F" w14:textId="7582ACCC" w:rsidR="007C467E" w:rsidRPr="0051599F" w:rsidRDefault="007C467E" w:rsidP="007C467E">
      <w:pPr>
        <w:pStyle w:val="Heading1"/>
      </w:pPr>
      <w:bookmarkStart w:id="16" w:name="_Toc212190094"/>
      <w:r w:rsidRPr="0051599F">
        <w:lastRenderedPageBreak/>
        <w:t>Software Configuration – R-Studio Platforms</w:t>
      </w:r>
      <w:bookmarkEnd w:id="16"/>
    </w:p>
    <w:p w14:paraId="137670CC" w14:textId="50E60B9C" w:rsidR="007C467E" w:rsidRPr="0051599F" w:rsidRDefault="007C467E" w:rsidP="007C467E">
      <w:pPr>
        <w:pStyle w:val="Heading3"/>
      </w:pPr>
      <w:bookmarkStart w:id="17" w:name="_Toc212190095"/>
      <w:r w:rsidRPr="0051599F">
        <w:t>Prerequisites – R-studio Version Check</w:t>
      </w:r>
      <w:bookmarkEnd w:id="17"/>
    </w:p>
    <w:p w14:paraId="41D1F150" w14:textId="3F34BDD3" w:rsidR="007C467E" w:rsidRPr="0051599F" w:rsidRDefault="007C467E" w:rsidP="007C467E">
      <w:r w:rsidRPr="0051599F">
        <w:t>The validation program is implemented through a collection of R programs (</w:t>
      </w:r>
      <w:proofErr w:type="gramStart"/>
      <w:r w:rsidRPr="0051599F">
        <w:t>*.r</w:t>
      </w:r>
      <w:proofErr w:type="gramEnd"/>
      <w:r w:rsidRPr="0051599F">
        <w:t xml:space="preserve"> files) which run on R-Studio platforms which should </w:t>
      </w:r>
      <w:r w:rsidRPr="0051599F">
        <w:rPr>
          <w:u w:val="single"/>
        </w:rPr>
        <w:t>not be older than R-Studio 202</w:t>
      </w:r>
      <w:r w:rsidR="005328FD" w:rsidRPr="0051599F">
        <w:rPr>
          <w:u w:val="single"/>
        </w:rPr>
        <w:t>3</w:t>
      </w:r>
      <w:r w:rsidRPr="0051599F">
        <w:rPr>
          <w:u w:val="single"/>
        </w:rPr>
        <w:t>.0</w:t>
      </w:r>
      <w:r w:rsidR="005328FD" w:rsidRPr="0051599F">
        <w:rPr>
          <w:u w:val="single"/>
        </w:rPr>
        <w:t>3.0</w:t>
      </w:r>
      <w:r w:rsidRPr="0051599F">
        <w:t>.</w:t>
      </w:r>
    </w:p>
    <w:p w14:paraId="735E7D1A" w14:textId="2B79F834" w:rsidR="00FD1AA6" w:rsidRDefault="00FD1AA6" w:rsidP="009B07EA">
      <w:r>
        <w:t xml:space="preserve">The following packages are required to run the R </w:t>
      </w:r>
      <w:proofErr w:type="spellStart"/>
      <w:r>
        <w:t>prevalidation</w:t>
      </w:r>
      <w:proofErr w:type="spellEnd"/>
      <w:r>
        <w:t>:</w:t>
      </w:r>
      <w:r w:rsidR="00007D2C" w:rsidRPr="00007D2C">
        <w:t xml:space="preserve"> </w:t>
      </w:r>
      <w:proofErr w:type="spellStart"/>
      <w:r w:rsidR="00007D2C" w:rsidRPr="00007D2C">
        <w:rPr>
          <w:b/>
          <w:bCs/>
        </w:rPr>
        <w:t>sqldf</w:t>
      </w:r>
      <w:proofErr w:type="spellEnd"/>
      <w:r w:rsidR="00007D2C" w:rsidRPr="00007D2C">
        <w:rPr>
          <w:b/>
          <w:bCs/>
        </w:rPr>
        <w:t xml:space="preserve">, DBI, </w:t>
      </w:r>
      <w:proofErr w:type="spellStart"/>
      <w:r w:rsidR="00007D2C" w:rsidRPr="00007D2C">
        <w:rPr>
          <w:b/>
          <w:bCs/>
        </w:rPr>
        <w:t>dplyr</w:t>
      </w:r>
      <w:proofErr w:type="spellEnd"/>
      <w:r w:rsidR="00007D2C" w:rsidRPr="00007D2C">
        <w:rPr>
          <w:b/>
          <w:bCs/>
        </w:rPr>
        <w:t xml:space="preserve">, DT, </w:t>
      </w:r>
      <w:proofErr w:type="spellStart"/>
      <w:r w:rsidR="00007D2C" w:rsidRPr="00007D2C">
        <w:rPr>
          <w:b/>
          <w:bCs/>
        </w:rPr>
        <w:t>htmltools</w:t>
      </w:r>
      <w:proofErr w:type="spellEnd"/>
      <w:r w:rsidR="00007D2C" w:rsidRPr="00007D2C">
        <w:rPr>
          <w:b/>
          <w:bCs/>
        </w:rPr>
        <w:t xml:space="preserve">, </w:t>
      </w:r>
      <w:proofErr w:type="spellStart"/>
      <w:r w:rsidR="00007D2C" w:rsidRPr="00007D2C">
        <w:rPr>
          <w:b/>
          <w:bCs/>
        </w:rPr>
        <w:t>tinytex</w:t>
      </w:r>
      <w:proofErr w:type="spellEnd"/>
      <w:r w:rsidR="00007D2C" w:rsidRPr="00007D2C">
        <w:rPr>
          <w:b/>
          <w:bCs/>
        </w:rPr>
        <w:t xml:space="preserve">, </w:t>
      </w:r>
      <w:proofErr w:type="spellStart"/>
      <w:r w:rsidR="00007D2C" w:rsidRPr="00007D2C">
        <w:rPr>
          <w:b/>
          <w:bCs/>
        </w:rPr>
        <w:t>knitr</w:t>
      </w:r>
      <w:proofErr w:type="spellEnd"/>
      <w:r w:rsidR="00007D2C">
        <w:t>.</w:t>
      </w:r>
    </w:p>
    <w:p w14:paraId="372BA9E1" w14:textId="69B25CB8" w:rsidR="00FD1AA6" w:rsidRPr="0051599F" w:rsidRDefault="00FD1AA6" w:rsidP="00FD1AA6">
      <w:pPr>
        <w:pStyle w:val="Heading3"/>
      </w:pPr>
      <w:bookmarkStart w:id="18" w:name="_Toc212190096"/>
      <w:proofErr w:type="spellStart"/>
      <w:r w:rsidRPr="0051599F">
        <w:t>DATACHECKSQL.R</w:t>
      </w:r>
      <w:r>
        <w:t>md</w:t>
      </w:r>
      <w:proofErr w:type="spellEnd"/>
      <w:r w:rsidRPr="0051599F">
        <w:t xml:space="preserve"> configuration</w:t>
      </w:r>
      <w:bookmarkEnd w:id="18"/>
    </w:p>
    <w:p w14:paraId="2120F3BB" w14:textId="77777777" w:rsidR="00FD1AA6" w:rsidRPr="0051599F" w:rsidRDefault="00FD1AA6" w:rsidP="00FD1AA6">
      <w:r w:rsidRPr="0051599F">
        <w:t xml:space="preserve">Once that the directory structure has been renamed, the context variable </w:t>
      </w:r>
      <w:r w:rsidRPr="0051599F">
        <w:rPr>
          <w:b/>
          <w:color w:val="2F5496" w:themeColor="accent1" w:themeShade="BF"/>
        </w:rPr>
        <w:t xml:space="preserve">EUSILC </w:t>
      </w:r>
      <w:r w:rsidRPr="0051599F">
        <w:t xml:space="preserve">must be set up within the configuration module, namely the following R module located in the </w:t>
      </w:r>
      <w:r w:rsidRPr="0051599F">
        <w:rPr>
          <w:b/>
          <w:color w:val="2F5496" w:themeColor="accent1" w:themeShade="BF"/>
        </w:rPr>
        <w:t>EUSILC/5.3_Validation/R</w:t>
      </w:r>
      <w:r w:rsidRPr="0051599F">
        <w:t xml:space="preserve"> directory:</w:t>
      </w:r>
    </w:p>
    <w:p w14:paraId="0833225B" w14:textId="77777777" w:rsidR="00FD1AA6" w:rsidRPr="0051599F" w:rsidRDefault="00FD1AA6" w:rsidP="00FD1AA6">
      <w:r w:rsidRPr="0051599F">
        <w:t>To provide the set up for said variable (“EUSILC”), the following directive must be included on top of the R program in question, replacing ___PATH___ with the actual location of the SILC ROOT DIRECTORY on your server:</w:t>
      </w:r>
    </w:p>
    <w:p w14:paraId="2CB9B33C" w14:textId="1A6D32DE" w:rsidR="00FD1AA6" w:rsidRPr="0051599F" w:rsidRDefault="00FD1AA6" w:rsidP="00FD1AA6">
      <w:pPr>
        <w:pStyle w:val="ListParagraph"/>
        <w:numPr>
          <w:ilvl w:val="0"/>
          <w:numId w:val="26"/>
        </w:numPr>
        <w:spacing w:line="254" w:lineRule="auto"/>
        <w:rPr>
          <w:b/>
        </w:rPr>
      </w:pPr>
      <w:proofErr w:type="spellStart"/>
      <w:proofErr w:type="gramStart"/>
      <w:r w:rsidRPr="00FD1AA6">
        <w:rPr>
          <w:b/>
          <w:bCs/>
          <w:lang w:val="fr-BE"/>
        </w:rPr>
        <w:t>WorkingDrive</w:t>
      </w:r>
      <w:proofErr w:type="spellEnd"/>
      <w:r w:rsidRPr="00FD1AA6">
        <w:rPr>
          <w:b/>
          <w:bCs/>
          <w:lang w:val="fr-BE"/>
        </w:rPr>
        <w:t>:</w:t>
      </w:r>
      <w:proofErr w:type="gramEnd"/>
      <w:r w:rsidRPr="00FD1AA6">
        <w:rPr>
          <w:b/>
          <w:bCs/>
          <w:lang w:val="fr-BE"/>
        </w:rPr>
        <w:t xml:space="preserve"> "</w:t>
      </w:r>
      <w:r w:rsidRPr="0051599F">
        <w:rPr>
          <w:b/>
        </w:rPr>
        <w:t>___PATH___</w:t>
      </w:r>
      <w:r w:rsidRPr="00FD1AA6">
        <w:rPr>
          <w:b/>
          <w:bCs/>
          <w:lang w:val="fr-BE"/>
        </w:rPr>
        <w:t>"</w:t>
      </w:r>
    </w:p>
    <w:p w14:paraId="6B1DC4C9" w14:textId="77777777" w:rsidR="00FD1AA6" w:rsidRPr="0051599F" w:rsidRDefault="00FD1AA6" w:rsidP="00FD1AA6">
      <w:r w:rsidRPr="0051599F">
        <w:t xml:space="preserve">The following illustrative directive refers to an installation environment having </w:t>
      </w:r>
      <w:r w:rsidRPr="0051599F">
        <w:rPr>
          <w:b/>
        </w:rPr>
        <w:t>C:/SILC</w:t>
      </w:r>
      <w:r w:rsidRPr="0051599F">
        <w:t xml:space="preserve"> as the root directory:</w:t>
      </w:r>
    </w:p>
    <w:p w14:paraId="70133180" w14:textId="26833CCC" w:rsidR="00FD1AA6" w:rsidRPr="0051599F" w:rsidRDefault="00FD1AA6" w:rsidP="00FD1AA6">
      <w:pPr>
        <w:pStyle w:val="ListParagraph"/>
        <w:numPr>
          <w:ilvl w:val="0"/>
          <w:numId w:val="26"/>
        </w:numPr>
        <w:rPr>
          <w:b/>
          <w:bCs/>
          <w:lang w:val="fr-BE"/>
        </w:rPr>
      </w:pPr>
      <w:proofErr w:type="spellStart"/>
      <w:proofErr w:type="gramStart"/>
      <w:r w:rsidRPr="00FD1AA6">
        <w:rPr>
          <w:b/>
          <w:bCs/>
          <w:lang w:val="fr-BE"/>
        </w:rPr>
        <w:t>WorkingDrive</w:t>
      </w:r>
      <w:proofErr w:type="spellEnd"/>
      <w:r w:rsidRPr="00FD1AA6">
        <w:rPr>
          <w:b/>
          <w:bCs/>
          <w:lang w:val="fr-BE"/>
        </w:rPr>
        <w:t>:</w:t>
      </w:r>
      <w:proofErr w:type="gramEnd"/>
      <w:r>
        <w:rPr>
          <w:b/>
          <w:bCs/>
          <w:lang w:val="fr-BE"/>
        </w:rPr>
        <w:t xml:space="preserve"> </w:t>
      </w:r>
      <w:r w:rsidRPr="0051599F">
        <w:rPr>
          <w:b/>
          <w:bCs/>
          <w:lang w:val="fr-BE"/>
        </w:rPr>
        <w:t>"C:/SILC"</w:t>
      </w:r>
    </w:p>
    <w:p w14:paraId="1249ECBE" w14:textId="77777777" w:rsidR="009B07EA" w:rsidRPr="0051599F" w:rsidRDefault="009B07EA" w:rsidP="009B07EA">
      <w:pPr>
        <w:rPr>
          <w:lang w:val="fr-BE"/>
        </w:rPr>
      </w:pPr>
    </w:p>
    <w:sectPr w:rsidR="009B07EA" w:rsidRPr="0051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35D1F" w14:textId="77777777" w:rsidR="00A12D67" w:rsidRDefault="00A12D67" w:rsidP="00E80323">
      <w:pPr>
        <w:spacing w:after="0" w:line="240" w:lineRule="auto"/>
      </w:pPr>
      <w:r>
        <w:separator/>
      </w:r>
    </w:p>
  </w:endnote>
  <w:endnote w:type="continuationSeparator" w:id="0">
    <w:p w14:paraId="4CD9EEA3" w14:textId="77777777" w:rsidR="00A12D67" w:rsidRDefault="00A12D67" w:rsidP="00E80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6DA7A" w14:textId="77777777" w:rsidR="00A12D67" w:rsidRDefault="00A12D67" w:rsidP="00E80323">
      <w:pPr>
        <w:spacing w:after="0" w:line="240" w:lineRule="auto"/>
      </w:pPr>
      <w:r>
        <w:separator/>
      </w:r>
    </w:p>
  </w:footnote>
  <w:footnote w:type="continuationSeparator" w:id="0">
    <w:p w14:paraId="3EBCD8F1" w14:textId="77777777" w:rsidR="00A12D67" w:rsidRDefault="00A12D67" w:rsidP="00E80323">
      <w:pPr>
        <w:spacing w:after="0" w:line="240" w:lineRule="auto"/>
      </w:pPr>
      <w:r>
        <w:continuationSeparator/>
      </w:r>
    </w:p>
  </w:footnote>
  <w:footnote w:id="1">
    <w:p w14:paraId="24BEE7C9" w14:textId="1ED71C87" w:rsidR="009A1D1A" w:rsidRPr="009A1D1A" w:rsidRDefault="009A1D1A">
      <w:pPr>
        <w:pStyle w:val="FootnoteText"/>
      </w:pPr>
      <w:r>
        <w:rPr>
          <w:rStyle w:val="FootnoteReference"/>
        </w:rPr>
        <w:footnoteRef/>
      </w:r>
      <w:r>
        <w:t xml:space="preserve"> The subdirectories</w:t>
      </w:r>
      <w:r w:rsidR="005261A2">
        <w:t>’</w:t>
      </w:r>
      <w:r>
        <w:t xml:space="preserve"> structure must be obviously preserved</w:t>
      </w:r>
      <w:r w:rsidR="005261A2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0EFE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6863"/>
    <w:multiLevelType w:val="hybridMultilevel"/>
    <w:tmpl w:val="0818E8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0654"/>
    <w:multiLevelType w:val="hybridMultilevel"/>
    <w:tmpl w:val="E858FABC"/>
    <w:lvl w:ilvl="0" w:tplc="AA0E4C9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32CA7"/>
    <w:multiLevelType w:val="hybridMultilevel"/>
    <w:tmpl w:val="5D4E08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A3646"/>
    <w:multiLevelType w:val="hybridMultilevel"/>
    <w:tmpl w:val="C25AA3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F0C0E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46857"/>
    <w:multiLevelType w:val="hybridMultilevel"/>
    <w:tmpl w:val="296C5D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0A6C"/>
    <w:multiLevelType w:val="hybridMultilevel"/>
    <w:tmpl w:val="FEBAC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66D81"/>
    <w:multiLevelType w:val="hybridMultilevel"/>
    <w:tmpl w:val="58CC2636"/>
    <w:lvl w:ilvl="0" w:tplc="1A5ED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50BFE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16C21"/>
    <w:multiLevelType w:val="hybridMultilevel"/>
    <w:tmpl w:val="DA6E58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84883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95A14"/>
    <w:multiLevelType w:val="hybridMultilevel"/>
    <w:tmpl w:val="C1043A10"/>
    <w:lvl w:ilvl="0" w:tplc="39DE68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7374A"/>
    <w:multiLevelType w:val="hybridMultilevel"/>
    <w:tmpl w:val="BB0E8C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335DA"/>
    <w:multiLevelType w:val="hybridMultilevel"/>
    <w:tmpl w:val="769A8D2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46D19"/>
    <w:multiLevelType w:val="hybridMultilevel"/>
    <w:tmpl w:val="6582B0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854EA"/>
    <w:multiLevelType w:val="hybridMultilevel"/>
    <w:tmpl w:val="9DD2EE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E66A6"/>
    <w:multiLevelType w:val="hybridMultilevel"/>
    <w:tmpl w:val="7B620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C4E03"/>
    <w:multiLevelType w:val="hybridMultilevel"/>
    <w:tmpl w:val="58CC2636"/>
    <w:lvl w:ilvl="0" w:tplc="1A5ED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278EC"/>
    <w:multiLevelType w:val="hybridMultilevel"/>
    <w:tmpl w:val="6CF09DAC"/>
    <w:lvl w:ilvl="0" w:tplc="0809000F">
      <w:start w:val="1"/>
      <w:numFmt w:val="decimal"/>
      <w:lvlText w:val="%1."/>
      <w:lvlJc w:val="left"/>
      <w:pPr>
        <w:ind w:left="867" w:hanging="360"/>
      </w:p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20" w15:restartNumberingAfterBreak="0">
    <w:nsid w:val="6E1A2407"/>
    <w:multiLevelType w:val="hybridMultilevel"/>
    <w:tmpl w:val="E1C277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003D7"/>
    <w:multiLevelType w:val="hybridMultilevel"/>
    <w:tmpl w:val="3336F1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D61D2"/>
    <w:multiLevelType w:val="hybridMultilevel"/>
    <w:tmpl w:val="E7A64BFC"/>
    <w:lvl w:ilvl="0" w:tplc="04090005">
      <w:start w:val="1"/>
      <w:numFmt w:val="bullet"/>
      <w:lvlText w:val=""/>
      <w:lvlJc w:val="left"/>
      <w:pPr>
        <w:ind w:left="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3" w15:restartNumberingAfterBreak="0">
    <w:nsid w:val="7CC03829"/>
    <w:multiLevelType w:val="hybridMultilevel"/>
    <w:tmpl w:val="9D94CC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433523">
    <w:abstractNumId w:val="15"/>
  </w:num>
  <w:num w:numId="2" w16cid:durableId="1237398847">
    <w:abstractNumId w:val="19"/>
  </w:num>
  <w:num w:numId="3" w16cid:durableId="1809856490">
    <w:abstractNumId w:val="14"/>
  </w:num>
  <w:num w:numId="4" w16cid:durableId="124322386">
    <w:abstractNumId w:val="22"/>
  </w:num>
  <w:num w:numId="5" w16cid:durableId="177430249">
    <w:abstractNumId w:val="10"/>
  </w:num>
  <w:num w:numId="6" w16cid:durableId="270672309">
    <w:abstractNumId w:val="3"/>
  </w:num>
  <w:num w:numId="7" w16cid:durableId="53889721">
    <w:abstractNumId w:val="7"/>
  </w:num>
  <w:num w:numId="8" w16cid:durableId="154958871">
    <w:abstractNumId w:val="21"/>
  </w:num>
  <w:num w:numId="9" w16cid:durableId="684593922">
    <w:abstractNumId w:val="2"/>
  </w:num>
  <w:num w:numId="10" w16cid:durableId="82267300">
    <w:abstractNumId w:val="16"/>
  </w:num>
  <w:num w:numId="11" w16cid:durableId="1231844423">
    <w:abstractNumId w:val="20"/>
  </w:num>
  <w:num w:numId="12" w16cid:durableId="1297025609">
    <w:abstractNumId w:val="8"/>
  </w:num>
  <w:num w:numId="13" w16cid:durableId="1051853542">
    <w:abstractNumId w:val="18"/>
  </w:num>
  <w:num w:numId="14" w16cid:durableId="1986466280">
    <w:abstractNumId w:val="9"/>
  </w:num>
  <w:num w:numId="15" w16cid:durableId="1230386103">
    <w:abstractNumId w:val="5"/>
  </w:num>
  <w:num w:numId="16" w16cid:durableId="984744521">
    <w:abstractNumId w:val="11"/>
  </w:num>
  <w:num w:numId="17" w16cid:durableId="804200624">
    <w:abstractNumId w:val="0"/>
  </w:num>
  <w:num w:numId="18" w16cid:durableId="1478254519">
    <w:abstractNumId w:val="6"/>
  </w:num>
  <w:num w:numId="19" w16cid:durableId="1893808161">
    <w:abstractNumId w:val="23"/>
  </w:num>
  <w:num w:numId="20" w16cid:durableId="470364767">
    <w:abstractNumId w:val="12"/>
  </w:num>
  <w:num w:numId="21" w16cid:durableId="1681614055">
    <w:abstractNumId w:val="1"/>
  </w:num>
  <w:num w:numId="22" w16cid:durableId="1952471846">
    <w:abstractNumId w:val="17"/>
  </w:num>
  <w:num w:numId="23" w16cid:durableId="1869561613">
    <w:abstractNumId w:val="13"/>
  </w:num>
  <w:num w:numId="24" w16cid:durableId="1730688527">
    <w:abstractNumId w:val="6"/>
  </w:num>
  <w:num w:numId="25" w16cid:durableId="1972009067">
    <w:abstractNumId w:val="13"/>
  </w:num>
  <w:num w:numId="26" w16cid:durableId="661003701">
    <w:abstractNumId w:val="6"/>
  </w:num>
  <w:num w:numId="27" w16cid:durableId="49029495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B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pt-PT" w:vendorID="64" w:dllVersion="0" w:nlCheck="1" w:checkStyle="0"/>
  <w:activeWritingStyle w:appName="MSWord" w:lang="fr-BE" w:vendorID="64" w:dllVersion="0" w:nlCheck="1" w:checkStyle="0"/>
  <w:activeWritingStyle w:appName="MSWord" w:lang="en-IE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E80323"/>
    <w:rsid w:val="000010D7"/>
    <w:rsid w:val="00003FCE"/>
    <w:rsid w:val="00004186"/>
    <w:rsid w:val="00005CD7"/>
    <w:rsid w:val="00007D2C"/>
    <w:rsid w:val="00016BAB"/>
    <w:rsid w:val="00020E50"/>
    <w:rsid w:val="00021B47"/>
    <w:rsid w:val="000224DD"/>
    <w:rsid w:val="0002383B"/>
    <w:rsid w:val="000309E4"/>
    <w:rsid w:val="00036AD1"/>
    <w:rsid w:val="00036CB7"/>
    <w:rsid w:val="0003776A"/>
    <w:rsid w:val="00040818"/>
    <w:rsid w:val="00041429"/>
    <w:rsid w:val="00047BD4"/>
    <w:rsid w:val="00076992"/>
    <w:rsid w:val="000838D1"/>
    <w:rsid w:val="0008594D"/>
    <w:rsid w:val="00086C03"/>
    <w:rsid w:val="00097934"/>
    <w:rsid w:val="000A0602"/>
    <w:rsid w:val="000C0C8D"/>
    <w:rsid w:val="000F15D0"/>
    <w:rsid w:val="000F4BD0"/>
    <w:rsid w:val="000F6DCF"/>
    <w:rsid w:val="00105D6E"/>
    <w:rsid w:val="0010756D"/>
    <w:rsid w:val="001125A4"/>
    <w:rsid w:val="001140D5"/>
    <w:rsid w:val="0011667F"/>
    <w:rsid w:val="001239FB"/>
    <w:rsid w:val="001415A6"/>
    <w:rsid w:val="00150392"/>
    <w:rsid w:val="00152983"/>
    <w:rsid w:val="001534CA"/>
    <w:rsid w:val="00157D74"/>
    <w:rsid w:val="0016098F"/>
    <w:rsid w:val="00162BA3"/>
    <w:rsid w:val="001726D6"/>
    <w:rsid w:val="00174056"/>
    <w:rsid w:val="00174333"/>
    <w:rsid w:val="00175CFF"/>
    <w:rsid w:val="001765BC"/>
    <w:rsid w:val="001A38F0"/>
    <w:rsid w:val="001A5997"/>
    <w:rsid w:val="001A72FC"/>
    <w:rsid w:val="001A7D42"/>
    <w:rsid w:val="001B2569"/>
    <w:rsid w:val="001D7CA8"/>
    <w:rsid w:val="001E09A1"/>
    <w:rsid w:val="001F42F4"/>
    <w:rsid w:val="0020428F"/>
    <w:rsid w:val="00205B1D"/>
    <w:rsid w:val="002126EA"/>
    <w:rsid w:val="00225C38"/>
    <w:rsid w:val="00227DA8"/>
    <w:rsid w:val="00236DBD"/>
    <w:rsid w:val="00240771"/>
    <w:rsid w:val="00244CC4"/>
    <w:rsid w:val="00250C0A"/>
    <w:rsid w:val="00252C39"/>
    <w:rsid w:val="00253AA9"/>
    <w:rsid w:val="00257E78"/>
    <w:rsid w:val="0026358F"/>
    <w:rsid w:val="002661B8"/>
    <w:rsid w:val="002712C5"/>
    <w:rsid w:val="002728D1"/>
    <w:rsid w:val="002736DE"/>
    <w:rsid w:val="002B600E"/>
    <w:rsid w:val="002B7A8E"/>
    <w:rsid w:val="002C2B35"/>
    <w:rsid w:val="002D564D"/>
    <w:rsid w:val="002E4266"/>
    <w:rsid w:val="002F2726"/>
    <w:rsid w:val="00300EED"/>
    <w:rsid w:val="003016D3"/>
    <w:rsid w:val="00305A2B"/>
    <w:rsid w:val="00315D0B"/>
    <w:rsid w:val="00321C12"/>
    <w:rsid w:val="003220D0"/>
    <w:rsid w:val="00322F24"/>
    <w:rsid w:val="0032571B"/>
    <w:rsid w:val="0033461D"/>
    <w:rsid w:val="00340DE7"/>
    <w:rsid w:val="003470BC"/>
    <w:rsid w:val="0034729F"/>
    <w:rsid w:val="0035073B"/>
    <w:rsid w:val="00372D5F"/>
    <w:rsid w:val="00372F56"/>
    <w:rsid w:val="00377C29"/>
    <w:rsid w:val="00384C9B"/>
    <w:rsid w:val="0038738C"/>
    <w:rsid w:val="00393559"/>
    <w:rsid w:val="003944AD"/>
    <w:rsid w:val="003A2D59"/>
    <w:rsid w:val="003B02DF"/>
    <w:rsid w:val="003B2788"/>
    <w:rsid w:val="003B40F1"/>
    <w:rsid w:val="003D083B"/>
    <w:rsid w:val="003D7702"/>
    <w:rsid w:val="003E39BB"/>
    <w:rsid w:val="004004BD"/>
    <w:rsid w:val="0040627C"/>
    <w:rsid w:val="004062E3"/>
    <w:rsid w:val="00410761"/>
    <w:rsid w:val="00422E34"/>
    <w:rsid w:val="00425FF5"/>
    <w:rsid w:val="00442D7A"/>
    <w:rsid w:val="00445589"/>
    <w:rsid w:val="0044648B"/>
    <w:rsid w:val="00454D24"/>
    <w:rsid w:val="0045594D"/>
    <w:rsid w:val="00462A8F"/>
    <w:rsid w:val="0046510B"/>
    <w:rsid w:val="00465E2C"/>
    <w:rsid w:val="00467721"/>
    <w:rsid w:val="00471F87"/>
    <w:rsid w:val="00476C2D"/>
    <w:rsid w:val="00477E3D"/>
    <w:rsid w:val="00484B20"/>
    <w:rsid w:val="004945BA"/>
    <w:rsid w:val="00494D77"/>
    <w:rsid w:val="00495645"/>
    <w:rsid w:val="004B6C88"/>
    <w:rsid w:val="004C0755"/>
    <w:rsid w:val="004D26B9"/>
    <w:rsid w:val="004D3107"/>
    <w:rsid w:val="004D64D7"/>
    <w:rsid w:val="004E4CC7"/>
    <w:rsid w:val="004E7CC2"/>
    <w:rsid w:val="00507E89"/>
    <w:rsid w:val="0051599F"/>
    <w:rsid w:val="00516FAD"/>
    <w:rsid w:val="00517CAF"/>
    <w:rsid w:val="00522C75"/>
    <w:rsid w:val="0052356A"/>
    <w:rsid w:val="005261A2"/>
    <w:rsid w:val="005302BC"/>
    <w:rsid w:val="00531A96"/>
    <w:rsid w:val="005328FD"/>
    <w:rsid w:val="00542B90"/>
    <w:rsid w:val="00561B71"/>
    <w:rsid w:val="00562CFE"/>
    <w:rsid w:val="00563138"/>
    <w:rsid w:val="0056324E"/>
    <w:rsid w:val="005725BF"/>
    <w:rsid w:val="005909D6"/>
    <w:rsid w:val="00594776"/>
    <w:rsid w:val="005951BF"/>
    <w:rsid w:val="00597EAC"/>
    <w:rsid w:val="005A04B5"/>
    <w:rsid w:val="005B0F71"/>
    <w:rsid w:val="005B2155"/>
    <w:rsid w:val="005B2CA7"/>
    <w:rsid w:val="005B63C7"/>
    <w:rsid w:val="005D0199"/>
    <w:rsid w:val="005E6132"/>
    <w:rsid w:val="005E7E7D"/>
    <w:rsid w:val="005F68C1"/>
    <w:rsid w:val="00621ECA"/>
    <w:rsid w:val="00624C6A"/>
    <w:rsid w:val="00631127"/>
    <w:rsid w:val="006321B2"/>
    <w:rsid w:val="00646459"/>
    <w:rsid w:val="00662356"/>
    <w:rsid w:val="0066384B"/>
    <w:rsid w:val="006748DC"/>
    <w:rsid w:val="00687078"/>
    <w:rsid w:val="00687D11"/>
    <w:rsid w:val="00691A50"/>
    <w:rsid w:val="0069618F"/>
    <w:rsid w:val="006A3CCC"/>
    <w:rsid w:val="006A4858"/>
    <w:rsid w:val="006C21CE"/>
    <w:rsid w:val="007028F6"/>
    <w:rsid w:val="00706B63"/>
    <w:rsid w:val="0073008B"/>
    <w:rsid w:val="007344C4"/>
    <w:rsid w:val="00737A1A"/>
    <w:rsid w:val="0075254F"/>
    <w:rsid w:val="00760183"/>
    <w:rsid w:val="00761176"/>
    <w:rsid w:val="0076426E"/>
    <w:rsid w:val="0076797E"/>
    <w:rsid w:val="00777F32"/>
    <w:rsid w:val="007870C8"/>
    <w:rsid w:val="007A669E"/>
    <w:rsid w:val="007B1283"/>
    <w:rsid w:val="007C1559"/>
    <w:rsid w:val="007C467E"/>
    <w:rsid w:val="007D41CC"/>
    <w:rsid w:val="007D5447"/>
    <w:rsid w:val="0082281C"/>
    <w:rsid w:val="00822D25"/>
    <w:rsid w:val="00831A97"/>
    <w:rsid w:val="00833410"/>
    <w:rsid w:val="008334CB"/>
    <w:rsid w:val="008334EE"/>
    <w:rsid w:val="00841731"/>
    <w:rsid w:val="008619F0"/>
    <w:rsid w:val="00862D75"/>
    <w:rsid w:val="008666D2"/>
    <w:rsid w:val="00873112"/>
    <w:rsid w:val="00873D8E"/>
    <w:rsid w:val="008765E7"/>
    <w:rsid w:val="00877015"/>
    <w:rsid w:val="00890E22"/>
    <w:rsid w:val="008B0570"/>
    <w:rsid w:val="008B6333"/>
    <w:rsid w:val="008B7B9E"/>
    <w:rsid w:val="008D583C"/>
    <w:rsid w:val="008F41A9"/>
    <w:rsid w:val="009031FD"/>
    <w:rsid w:val="00907F82"/>
    <w:rsid w:val="00912B6A"/>
    <w:rsid w:val="0091307D"/>
    <w:rsid w:val="009132AB"/>
    <w:rsid w:val="009133F2"/>
    <w:rsid w:val="009229B2"/>
    <w:rsid w:val="00931031"/>
    <w:rsid w:val="0093117F"/>
    <w:rsid w:val="00934EB0"/>
    <w:rsid w:val="00951B64"/>
    <w:rsid w:val="009572B1"/>
    <w:rsid w:val="00964915"/>
    <w:rsid w:val="00964B99"/>
    <w:rsid w:val="00965308"/>
    <w:rsid w:val="0097091D"/>
    <w:rsid w:val="00977466"/>
    <w:rsid w:val="009A1D1A"/>
    <w:rsid w:val="009A425E"/>
    <w:rsid w:val="009B07EA"/>
    <w:rsid w:val="009B086F"/>
    <w:rsid w:val="009B4AEC"/>
    <w:rsid w:val="009C1863"/>
    <w:rsid w:val="009E32A1"/>
    <w:rsid w:val="009E7BE7"/>
    <w:rsid w:val="00A00A98"/>
    <w:rsid w:val="00A04E95"/>
    <w:rsid w:val="00A12D67"/>
    <w:rsid w:val="00A5524F"/>
    <w:rsid w:val="00A813D6"/>
    <w:rsid w:val="00A94816"/>
    <w:rsid w:val="00A95568"/>
    <w:rsid w:val="00AA2B13"/>
    <w:rsid w:val="00AA5D1F"/>
    <w:rsid w:val="00AA7E2E"/>
    <w:rsid w:val="00AB1118"/>
    <w:rsid w:val="00AB1D5D"/>
    <w:rsid w:val="00AB2879"/>
    <w:rsid w:val="00AB447A"/>
    <w:rsid w:val="00AD4DEA"/>
    <w:rsid w:val="00AE71DC"/>
    <w:rsid w:val="00AF13E9"/>
    <w:rsid w:val="00AF6209"/>
    <w:rsid w:val="00AF7F0D"/>
    <w:rsid w:val="00B07396"/>
    <w:rsid w:val="00B20476"/>
    <w:rsid w:val="00B26C83"/>
    <w:rsid w:val="00B37044"/>
    <w:rsid w:val="00B620A4"/>
    <w:rsid w:val="00B70937"/>
    <w:rsid w:val="00B95865"/>
    <w:rsid w:val="00B9775B"/>
    <w:rsid w:val="00BB4456"/>
    <w:rsid w:val="00BC0FE9"/>
    <w:rsid w:val="00BC455D"/>
    <w:rsid w:val="00BE7F6C"/>
    <w:rsid w:val="00BF3F4A"/>
    <w:rsid w:val="00C0088D"/>
    <w:rsid w:val="00C05A8D"/>
    <w:rsid w:val="00C07600"/>
    <w:rsid w:val="00C14CC6"/>
    <w:rsid w:val="00C15299"/>
    <w:rsid w:val="00C32081"/>
    <w:rsid w:val="00C35830"/>
    <w:rsid w:val="00C411D2"/>
    <w:rsid w:val="00C45A43"/>
    <w:rsid w:val="00C46AD0"/>
    <w:rsid w:val="00C61A7D"/>
    <w:rsid w:val="00C6320D"/>
    <w:rsid w:val="00C642AC"/>
    <w:rsid w:val="00C65CB5"/>
    <w:rsid w:val="00C66070"/>
    <w:rsid w:val="00C71CA4"/>
    <w:rsid w:val="00C8392E"/>
    <w:rsid w:val="00CA41C6"/>
    <w:rsid w:val="00CB3136"/>
    <w:rsid w:val="00CC099F"/>
    <w:rsid w:val="00CC3725"/>
    <w:rsid w:val="00CC44CE"/>
    <w:rsid w:val="00CD7DDB"/>
    <w:rsid w:val="00CF1633"/>
    <w:rsid w:val="00D040DD"/>
    <w:rsid w:val="00D26CF8"/>
    <w:rsid w:val="00D277CA"/>
    <w:rsid w:val="00D50227"/>
    <w:rsid w:val="00D70821"/>
    <w:rsid w:val="00D84A46"/>
    <w:rsid w:val="00D9510F"/>
    <w:rsid w:val="00DA33D0"/>
    <w:rsid w:val="00DA426F"/>
    <w:rsid w:val="00DA7456"/>
    <w:rsid w:val="00DC71FB"/>
    <w:rsid w:val="00DC7ACC"/>
    <w:rsid w:val="00DC7E38"/>
    <w:rsid w:val="00DE778F"/>
    <w:rsid w:val="00DF03B4"/>
    <w:rsid w:val="00DF2A0B"/>
    <w:rsid w:val="00E0615F"/>
    <w:rsid w:val="00E143B6"/>
    <w:rsid w:val="00E2474E"/>
    <w:rsid w:val="00E252D1"/>
    <w:rsid w:val="00E334A0"/>
    <w:rsid w:val="00E4057D"/>
    <w:rsid w:val="00E513F8"/>
    <w:rsid w:val="00E54B90"/>
    <w:rsid w:val="00E56AAA"/>
    <w:rsid w:val="00E80323"/>
    <w:rsid w:val="00E81E6D"/>
    <w:rsid w:val="00EA5DBA"/>
    <w:rsid w:val="00EB194F"/>
    <w:rsid w:val="00EB56FD"/>
    <w:rsid w:val="00EC4761"/>
    <w:rsid w:val="00EE71EF"/>
    <w:rsid w:val="00EF4DA9"/>
    <w:rsid w:val="00F01054"/>
    <w:rsid w:val="00F10710"/>
    <w:rsid w:val="00F1256B"/>
    <w:rsid w:val="00F20E13"/>
    <w:rsid w:val="00F226FC"/>
    <w:rsid w:val="00F228EE"/>
    <w:rsid w:val="00F36AF3"/>
    <w:rsid w:val="00F4323C"/>
    <w:rsid w:val="00F63B57"/>
    <w:rsid w:val="00F65648"/>
    <w:rsid w:val="00F668F6"/>
    <w:rsid w:val="00F96E4F"/>
    <w:rsid w:val="00FC1858"/>
    <w:rsid w:val="00FD19C2"/>
    <w:rsid w:val="00FD1AA6"/>
    <w:rsid w:val="00FF2223"/>
    <w:rsid w:val="00FF462D"/>
    <w:rsid w:val="00FF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46A789DF"/>
  <w15:chartTrackingRefBased/>
  <w15:docId w15:val="{8CB4B978-DAE6-400C-9252-D7004380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A8D"/>
    <w:pPr>
      <w:spacing w:after="6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A8D"/>
    <w:pPr>
      <w:keepNext/>
      <w:keepLines/>
      <w:spacing w:before="240" w:after="240" w:line="257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A8D"/>
    <w:pPr>
      <w:keepNext/>
      <w:keepLines/>
      <w:spacing w:before="180" w:line="257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A8D"/>
    <w:pPr>
      <w:keepNext/>
      <w:keepLines/>
      <w:spacing w:before="180" w:after="0" w:line="257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323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8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05A8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05A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323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styleId="Hyperlink">
    <w:name w:val="Hyperlink"/>
    <w:basedOn w:val="DefaultParagraphFont"/>
    <w:uiPriority w:val="99"/>
    <w:unhideWhenUsed/>
    <w:rsid w:val="00E80323"/>
    <w:rPr>
      <w:color w:val="0563C1" w:themeColor="hyperlink"/>
      <w:u w:val="single"/>
    </w:rPr>
  </w:style>
  <w:style w:type="paragraph" w:customStyle="1" w:styleId="msonormal0">
    <w:name w:val="msonormal"/>
    <w:basedOn w:val="Normal"/>
    <w:uiPriority w:val="99"/>
    <w:rsid w:val="00E80323"/>
    <w:pPr>
      <w:spacing w:after="0" w:line="240" w:lineRule="auto"/>
      <w:jc w:val="left"/>
    </w:pPr>
    <w:rPr>
      <w:rFonts w:ascii="Times New Roman" w:hAnsi="Times New Roman" w:cs="Times New Roman"/>
      <w:sz w:val="24"/>
      <w:szCs w:val="24"/>
      <w:lang w:val="en-IE" w:eastAsia="en-IE"/>
    </w:rPr>
  </w:style>
  <w:style w:type="paragraph" w:styleId="TOC1">
    <w:name w:val="toc 1"/>
    <w:basedOn w:val="Normal"/>
    <w:next w:val="Normal"/>
    <w:autoRedefine/>
    <w:uiPriority w:val="39"/>
    <w:unhideWhenUsed/>
    <w:rsid w:val="00E80323"/>
    <w:pPr>
      <w:spacing w:after="100" w:line="25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80323"/>
    <w:pPr>
      <w:tabs>
        <w:tab w:val="right" w:leader="dot" w:pos="9350"/>
      </w:tabs>
      <w:spacing w:after="100" w:line="25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0323"/>
    <w:pPr>
      <w:tabs>
        <w:tab w:val="right" w:leader="dot" w:pos="9350"/>
      </w:tabs>
      <w:spacing w:after="100" w:line="256" w:lineRule="auto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803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0323"/>
    <w:rPr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E803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323"/>
    <w:rPr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8032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E80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E80323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8032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80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E80323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323"/>
    <w:rPr>
      <w:b/>
      <w:bCs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323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E80323"/>
    <w:rPr>
      <w:b/>
      <w:bCs/>
      <w:sz w:val="20"/>
      <w:szCs w:val="20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323"/>
    <w:rPr>
      <w:rFonts w:ascii="Segoe UI" w:hAnsi="Segoe UI" w:cs="Segoe UI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32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0323"/>
    <w:pPr>
      <w:spacing w:line="256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0323"/>
    <w:pPr>
      <w:jc w:val="left"/>
      <w:outlineLvl w:val="9"/>
    </w:pPr>
  </w:style>
  <w:style w:type="paragraph" w:customStyle="1" w:styleId="Default">
    <w:name w:val="Default"/>
    <w:rsid w:val="00E803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E8032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8032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B02DF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2736DE"/>
    <w:pPr>
      <w:spacing w:after="100"/>
      <w:ind w:left="660"/>
      <w:jc w:val="left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2736DE"/>
    <w:pPr>
      <w:spacing w:after="100"/>
      <w:ind w:left="880"/>
      <w:jc w:val="left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2736DE"/>
    <w:pPr>
      <w:spacing w:after="100"/>
      <w:ind w:left="1100"/>
      <w:jc w:val="left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2736DE"/>
    <w:pPr>
      <w:spacing w:after="100"/>
      <w:ind w:left="1320"/>
      <w:jc w:val="left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2736DE"/>
    <w:pPr>
      <w:spacing w:after="100"/>
      <w:ind w:left="1540"/>
      <w:jc w:val="left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2736DE"/>
    <w:pPr>
      <w:spacing w:after="100"/>
      <w:ind w:left="1760"/>
      <w:jc w:val="left"/>
    </w:pPr>
    <w:rPr>
      <w:rFonts w:eastAsiaTheme="minorEastAsia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36D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7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771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240771"/>
    <w:rPr>
      <w:vertAlign w:val="superscript"/>
    </w:rPr>
  </w:style>
  <w:style w:type="paragraph" w:styleId="Revision">
    <w:name w:val="Revision"/>
    <w:hidden/>
    <w:uiPriority w:val="99"/>
    <w:semiHidden/>
    <w:rsid w:val="005261A2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AF7D-A667-477A-843D-6B0553037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8</Pages>
  <Words>1378</Words>
  <Characters>7552</Characters>
  <Application>Microsoft Office Word</Application>
  <DocSecurity>0</DocSecurity>
  <Lines>188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Colecchia</dc:creator>
  <cp:keywords/>
  <dc:description/>
  <cp:lastModifiedBy>VENCESLAU AZEREDO PONTES Leonor Fernanda (ESTAT-EXT)</cp:lastModifiedBy>
  <cp:revision>30</cp:revision>
  <dcterms:created xsi:type="dcterms:W3CDTF">2023-02-16T07:39:00Z</dcterms:created>
  <dcterms:modified xsi:type="dcterms:W3CDTF">2025-10-24T07:21:00Z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2023-10-02T13:15:50Z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499f31a8-274d-478b-81c4-ec46a011b6b8</vt:lpwstr>
  </property>
  <property fmtid="{D5CDD505-2E9C-101B-9397-08002B2CF9AE}" pid="8" name="MSIP_Label_6bd9ddd1-4d20-43f6-abfa-fc3c07406f94_ContentBits">
    <vt:lpwstr>0</vt:lpwstr>
  </property>
</Properties>
</file>