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47875"/>
                    </a:xfrm>
                    <a:prstGeom prst="rect">
                      <a:avLst/>
                    </a:prstGeom>
                  </pic:spPr>
                </pic:pic>
              </a:graphicData>
            </a:graphic>
          </wp:inline>
        </w:drawing>
      </w:r>
    </w:p>
    <w:p>
      <w:pPr>
        <w:spacing w:before="120"/>
      </w:pPr>
      <w:r>
        <w:rPr>
          <w:b/>
          <w:bCs/>
          <w:color w:val="00BFFF"/>
          <w:sz w:val="22"/>
          <w:szCs w:val="22"/>
        </w:rPr>
        <w:t xml:space="preserve">MANUEL DE FORMATION — NIVEAU DÉCOUVERTE</w:t>
      </w:r>
    </w:p>
    <w:p>
      <w:pPr>
        <w:spacing w:before="180"/>
      </w:pPr>
      <w:r>
        <w:rPr>
          <w:b/>
          <w:bCs/>
          <w:color w:val="0B1B2B"/>
          <w:sz w:val="60"/>
          <w:szCs w:val="60"/>
        </w:rPr>
        <w:t xml:space="preserve">Travailler mieux avec l’IA</w:t>
      </w:r>
    </w:p>
    <w:p>
      <w:pPr>
        <w:spacing w:before="120"/>
      </w:pPr>
      <w:r>
        <w:rPr>
          <w:color w:val="0B1B2B"/>
          <w:sz w:val="30"/>
          <w:szCs w:val="30"/>
        </w:rPr>
        <w:t xml:space="preserve">Comprendre, se rassurer, et s’y mettre</w:t>
      </w:r>
    </w:p>
    <w:p>
      <w:pPr>
        <w:spacing w:after="500" w:before="80"/>
      </w:pPr>
      <w:r>
        <w:rPr>
          <w:i/>
          <w:iCs/>
          <w:color w:val="5E707E"/>
          <w:sz w:val="24"/>
          <w:szCs w:val="24"/>
        </w:rPr>
        <w:t xml:space="preserve">Niveau 1 · Enseignants du supérieur tertiaire (BTS → Master) · commerce, gestion, RH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F1F8FC" w:sz="2"/>
              <w:left w:val="single" w:color="00BFFF" w:sz="20"/>
              <w:bottom w:val="single" w:color="F1F8FC" w:sz="2"/>
              <w:right w:val="single" w:color="F1F8FC" w:sz="2"/>
            </w:tcBorders>
            <w:shd w:fill="F1F8FC" w:val="clear"/>
            <w:tcMar>
              <w:top w:type="dxa" w:w="150"/>
              <w:left w:type="dxa" w:w="210"/>
              <w:bottom w:type="dxa" w:w="150"/>
              <w:right w:type="dxa" w:w="210"/>
            </w:tcMar>
          </w:tcPr>
          <w:p>
            <w:pPr>
              <w:spacing w:after="0" w:line="276"/>
            </w:pPr>
            <w:r>
              <w:t xml:space="preserve">Ce manuel est à vous. Il reprend l’intégralité de la journée et va plus loin : explications détaillées, guides d’outils pas à pas, exemples prêts à l’emploi, gabarits et check-lists. Gardez-le ouvert pendant les ateliers, et rouvrez-le ensuite : il est conçu pour servir longtemps après la formation.</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80"/>
      </w:pPr>
      <w:r>
        <w:rPr>
          <w:i/>
          <w:iCs/>
          <w:color w:val="5E707E"/>
          <w:sz w:val="18"/>
          <w:szCs w:val="18"/>
        </w:rPr>
        <w:t xml:space="preserve">(Dans Word : clic droit sur le sommaire › Mettre à jour les champs pour la pagination.)</w:t>
      </w:r>
    </w:p>
    <w:p>
      <w:r>
        <w:br w:type="page"/>
      </w:r>
    </w:p>
    <w:p>
      <w:pPr>
        <w:pStyle w:val="Heading1"/>
      </w:pPr>
      <w:r>
        <w:t xml:space="preserve">1. Bienvenue</w:t>
      </w:r>
    </w:p>
    <w:p>
      <w:pPr>
        <w:spacing w:after="140" w:line="288"/>
      </w:pPr>
      <w:r>
        <w:t xml:space="preserve">Vous voilà avec un nouvel assistant de travail. Pas pour vous remplacer — pour vous libérer du temps et élargir ce que vous savez déjà faire. Cette journée n’a pas pour but de faire de vous un spécialiste de l’informatique : elle vise à vous rendre plus efficace et plus serein face à l’intelligence artificielle générative, avec des gestes concrets, utilisables dès la semaine prochaine.</w:t>
      </w:r>
    </w:p>
    <w:p>
      <w:pPr>
        <w:spacing w:after="140" w:line="288"/>
      </w:pPr>
      <w:r>
        <w:t xml:space="preserve">L’IA est arrivée dans nos salles de classe sans nous demander notre avis. La question n’est plus « faut-il l’utiliser ? » mais « comment l’utiliser intelligemment, en gardant la main ? ». C’est tout l’objet de ce manuel.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Le fil rouge de la journée</w:t>
            </w:r>
          </w:p>
          <w:p>
            <w:pPr>
              <w:spacing w:after="0" w:line="276"/>
            </w:pPr>
            <w:r>
              <w:t xml:space="preserve">L’idée d’abord, l’outil ensuite. L’IA vous aide à concevoir et à réaliser ; elle ne pense pas à votre place et ne décide pas pour vous. Gardez cette phrase en tête : elle répond à 90 % des doutes.</w:t>
            </w:r>
          </w:p>
        </w:tc>
      </w:tr>
    </w:tbl>
    <w:p>
      <w:pPr>
        <w:pStyle w:val="Heading3"/>
      </w:pPr>
      <w:r>
        <w:t xml:space="preserve">À qui s’adresse ce manuel</w:t>
      </w:r>
    </w:p>
    <w:p>
      <w:pPr>
        <w:spacing w:after="140" w:line="288"/>
      </w:pPr>
      <w:r>
        <w:t xml:space="preserve">À des enseignants du supérieur tertiaire — du BTS au Master, en commerce, gestion, ressources humaines — quel que soit leur niveau d’aisance avec le numérique. Aucun prérequis technique : tout est expliqué en clair, et chaque notion est illustrée par un exemple de votre quotidien.</w:t>
      </w:r>
    </w:p>
    <w:p>
      <w:pPr>
        <w:pStyle w:val="Heading3"/>
      </w:pPr>
      <w:r>
        <w:t xml:space="preserve">Comment l’utiliser</w:t>
      </w:r>
    </w:p>
    <w:p>
      <w:pPr>
        <w:spacing w:after="140" w:line="288"/>
      </w:pPr>
      <w:r>
        <w:t xml:space="preserve">Trois façons de s’en servir, selon le moment :</w:t>
      </w:r>
    </w:p>
    <w:p>
      <w:pPr>
        <w:pStyle w:val="ListParagraph"/>
        <w:numPr>
          <w:ilvl w:val="0"/>
          <w:numId w:val="2"/>
        </w:numPr>
        <w:spacing w:after="70" w:line="276"/>
      </w:pPr>
      <w:r>
        <w:rPr>
          <w:b/>
          <w:bCs/>
        </w:rPr>
        <w:t xml:space="preserve">Pendant la formation : </w:t>
      </w:r>
      <w:r>
        <w:t xml:space="preserve">suivez les chapitres dans l’ordre, ils épousent le déroulé de la journée.</w:t>
      </w:r>
    </w:p>
    <w:p>
      <w:pPr>
        <w:pStyle w:val="ListParagraph"/>
        <w:numPr>
          <w:ilvl w:val="0"/>
          <w:numId w:val="2"/>
        </w:numPr>
        <w:spacing w:after="70" w:line="276"/>
      </w:pPr>
      <w:r>
        <w:rPr>
          <w:b/>
          <w:bCs/>
        </w:rPr>
        <w:t xml:space="preserve">Pendant les ateliers : </w:t>
      </w:r>
      <w:r>
        <w:t xml:space="preserve">piochez directement dans les recettes (chapitre 5) et les guides d’outils (chapitre 6).</w:t>
      </w:r>
    </w:p>
    <w:p>
      <w:pPr>
        <w:pStyle w:val="ListParagraph"/>
        <w:numPr>
          <w:ilvl w:val="0"/>
          <w:numId w:val="2"/>
        </w:numPr>
        <w:spacing w:after="70" w:line="276"/>
      </w:pPr>
      <w:r>
        <w:rPr>
          <w:b/>
          <w:bCs/>
        </w:rPr>
        <w:t xml:space="preserve">Après la formation : </w:t>
      </w:r>
      <w:r>
        <w:t xml:space="preserve">revenez aux gabarits et check-lists (annexes) au moment où vous en avez besoin.</w:t>
      </w:r>
    </w:p>
    <w:p>
      <w:pPr>
        <w:spacing w:after="140" w:line="288"/>
      </w:pPr>
      <w:r>
        <w:t xml:space="preserve">Les encadrés bleus signalent un point à retenir ou un exemple. Les encadrés sombres contiennent des prompts prêts à copier (à adapter à votre contexte).</w:t>
      </w:r>
    </w:p>
    <w:p>
      <w:pPr>
        <w:pStyle w:val="Heading3"/>
      </w:pPr>
      <w:r>
        <w:t xml:space="preserve">L’état d’esprit</w:t>
      </w:r>
    </w:p>
    <w:p>
      <w:pPr>
        <w:spacing w:after="140" w:line="288"/>
      </w:pPr>
      <w:r>
        <w:t xml:space="preserve">Curiosité plutôt que maîtrise, et droit à l’erreur. On apprend l’IA en essayant, en se trompant, en recommençant — jamais en lisant un mode d’emploi. Si une réponse ne convient pas, ce n’est pas un échec : c’est le début d’une conversation. Commencez petit, mais commencez.</w:t>
      </w:r>
    </w:p>
    <w:p>
      <w:pPr>
        <w:pStyle w:val="Heading3"/>
      </w:pPr>
      <w:r>
        <w:t xml:space="preserve">Le programme de la journée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0"/>
      </w:tblGrid>
      <w:tr>
        <w:trPr>
          <w:tblHeader/>
        </w:trPr>
        <w:tc>
          <w:tcPr>
            <w:tcW w:type="dxa" w:w="150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Temps</w:t>
            </w:r>
          </w:p>
        </w:tc>
        <w:tc>
          <w:tcPr>
            <w:tcW w:type="dxa" w:w="400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Séquence</w:t>
            </w:r>
          </w:p>
        </w:tc>
        <w:tc>
          <w:tcPr>
            <w:tcW w:type="dxa" w:w="352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Ce que vous en retirez</w:t>
            </w:r>
          </w:p>
        </w:tc>
      </w:tr>
      <w:tr>
        <w:tc>
          <w:tcPr>
            <w:tcW w:type="dxa" w:w="15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Matin</w:t>
            </w:r>
          </w:p>
        </w:tc>
        <w:tc>
          <w:tcPr>
            <w:tcW w:type="dxa" w:w="40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Craintes &amp; usages · Démystifier l’IA</w:t>
            </w:r>
          </w:p>
        </w:tc>
        <w:tc>
          <w:tcPr>
            <w:tcW w:type="dxa" w:w="35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comprendre ce qu’est (et n’est pas) l’IA, sans jargon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Matin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Votre légitimité</w:t>
            </w:r>
          </w:p>
        </w:tc>
        <w:tc>
          <w:tcPr>
            <w:tcW w:type="dxa" w:w="35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voir où se déplace votre valeur d’enseignant</w:t>
            </w:r>
          </w:p>
        </w:tc>
      </w:tr>
      <w:tr>
        <w:tc>
          <w:tcPr>
            <w:tcW w:type="dxa" w:w="15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Matin</w:t>
            </w:r>
          </w:p>
        </w:tc>
        <w:tc>
          <w:tcPr>
            <w:tcW w:type="dxa" w:w="40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Atelier : mieux, tout de suite</w:t>
            </w:r>
          </w:p>
        </w:tc>
        <w:tc>
          <w:tcPr>
            <w:tcW w:type="dxa" w:w="35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un premier livrable réutilisable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Après-midi</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Panorama &amp; coups de projecteur outils</w:t>
            </w:r>
          </w:p>
        </w:tc>
        <w:tc>
          <w:tcPr>
            <w:tcW w:type="dxa" w:w="35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savoir quel outil ouvrir pour quel besoin</w:t>
            </w:r>
          </w:p>
        </w:tc>
      </w:tr>
      <w:tr>
        <w:tc>
          <w:tcPr>
            <w:tcW w:type="dxa" w:w="15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Après-midi</w:t>
            </w:r>
          </w:p>
        </w:tc>
        <w:tc>
          <w:tcPr>
            <w:tcW w:type="dxa" w:w="40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Atelier : produire un objet</w:t>
            </w:r>
          </w:p>
        </w:tc>
        <w:tc>
          <w:tcPr>
            <w:tcW w:type="dxa" w:w="35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une capsule, un support ou une fiche prêts à l’emploi</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Après-midi</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Cadre, évaluation &amp; engagement</w:t>
            </w:r>
          </w:p>
        </w:tc>
        <w:tc>
          <w:tcPr>
            <w:tcW w:type="dxa" w:w="35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les bons réflexes et un plan d’action perso</w:t>
            </w:r>
          </w:p>
        </w:tc>
      </w:tr>
    </w:tbl>
    <w:p>
      <w:r>
        <w:br w:type="page"/>
      </w:r>
    </w:p>
    <w:p>
      <w:pPr>
        <w:pStyle w:val="Heading1"/>
      </w:pPr>
      <w:r>
        <w:t xml:space="preserve">2. Comprendre l’IA générative</w:t>
      </w:r>
    </w:p>
    <w:p>
      <w:pPr>
        <w:spacing w:after="140" w:line="288"/>
      </w:pPr>
      <w:r>
        <w:t xml:space="preserve">Avant d’utiliser un outil, il faut savoir ce qu’il fait vraiment — et surtout ce qu’il ne fait pas. Cette compréhension de base désamorce à elle seule la plupart des déceptions et des craintes.</w:t>
      </w:r>
    </w:p>
    <w:p>
      <w:pPr>
        <w:pStyle w:val="Heading2"/>
      </w:pPr>
      <w:r>
        <w:t xml:space="preserve">Ni magie, ni cerveau : une machine à prédire</w:t>
      </w:r>
    </w:p>
    <w:p>
      <w:pPr>
        <w:spacing w:after="140" w:line="288"/>
      </w:pPr>
      <w:r>
        <w:t xml:space="preserve">Une IA générative (ChatGPT, Claude, Gemini…) ne « sait » rien au sens où nous l’entendons. Elle prédit. À partir de tout le texte qu’elle a « lu » pendant son entraînement, elle calcule, mot après mot, la suite la plus probable à ce que vous avez écrit. C’est, en quelque sorte, une autocomplétion surpuissante.</w:t>
      </w:r>
    </w:p>
    <w:p>
      <w:pPr>
        <w:spacing w:after="140" w:line="288"/>
      </w:pPr>
      <w:r>
        <w:t xml:space="preserve">Cette mécanique explique à la fois sa puissance et ses limites. Sa puissance : elle produit un texte fluide, cohérent, adapté au ton demandé, sur à peu près n’importe quel sujet. Sa limite : « le plus probable » n’est pas « le vrai ». Une formulation peut sonner juste et être fausse.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L’image à retenir</w:t>
            </w:r>
          </w:p>
          <w:p>
            <w:pPr>
              <w:spacing w:after="70" w:line="276"/>
            </w:pPr>
            <w:r>
              <w:t xml:space="preserve">Imaginez un étudiant brillant, très à l’aise à l’oral, qui aurait tout survolé sans rien vérifier. Il vous répondra avec assurance sur tout — y compris quand il se trompe. Votre rôle : être l’examinateur qui sait, lui, distinguer le juste du plausible.</w:t>
            </w:r>
          </w:p>
          <w:p>
            <w:pPr>
              <w:spacing w:after="0" w:line="276"/>
            </w:pPr>
            <w:r>
              <w:t xml:space="preserve">Une autre image, encore plus parlante : l’IA, c’est un enfant de 4 ans qui veut toujours faire plaisir. Elle préfère vous répondre, quitte à inventer, plutôt que d’avouer « je ne sais pas ».</w:t>
            </w:r>
          </w:p>
        </w:tc>
      </w:tr>
    </w:tbl>
    <w:p>
      <w:pPr>
        <w:pStyle w:val="Heading2"/>
      </w:pPr>
      <w:r>
        <w:t xml:space="preserve">IA générative ou moteur de recherche ?</w:t>
      </w:r>
    </w:p>
    <w:p>
      <w:pPr>
        <w:spacing w:after="140" w:line="288"/>
      </w:pPr>
      <w:r>
        <w:t xml:space="preserve">C’est la confusion la plus fréquente, et la source numéro un des mauvaises surprises. Un moteur de recherche retrouve des pages qui existent déjà et vous donne des liens. Une IA générative, elle, fabrique une réponse à la volée — elle ne « cherche » pas, elle « compose ». Attendre d’elle une vérité sourcée, c’est se préparer une déception.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3510"/>
        <w:gridCol w:w="3510"/>
      </w:tblGrid>
      <w:tr>
        <w:trPr>
          <w:tblHeader/>
        </w:trPr>
        <w:tc>
          <w:tcPr>
            <w:tcW w:type="dxa" w:w="200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
            </w:r>
          </w:p>
        </w:tc>
        <w:tc>
          <w:tcPr>
            <w:tcW w:type="dxa" w:w="351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Moteur de recherche</w:t>
            </w:r>
          </w:p>
        </w:tc>
        <w:tc>
          <w:tcPr>
            <w:tcW w:type="dxa" w:w="351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IA générative</w:t>
            </w:r>
          </w:p>
        </w:tc>
      </w:tr>
      <w:tr>
        <w:tc>
          <w:tcPr>
            <w:tcW w:type="dxa" w:w="20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Ce qu’elle fait</w:t>
            </w:r>
          </w:p>
        </w:tc>
        <w:tc>
          <w:tcPr>
            <w:tcW w:type="dxa" w:w="3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retrouve des pages existantes</w:t>
            </w:r>
          </w:p>
        </w:tc>
        <w:tc>
          <w:tcPr>
            <w:tcW w:type="dxa" w:w="3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compose un texte nouveau</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Sa sortie</w:t>
            </w:r>
          </w:p>
        </w:tc>
        <w:tc>
          <w:tcPr>
            <w:tcW w:type="dxa" w:w="3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une liste de liens</w:t>
            </w:r>
          </w:p>
        </w:tc>
        <w:tc>
          <w:tcPr>
            <w:tcW w:type="dxa" w:w="3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une réponse rédigée</w:t>
            </w:r>
          </w:p>
        </w:tc>
      </w:tr>
      <w:tr>
        <w:tc>
          <w:tcPr>
            <w:tcW w:type="dxa" w:w="20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Sa fiabilité</w:t>
            </w:r>
          </w:p>
        </w:tc>
        <w:tc>
          <w:tcPr>
            <w:tcW w:type="dxa" w:w="3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dépend des sources</w:t>
            </w:r>
          </w:p>
        </w:tc>
        <w:tc>
          <w:tcPr>
            <w:tcW w:type="dxa" w:w="3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plausible, à vérifier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Le bon usage</w:t>
            </w:r>
          </w:p>
        </w:tc>
        <w:tc>
          <w:tcPr>
            <w:tcW w:type="dxa" w:w="3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trouver une info précise</w:t>
            </w:r>
          </w:p>
        </w:tc>
        <w:tc>
          <w:tcPr>
            <w:tcW w:type="dxa" w:w="3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produire, reformuler, structurer</w:t>
            </w:r>
          </w:p>
        </w:tc>
      </w:tr>
    </w:tbl>
    <w:p>
      <w:pPr>
        <w:spacing w:after="140" w:line="288"/>
      </w:pPr>
      <w:r>
        <w:t xml:space="preserve">Bonne nouvelle : la frontière se brouille. Beaucoup d’outils savent désormais activer une recherche web et citer leurs sources. Mais le réflexe reste le même : si une information compte, on la vérifie.</w:t>
      </w:r>
    </w:p>
    <w:p>
      <w:pPr>
        <w:pStyle w:val="Heading2"/>
      </w:pPr>
      <w:r>
        <w:t xml:space="preserve">Trois choses à savoir — et c’est tout</w:t>
      </w:r>
    </w:p>
    <w:p>
      <w:pPr>
        <w:pStyle w:val="Heading3"/>
      </w:pPr>
      <w:r>
        <w:t xml:space="preserve">1. Elle prédit, donc elle peut halluciner</w:t>
      </w:r>
    </w:p>
    <w:p>
      <w:pPr>
        <w:spacing w:after="140" w:line="288"/>
      </w:pPr>
      <w:r>
        <w:t xml:space="preserve">Comme elle compose le plus probable, l’IA peut inventer — une date, une citation, une référence d’article, un chiffre — avec un aplomb total. On appelle cela une « hallucination ». Ce n’est pas un bug rare : c’est inscrit dans son fonctionnement.</w:t>
      </w:r>
    </w:p>
    <w:p>
      <w:pPr>
        <w:spacing w:after="140" w:line="288"/>
      </w:pPr>
      <w:r>
        <w:t xml:space="preserve">Voici trois hallucinations typiques, telles qu’on les rencontre dans nos disciplines — question posée, réponse de l’IA, puis la réalité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1 — les fausses sources</w:t>
            </w:r>
          </w:p>
          <w:p>
            <w:pPr>
              <w:spacing w:after="70" w:line="276"/>
            </w:pPr>
            <w:r>
              <w:rPr>
                <w:b/>
                <w:bCs/>
              </w:rPr>
              <w:t xml:space="preserve">Question : </w:t>
            </w:r>
            <w:r>
              <w:t xml:space="preserve">« Cite trois articles de recherche sur la fidélisation client publiés en 2019. »</w:t>
            </w:r>
          </w:p>
          <w:p>
            <w:pPr>
              <w:spacing w:after="70" w:line="276"/>
            </w:pPr>
            <w:r>
              <w:rPr>
                <w:b/>
                <w:bCs/>
              </w:rPr>
              <w:t xml:space="preserve">Réponse de l’IA : </w:t>
            </w:r>
            <w:r>
              <w:t xml:space="preserve">trois références impeccables — auteurs, titres, revues, numéros — du genre « Dubois &amp; Lefèvre (2019), Revue Française du Marketing, n°231 ».</w:t>
            </w:r>
          </w:p>
          <w:p>
            <w:pPr>
              <w:spacing w:after="0" w:line="276"/>
            </w:pPr>
            <w:r>
              <w:rPr>
                <w:b/>
                <w:bCs/>
              </w:rPr>
              <w:t xml:space="preserve">En réalité : </w:t>
            </w:r>
            <w:r>
              <w:t xml:space="preserve">tout est plausible et inventé : ni ces auteurs ni ces numéros n’existent. Pour de vraies sources, passez par Perplexity ou Google Scholar.</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2 — le chiffre trop net</w:t>
            </w:r>
          </w:p>
          <w:p>
            <w:pPr>
              <w:spacing w:after="70" w:line="276"/>
            </w:pPr>
            <w:r>
              <w:rPr>
                <w:b/>
                <w:bCs/>
              </w:rPr>
              <w:t xml:space="preserve">Question : </w:t>
            </w:r>
            <w:r>
              <w:t xml:space="preserve">« Quel pourcentage de PME françaises utilisaient un CRM en 2021 ? »</w:t>
            </w:r>
          </w:p>
          <w:p>
            <w:pPr>
              <w:spacing w:after="70" w:line="276"/>
            </w:pPr>
            <w:r>
              <w:rPr>
                <w:b/>
                <w:bCs/>
              </w:rPr>
              <w:t xml:space="preserve">Réponse de l’IA : </w:t>
            </w:r>
            <w:r>
              <w:t xml:space="preserve">« En 2021, environ 73 % des PME françaises étaient équipées d’un CRM. »</w:t>
            </w:r>
          </w:p>
          <w:p>
            <w:pPr>
              <w:spacing w:after="0" w:line="276"/>
            </w:pPr>
            <w:r>
              <w:rPr>
                <w:b/>
                <w:bCs/>
              </w:rPr>
              <w:t xml:space="preserve">En réalité : </w:t>
            </w:r>
            <w:r>
              <w:t xml:space="preserve">un chiffre précis, confiant… et non sourcé. Un nombre « trop net » doit alerter : on le vérifie (Insee, France Num).</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3 — l’erreur de gestion</w:t>
            </w:r>
          </w:p>
          <w:p>
            <w:pPr>
              <w:spacing w:after="70" w:line="276"/>
            </w:pPr>
            <w:r>
              <w:rPr>
                <w:b/>
                <w:bCs/>
              </w:rPr>
              <w:t xml:space="preserve">Question : </w:t>
            </w:r>
            <w:r>
              <w:t xml:space="preserve">« Un produit acheté 80 € HT, revendu 100 € HT : quel est son taux de marge ? »</w:t>
            </w:r>
          </w:p>
          <w:p>
            <w:pPr>
              <w:spacing w:after="70" w:line="276"/>
            </w:pPr>
            <w:r>
              <w:rPr>
                <w:b/>
                <w:bCs/>
              </w:rPr>
              <w:t xml:space="preserve">Réponse de l’IA : </w:t>
            </w:r>
            <w:r>
              <w:t xml:space="preserve">« La marge est de 20 €, soit un taux de marge de 20 % (20/100). »</w:t>
            </w:r>
          </w:p>
          <w:p>
            <w:pPr>
              <w:spacing w:after="0" w:line="276"/>
            </w:pPr>
            <w:r>
              <w:rPr>
                <w:b/>
                <w:bCs/>
              </w:rPr>
              <w:t xml:space="preserve">En réalité : </w:t>
            </w:r>
            <w:r>
              <w:t xml:space="preserve">faux : 20/100 est le taux de marque. Le taux de marge = 20/80 = 25 %. L’IA confond les deux, avec aplomb.</w:t>
            </w:r>
          </w:p>
        </w:tc>
      </w:tr>
    </w:tbl>
    <w:p>
      <w:pPr>
        <w:pStyle w:val="Heading3"/>
      </w:pPr>
      <w:r>
        <w:t xml:space="preserve">2. Elle a une mémoire courte (la « fenêtre de contexte »)</w:t>
      </w:r>
    </w:p>
    <w:p>
      <w:pPr>
        <w:spacing w:after="140" w:line="288"/>
      </w:pPr>
      <w:r>
        <w:t xml:space="preserve">L’IA ne se souvient que de la conversation en cours — c’est sa « fenêtre de contexte ». Techniquement, elle découpe le texte en petites unités appelées « tokens » (un mot courant vaut un token, un mot rare plusieurs), et sa fenêtre limite le nombre de tokens qu’elle garde en tête. Elle ne sait pas qui vous êtes, ni ce que vous lui avez dit la semaine dernière, sauf si vous le lui redites. Conséquence pratique : redonnez le contexte utile au début de chaque échange, et n’hésitez pas à le rappeler si la conversation s’allonge.</w:t>
      </w:r>
    </w:p>
    <w:p>
      <w:pPr>
        <w:pStyle w:val="Heading3"/>
      </w:pPr>
      <w:r>
        <w:t xml:space="preserve">3. Elle ignore le très récent</w:t>
      </w:r>
    </w:p>
    <w:p>
      <w:pPr>
        <w:spacing w:after="140" w:line="288"/>
      </w:pPr>
      <w:r>
        <w:t xml:space="preserve">Les connaissances d’un modèle s’arrêtent à une certaine date (sa « date de coupure »). Pour une actualité récente — une réforme, un chiffre de l’année —, soit vous activez la recherche web, soit vous lui fournissez vous-même la source à jour.</w:t>
      </w:r>
    </w:p>
    <w:p>
      <w:pPr>
        <w:pStyle w:val="Heading2"/>
      </w:pPr>
      <w:r>
        <w:t xml:space="preserve">Ce que l’IA fait bien, ce qu’elle fait moins bien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Elle est excellente pour…</w:t>
            </w:r>
          </w:p>
        </w:tc>
        <w:tc>
          <w:tcPr>
            <w:tcW w:type="dxa" w:w="451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Elle est faible (ou risquée) pour…</w:t>
            </w:r>
          </w:p>
        </w:tc>
      </w:tr>
      <w:tr>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reformuler, résumer, traduire</w:t>
            </w:r>
          </w:p>
        </w:tc>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donner des faits précis non vérifiés</w:t>
            </w:r>
          </w:p>
        </w:tc>
      </w:tr>
      <w:tr>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produire un premier jet rapide</w:t>
            </w:r>
          </w:p>
        </w:tc>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les calculs pointus sans contrôle</w:t>
            </w:r>
          </w:p>
        </w:tc>
      </w:tr>
      <w:tr>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générer des variantes et des idées</w:t>
            </w:r>
          </w:p>
        </w:tc>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citer des sources réelles spontanément</w:t>
            </w:r>
          </w:p>
        </w:tc>
      </w:tr>
      <w:tr>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structurer, mettre en forme</w:t>
            </w:r>
          </w:p>
        </w:tc>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l’actualité récente sans recherche web</w:t>
            </w:r>
          </w:p>
        </w:tc>
      </w:tr>
      <w:tr>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adapter un ton, un niveau</w:t>
            </w:r>
          </w:p>
        </w:tc>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le jugement pédagogique final</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Ce que ça change pour vous</w:t>
            </w:r>
          </w:p>
          <w:p>
            <w:pPr>
              <w:spacing w:after="0" w:line="276"/>
            </w:pPr>
            <w:r>
              <w:t xml:space="preserve">Parce qu’elle peut se tromper avec assurance, c’est vous le garde-fou. L’IA propose, vous validez. Loin de vous diminuer, cela place votre jugement au centre : il devient la pièce que la machine ne peut pas remplacer.</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F1F8FC" w:sz="2"/>
              <w:left w:val="single" w:color="07202F" w:sz="20"/>
              <w:bottom w:val="single" w:color="F1F8FC" w:sz="2"/>
              <w:right w:val="single" w:color="F1F8FC" w:sz="2"/>
            </w:tcBorders>
            <w:shd w:fill="F1F8FC" w:val="clear"/>
            <w:tcMar>
              <w:top w:type="dxa" w:w="150"/>
              <w:left w:type="dxa" w:w="210"/>
              <w:bottom w:type="dxa" w:w="150"/>
              <w:right w:type="dxa" w:w="210"/>
            </w:tcMar>
          </w:tcPr>
          <w:p>
            <w:pPr>
              <w:spacing w:after="90"/>
            </w:pPr>
            <w:r>
              <w:rPr>
                <w:b/>
                <w:bCs/>
                <w:color w:val="0091C7"/>
                <w:sz w:val="15"/>
                <w:szCs w:val="15"/>
              </w:rPr>
              <w:t xml:space="preserve">POUR ALLER PLUS LOIN</w:t>
            </w:r>
            <w:r>
              <w:rPr>
                <w:b/>
                <w:bCs/>
                <w:color w:val="0B1B2B"/>
                <w:sz w:val="20"/>
                <w:szCs w:val="20"/>
              </w:rPr>
              <w:t xml:space="preserve">   Comment un modèle apprend</w:t>
            </w:r>
          </w:p>
          <w:p>
            <w:pPr>
              <w:spacing w:after="70" w:line="276"/>
            </w:pPr>
            <w:r>
              <w:rPr>
                <w:color w:val="33424E"/>
              </w:rPr>
              <w:t xml:space="preserve">Pour les curieux : un modèle se fabrique en trois temps. Le pré-entraînement, où il « lit » d’immenses quantités de texte et apprend à prédire le mot suivant. Le fine-tuning, où on le spécialise sur des tâches précises. Enfin le RLHF, où des humains notent ses réponses pour l’aligner sur ce qu’on attend — c’est ce qui le rend utile et poli… et parfois trop complaisant.</w:t>
            </w:r>
          </w:p>
          <w:p>
            <w:pPr>
              <w:spacing w:after="0" w:line="276"/>
            </w:pPr>
            <w:r>
              <w:rPr>
                <w:color w:val="33424E"/>
              </w:rPr>
              <w:t xml:space="preserve">À retenir : ses connaissances s’arrêtent à la fin de son entraînement, et il n’apprend rien de vos conversations.</w:t>
            </w:r>
          </w:p>
        </w:tc>
      </w:tr>
    </w:tbl>
    <w:p>
      <w:r>
        <w:br w:type="page"/>
      </w:r>
    </w:p>
    <w:p>
      <w:pPr>
        <w:pStyle w:val="Heading1"/>
      </w:pPr>
      <w:r>
        <w:t xml:space="preserve">3. Votre légitimité : pourquoi vous comptez plus, pas moins</w:t>
      </w:r>
    </w:p>
    <w:p>
      <w:pPr>
        <w:spacing w:after="140" w:line="288"/>
      </w:pPr>
      <w:r>
        <w:t xml:space="preserve">Derrière l’arrivée de l’IA se cache une inquiétude rarement dite à voix haute. Ce n’est pas une question de rapidité. La vraie peur est plus profonde : si l’IA répond à la place de l’élève, celui-ci peut-il finir par se passer de vous ? Autrement dit : est-ce que je deviens contournable ?</w:t>
      </w:r>
    </w:p>
    <w:p>
      <w:pPr>
        <w:spacing w:after="140" w:line="288"/>
      </w:pPr>
      <w:r>
        <w:t xml:space="preserve">La réponse est non — à condition de voir où se déplace votre valeur. L’IA sait déjà donner une réponse. Ce qu’elle ne fait pas à votre place, c’est faire réfléchir, accompagner, et garantir. Votre valeur quitte la simple restitution du savoir — que l’élève peut obtenir ailleurs — pour se concentrer sur ce qui ne s’automatise pas.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Cinq rôles qui se renforcent (évolution, pas disparition)</w:t>
            </w:r>
          </w:p>
          <w:p>
            <w:pPr>
              <w:spacing w:after="70" w:line="276"/>
            </w:pPr>
            <w:r>
              <w:rPr>
                <w:b/>
                <w:bCs/>
              </w:rPr>
              <w:t xml:space="preserve">Concepteur augmenté</w:t>
            </w:r>
            <w:r>
              <w:t xml:space="preserve"> : créer plus vite et mieux. </w:t>
            </w:r>
          </w:p>
          <w:p>
            <w:pPr>
              <w:spacing w:after="70" w:line="276"/>
            </w:pPr>
            <w:r>
              <w:rPr>
                <w:b/>
                <w:bCs/>
              </w:rPr>
              <w:t xml:space="preserve">Curateur</w:t>
            </w:r>
            <w:r>
              <w:t xml:space="preserve"> : sélectionner, valider, adapter ce que produit l’IA. </w:t>
            </w:r>
          </w:p>
          <w:p>
            <w:pPr>
              <w:spacing w:after="70" w:line="276"/>
            </w:pPr>
            <w:r>
              <w:rPr>
                <w:b/>
                <w:bCs/>
              </w:rPr>
              <w:t xml:space="preserve">Facilitateur</w:t>
            </w:r>
            <w:r>
              <w:t xml:space="preserve"> : intégrer l’IA dans les activités. </w:t>
            </w:r>
          </w:p>
          <w:p>
            <w:pPr>
              <w:spacing w:after="70" w:line="276"/>
            </w:pPr>
            <w:r>
              <w:rPr>
                <w:b/>
                <w:bCs/>
              </w:rPr>
              <w:t xml:space="preserve">Développeur d’esprit critique</w:t>
            </w:r>
            <w:r>
              <w:t xml:space="preserve"> : apprendre à l’utiliser à bon escient. </w:t>
            </w:r>
          </w:p>
          <w:p>
            <w:pPr>
              <w:spacing w:after="0" w:line="276"/>
            </w:pPr>
            <w:r>
              <w:rPr>
                <w:b/>
                <w:bCs/>
              </w:rPr>
              <w:t xml:space="preserve">Gardien de l’éthique et de l’humain</w:t>
            </w:r>
            <w:r>
              <w:t xml:space="preserve"> : usage responsable, maintien du lien.</w:t>
            </w:r>
          </w:p>
        </w:tc>
      </w:tr>
    </w:tbl>
    <w:p>
      <w:pPr>
        <w:pStyle w:val="Heading2"/>
      </w:pPr>
      <w:r>
        <w:t xml:space="preserve">Où se déplace votre valeur : quatre axes</w:t>
      </w:r>
    </w:p>
    <w:p>
      <w:pPr>
        <w:pStyle w:val="Heading3"/>
      </w:pPr>
      <w:r>
        <w:t xml:space="preserve">Juger une production</w:t>
      </w:r>
    </w:p>
    <w:p>
      <w:pPr>
        <w:spacing w:after="140" w:line="288"/>
      </w:pPr>
      <w:r>
        <w:t xml:space="preserve">La compétence la plus recherchée aujourd’hui n’est plus de produire un texte, mais de juger un texte produit. Repérer qu’un raisonnement est bancal, qu’un calcul de marge confond marge et marque, qu’une recommandation RH est légalement discutable : c’est vous qui le faites, parce que vous connaissez la matière et le terrain.</w:t>
      </w:r>
    </w:p>
    <w:p>
      <w:pPr>
        <w:pStyle w:val="Heading3"/>
      </w:pPr>
      <w:r>
        <w:t xml:space="preserve">Donner la méthode</w:t>
      </w:r>
    </w:p>
    <w:p>
      <w:pPr>
        <w:spacing w:after="140" w:line="288"/>
      </w:pPr>
      <w:r>
        <w:t xml:space="preserve">L’IA donne un résultat ; vous apprenez à raisonner. Un étudiant qui obtient une bonne réponse sans comprendre le chemin n’a rien appris. Votre travail — montrer le cheminement, les pièges, la démarche — prend justement plus de valeur à mesure que les réponses deviennent gratuites.</w:t>
      </w:r>
    </w:p>
    <w:p>
      <w:pPr>
        <w:pStyle w:val="Heading3"/>
      </w:pPr>
      <w:r>
        <w:t xml:space="preserve">Ancrer dans le réel</w:t>
      </w:r>
    </w:p>
    <w:p>
      <w:pPr>
        <w:spacing w:after="140" w:line="288"/>
      </w:pPr>
      <w:r>
        <w:t xml:space="preserve">Contextualiser pour un public, un programme, un métier précis : c’est votre terrain. L’IA produit du générique ; vous reliez au référentiel BTS, à l’entreprise locale, à l’actualité du secteur, à ce groupe-classe précis.</w:t>
      </w:r>
    </w:p>
    <w:p>
      <w:pPr>
        <w:pStyle w:val="Heading3"/>
      </w:pPr>
      <w:r>
        <w:t xml:space="preserve">Accompagner</w:t>
      </w:r>
    </w:p>
    <w:p>
      <w:pPr>
        <w:spacing w:after="140" w:line="288"/>
      </w:pPr>
      <w:r>
        <w:t xml:space="preserve">La relation, la motivation, le regard humain qui fait progresser un étudiant : aucune machine ne le fournit. C’est sans doute la part la plus irremplaçable — et la plus gratifiante — de votre métier.</w:t>
      </w:r>
    </w:p>
    <w:p>
      <w:pPr>
        <w:pStyle w:val="Heading2"/>
      </w:pPr>
      <w:r>
        <w:t xml:space="preserve">La compétence-clé à transmettre</w:t>
      </w:r>
    </w:p>
    <w:p>
      <w:pPr>
        <w:spacing w:after="140" w:line="288"/>
      </w:pPr>
      <w:r>
        <w:t xml:space="preserve">Puisque juger une production devient central, autant l’enseigner explicitement. En apprenant à vos étudiants à ne pas être dupés par une réponse plausible, vous ne devenez pas contournable : vous devenez la personne qui les rend lucides. C’est un déplacement, pas une disparition.</w:t>
      </w:r>
    </w:p>
    <w:p>
      <w:pPr>
        <w:pStyle w:val="Heading2"/>
      </w:pPr>
      <w:r>
        <w:t xml:space="preserve">Parler de l’IA avec vos étudiants</w:t>
      </w:r>
    </w:p>
    <w:p>
      <w:pPr>
        <w:spacing w:after="140" w:line="288"/>
      </w:pPr>
      <w:r>
        <w:t xml:space="preserve">Le silence ne protège de rien : ils l’utilisent déjà. Mieux vaut poser un cadre clair et ouvert :</w:t>
      </w:r>
    </w:p>
    <w:p>
      <w:pPr>
        <w:pStyle w:val="ListParagraph"/>
        <w:numPr>
          <w:ilvl w:val="1"/>
          <w:numId w:val="2"/>
        </w:numPr>
        <w:spacing w:after="70" w:line="276"/>
      </w:pPr>
      <w:r>
        <w:t xml:space="preserve">Nommez l’outil ouvertement, plutôt que de faire comme s’il n’existait pas.</w:t>
      </w:r>
    </w:p>
    <w:p>
      <w:pPr>
        <w:pStyle w:val="ListParagraph"/>
        <w:numPr>
          <w:ilvl w:val="1"/>
          <w:numId w:val="2"/>
        </w:numPr>
        <w:spacing w:after="70" w:line="276"/>
      </w:pPr>
      <w:r>
        <w:t xml:space="preserve">Montrez-leur ses erreurs en direct : rien n’est plus formateur qu’une hallucination démasquée ensemble.</w:t>
      </w:r>
    </w:p>
    <w:p>
      <w:pPr>
        <w:pStyle w:val="ListParagraph"/>
        <w:numPr>
          <w:ilvl w:val="1"/>
          <w:numId w:val="2"/>
        </w:numPr>
        <w:spacing w:after="70" w:line="276"/>
      </w:pPr>
      <w:r>
        <w:t xml:space="preserve">Distinguez les usages : s’en servir pour comprendre, oui ; le faire rédiger à votre place sans rien apprendre, non.</w:t>
      </w:r>
    </w:p>
    <w:p>
      <w:pPr>
        <w:pStyle w:val="ListParagraph"/>
        <w:numPr>
          <w:ilvl w:val="1"/>
          <w:numId w:val="2"/>
        </w:numPr>
        <w:spacing w:after="70" w:line="276"/>
      </w:pPr>
      <w:r>
        <w:t xml:space="preserve">Expliquez vos propres règles d’usage pour vos cours : la transparence légitime la leur, encadrée.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À retenir</w:t>
            </w:r>
          </w:p>
          <w:p>
            <w:pPr>
              <w:spacing w:after="0" w:line="276"/>
            </w:pPr>
            <w:r>
              <w:t xml:space="preserve">Votre métier ne disparaît pas : il devient plus difficile à remplacer. La valeur quitte la réponse pour aller vers le jugement, la méthode, l’ancrage et la relation.</w:t>
            </w:r>
          </w:p>
        </w:tc>
      </w:tr>
    </w:tbl>
    <w:p>
      <w:r>
        <w:br w:type="page"/>
      </w:r>
    </w:p>
    <w:p>
      <w:pPr>
        <w:pStyle w:val="Heading1"/>
      </w:pPr>
      <w:r>
        <w:t xml:space="preserve">4. Bien demander : guider la conversation</w:t>
      </w:r>
    </w:p>
    <w:p>
      <w:pPr>
        <w:spacing w:after="140" w:line="288"/>
      </w:pPr>
      <w:r>
        <w:t xml:space="preserve">Un prompt, c’est simplement ce que vous écrivez à l’IA. Mais ce n’est ni une formule magique à réciter, ni « taper n’importe quoi ». C’est la façon d’ouvrir et de mener une conversation. Un bon départ met l’IA sur les bons rails ; ensuite, vous affinez. L’enjeu n’est pas l’incantation parfaite : c’est d’éviter les allers-retours qui font perdre du temps.</w:t>
      </w:r>
    </w:p>
    <w:p>
      <w:pPr>
        <w:pStyle w:val="Heading2"/>
      </w:pPr>
      <w:r>
        <w:t xml:space="preserve">Pourquoi un bon départ fait gagner du temps</w:t>
      </w:r>
    </w:p>
    <w:p>
      <w:pPr>
        <w:spacing w:after="140" w:line="288"/>
      </w:pPr>
      <w:r>
        <w:t xml:space="preserve">Une demande floue envoie l’IA dans tous les sens : elle devine ce que vous voulez, se trompe, vous corrigez, elle redérive… trois ou quatre tours plus tard, vous y êtes presque. Une demande cadrée vise juste dès le premier coup : vous passez ensuite vos échanges à affiner le fond, pas à réparer des malentendus. Le temps gagné est considérable, et la qualité finale meilleure.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Avant / après</w:t>
            </w:r>
          </w:p>
          <w:p>
            <w:pPr>
              <w:spacing w:after="70" w:line="276"/>
            </w:pPr>
            <w:r>
              <w:rPr>
                <w:b/>
                <w:bCs/>
              </w:rPr>
              <w:t xml:space="preserve">Flou : </w:t>
            </w:r>
            <w:r>
              <w:t xml:space="preserve">« Fais un cours sur la négociation. »</w:t>
            </w:r>
          </w:p>
          <w:p>
            <w:pPr>
              <w:spacing w:after="0" w:line="276"/>
            </w:pPr>
            <w:r>
              <w:rPr>
                <w:b/>
                <w:bCs/>
              </w:rPr>
              <w:t xml:space="preserve">Cadré : </w:t>
            </w:r>
            <w:r>
              <w:t xml:space="preserve">« Pour des BTS MCO 1re année, propose un déroulé d’1h sur les techniques de négociation : un objectif pédagogique, trois notions clés, une mise en situation de 15 min et une question de synthèse. Ton accessible, sans jargon. »</w:t>
            </w:r>
          </w:p>
        </w:tc>
      </w:tr>
    </w:tbl>
    <w:p>
      <w:pPr>
        <w:pStyle w:val="Heading3"/>
      </w:pPr>
      <w:r>
        <w:t xml:space="preserve">Et concrètement, qu’obtient-on ?</w:t>
      </w:r>
    </w:p>
    <w:p>
      <w:pPr>
        <w:spacing w:after="140" w:line="288"/>
      </w:pPr>
      <w:r>
        <w:rPr>
          <w:b/>
          <w:bCs/>
        </w:rPr>
        <w:t xml:space="preserve">À la demande floue, </w:t>
      </w:r>
      <w:r>
        <w:t xml:space="preserve">l’IA répond par des généralités : « La négociation est un processus d’échange visant un accord… plusieurs techniques : préparation, écoute active, compromis, gestion des objections… ». Ni public, ni niveau, ni format, ni activité : difficilement utilisable tel quel.</w:t>
      </w:r>
    </w:p>
    <w:p>
      <w:pPr>
        <w:spacing w:after="140" w:line="288"/>
      </w:pPr>
      <w:r>
        <w:rPr>
          <w:b/>
          <w:bCs/>
        </w:rPr>
        <w:t xml:space="preserve">À la demande cadrée, </w:t>
      </w:r>
      <w:r>
        <w:t xml:space="preserve">elle renvoie un déroulé exploitable : un objectif (« mener un entretien gagnant-gagnant »), trois notions clés (préparation/MESORE, écoute active, traitement des objections), une mise en situation de 15 minutes (jeu de rôle acheteur/vendeur) et une question de synthèse. Il ne reste qu’à relire et ajuster.</w:t>
      </w:r>
    </w:p>
    <w:p>
      <w:pPr>
        <w:pStyle w:val="Heading2"/>
      </w:pPr>
      <w:r>
        <w:t xml:space="preserve">Les six briques d’un bon prompt</w:t>
      </w:r>
    </w:p>
    <w:p>
      <w:pPr>
        <w:spacing w:after="140" w:line="288"/>
      </w:pPr>
      <w:r>
        <w:t xml:space="preserve">Ce ne sont pas des cases obligatoires à cocher à chaque fois, mais les ingrédients d’une demande claire. On les dose selon le besoin.</w:t>
      </w:r>
    </w:p>
    <w:p>
      <w:pPr>
        <w:pStyle w:val="Heading3"/>
      </w:pPr>
      <w:r>
        <w:t xml:space="preserve">Contexte</w:t>
      </w:r>
    </w:p>
    <w:p>
      <w:pPr>
        <w:spacing w:after="140" w:line="288"/>
      </w:pPr>
      <w:r>
        <w:t xml:space="preserve">Qui vous êtes, pour qui, dans quel cadre. « Je suis enseignant en BTS MCO, mes étudiants sont en première année, le cours dure une heure. » Donné une fois, il sert toute la conversation.</w:t>
      </w:r>
    </w:p>
    <w:p>
      <w:pPr>
        <w:pStyle w:val="Heading3"/>
      </w:pPr>
      <w:r>
        <w:t xml:space="preserve">Objectif</w:t>
      </w:r>
    </w:p>
    <w:p>
      <w:pPr>
        <w:spacing w:after="140" w:line="288"/>
      </w:pPr>
      <w:r>
        <w:t xml:space="preserve">Le résultat précis attendu. Non pas « parle-moi de la fidélisation », mais « rédige une étude de cas sur la fidélisation client ».</w:t>
      </w:r>
    </w:p>
    <w:p>
      <w:pPr>
        <w:pStyle w:val="Heading3"/>
      </w:pPr>
      <w:r>
        <w:t xml:space="preserve">Format</w:t>
      </w:r>
    </w:p>
    <w:p>
      <w:pPr>
        <w:spacing w:after="140" w:line="288"/>
      </w:pPr>
      <w:r>
        <w:t xml:space="preserve">La structure et la longueur : un tableau, une liste, trois paragraphes, dix questions, une page… Sans cette précision, l’IA choisit à votre place — souvent trop long.</w:t>
      </w:r>
    </w:p>
    <w:p>
      <w:pPr>
        <w:pStyle w:val="Heading3"/>
      </w:pPr>
      <w:r>
        <w:t xml:space="preserve">Exemple</w:t>
      </w:r>
    </w:p>
    <w:p>
      <w:pPr>
        <w:spacing w:after="140" w:line="288"/>
      </w:pPr>
      <w:r>
        <w:t xml:space="preserve">Un modèle de ce que vous attendez vaut dix adjectifs. Collez un extrait « dans ce style », et la cible devient limpide.</w:t>
      </w:r>
    </w:p>
    <w:p>
      <w:pPr>
        <w:pStyle w:val="Heading3"/>
      </w:pPr>
      <w:r>
        <w:t xml:space="preserve">Contraintes</w:t>
      </w:r>
    </w:p>
    <w:p>
      <w:pPr>
        <w:spacing w:after="140" w:line="288"/>
      </w:pPr>
      <w:r>
        <w:t xml:space="preserve">Le ton, le niveau, et surtout ce que vous ne voulez pas : « sans jargon », « ne donne pas la réponse, seulement des indices », « maximum 200 mots ».</w:t>
      </w:r>
    </w:p>
    <w:p>
      <w:pPr>
        <w:pStyle w:val="Heading3"/>
      </w:pPr>
      <w:r>
        <w:t xml:space="preserve">Itération</w:t>
      </w:r>
    </w:p>
    <w:p>
      <w:pPr>
        <w:spacing w:after="140" w:line="288"/>
      </w:pPr>
      <w:r>
        <w:t xml:space="preserve">La dernière brique n’est pas dans le premier message : c’est l’art de corriger par petites touches ensuite. « Plus court », « ajoute un exemple chiffré », « rends le ton plus direct ».</w:t>
      </w:r>
    </w:p>
    <w:p>
      <w:pPr>
        <w:pStyle w:val="Heading2"/>
      </w:pPr>
      <w:r>
        <w:t xml:space="preserve">Un prompt, décortiqué</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Un prompt cadré</w:t>
            </w:r>
          </w:p>
          <w:p>
            <w:pPr>
              <w:spacing w:after="0"/>
            </w:pPr>
            <w:r>
              <w:rPr>
                <w:i/>
                <w:iCs/>
                <w:color w:val="DCE8EE"/>
              </w:rPr>
              <w:t xml:space="preserve">Pour des étudiants de BTS MCO 1re année, rédige une étude de cas sur la fidélisation client, en 1 page de contexte chiffré puis 3 questions progressives ; ton professionnel et accessible, sans jargon.</w:t>
            </w:r>
          </w:p>
        </w:tc>
      </w:tr>
    </w:tbl>
    <w:p>
      <w:pPr>
        <w:pStyle w:val="ListParagraph"/>
        <w:numPr>
          <w:ilvl w:val="0"/>
          <w:numId w:val="2"/>
        </w:numPr>
        <w:spacing w:after="70" w:line="276"/>
      </w:pPr>
      <w:r>
        <w:rPr>
          <w:b/>
          <w:bCs/>
          <w:color w:val="0091C7"/>
        </w:rPr>
        <w:t xml:space="preserve">Contexte : </w:t>
      </w:r>
      <w:r>
        <w:t xml:space="preserve">« Pour des étudiants de BTS MCO 1re année »</w:t>
      </w:r>
    </w:p>
    <w:p>
      <w:pPr>
        <w:pStyle w:val="ListParagraph"/>
        <w:numPr>
          <w:ilvl w:val="0"/>
          <w:numId w:val="2"/>
        </w:numPr>
        <w:spacing w:after="70" w:line="276"/>
      </w:pPr>
      <w:r>
        <w:rPr>
          <w:b/>
          <w:bCs/>
          <w:color w:val="0091C7"/>
        </w:rPr>
        <w:t xml:space="preserve">Objectif : </w:t>
      </w:r>
      <w:r>
        <w:t xml:space="preserve">« rédige une étude de cas sur la fidélisation client »</w:t>
      </w:r>
    </w:p>
    <w:p>
      <w:pPr>
        <w:pStyle w:val="ListParagraph"/>
        <w:numPr>
          <w:ilvl w:val="0"/>
          <w:numId w:val="2"/>
        </w:numPr>
        <w:spacing w:after="70" w:line="276"/>
      </w:pPr>
      <w:r>
        <w:rPr>
          <w:b/>
          <w:bCs/>
          <w:color w:val="0091C7"/>
        </w:rPr>
        <w:t xml:space="preserve">Format : </w:t>
      </w:r>
      <w:r>
        <w:t xml:space="preserve">« 1 page de contexte chiffré puis 3 questions progressives »</w:t>
      </w:r>
    </w:p>
    <w:p>
      <w:pPr>
        <w:pStyle w:val="ListParagraph"/>
        <w:numPr>
          <w:ilvl w:val="0"/>
          <w:numId w:val="2"/>
        </w:numPr>
        <w:spacing w:after="70" w:line="276"/>
      </w:pPr>
      <w:r>
        <w:rPr>
          <w:b/>
          <w:bCs/>
          <w:color w:val="0091C7"/>
        </w:rPr>
        <w:t xml:space="preserve">Contraintes : </w:t>
      </w:r>
      <w:r>
        <w:t xml:space="preserve">« ton professionnel et accessible, sans jargon »</w:t>
      </w:r>
    </w:p>
    <w:p>
      <w:pPr>
        <w:pStyle w:val="Heading2"/>
      </w:pPr>
      <w:r>
        <w:t xml:space="preserve">Itérer : corriger par petites touches</w:t>
      </w:r>
    </w:p>
    <w:p>
      <w:pPr>
        <w:spacing w:after="140" w:line="288"/>
      </w:pPr>
      <w:r>
        <w:t xml:space="preserve">La première réponse est rarement la bonne, et c’est normal. Plutôt que de tout réécrire, ajustez par micro-corrections. Quelques phrases qui marchent presque toujours :</w:t>
      </w:r>
    </w:p>
    <w:p>
      <w:pPr>
        <w:pStyle w:val="ListParagraph"/>
        <w:numPr>
          <w:ilvl w:val="1"/>
          <w:numId w:val="2"/>
        </w:numPr>
        <w:spacing w:after="70" w:line="276"/>
      </w:pPr>
      <w:r>
        <w:t xml:space="preserve">« C’est trop long / trop général, resserre. »</w:t>
      </w:r>
    </w:p>
    <w:p>
      <w:pPr>
        <w:pStyle w:val="ListParagraph"/>
        <w:numPr>
          <w:ilvl w:val="1"/>
          <w:numId w:val="2"/>
        </w:numPr>
        <w:spacing w:after="70" w:line="276"/>
      </w:pPr>
      <w:r>
        <w:t xml:space="preserve">« Ajoute un exemple concret tiré du secteur de la distribution. »</w:t>
      </w:r>
    </w:p>
    <w:p>
      <w:pPr>
        <w:pStyle w:val="ListParagraph"/>
        <w:numPr>
          <w:ilvl w:val="1"/>
          <w:numId w:val="2"/>
        </w:numPr>
        <w:spacing w:after="70" w:line="276"/>
      </w:pPr>
      <w:r>
        <w:t xml:space="preserve">« Reprends, mais pour un niveau Master. »</w:t>
      </w:r>
    </w:p>
    <w:p>
      <w:pPr>
        <w:pStyle w:val="ListParagraph"/>
        <w:numPr>
          <w:ilvl w:val="1"/>
          <w:numId w:val="2"/>
        </w:numPr>
        <w:spacing w:after="70" w:line="276"/>
      </w:pPr>
      <w:r>
        <w:t xml:space="preserve">« Garde la structure, change seulement le ton. »</w:t>
      </w:r>
    </w:p>
    <w:p>
      <w:pPr>
        <w:pStyle w:val="ListParagraph"/>
        <w:numPr>
          <w:ilvl w:val="1"/>
          <w:numId w:val="2"/>
        </w:numPr>
        <w:spacing w:after="70" w:line="276"/>
      </w:pPr>
      <w:r>
        <w:t xml:space="preserve">« Propose-moi trois variantes de l’introduction. »</w:t>
      </w:r>
    </w:p>
    <w:p>
      <w:pPr>
        <w:pStyle w:val="Heading2"/>
      </w:pPr>
      <w:r>
        <w:t xml:space="preserve">Les errements qui font perdre du temps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Ce qui fait perdre du temps</w:t>
            </w:r>
          </w:p>
        </w:tc>
        <w:tc>
          <w:tcPr>
            <w:tcW w:type="dxa" w:w="451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Le bon réflexe</w:t>
            </w:r>
          </w:p>
        </w:tc>
      </w:tr>
      <w:tr>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Une demande trop vague</w:t>
            </w:r>
          </w:p>
        </w:tc>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Dire pour qui, dans quel but, quel format.</w:t>
            </w:r>
          </w:p>
        </w:tc>
      </w:tr>
      <w:tr>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Aucun exemple</w:t>
            </w:r>
          </w:p>
        </w:tc>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Coller un modèle de ce que vous attendez.</w:t>
            </w:r>
          </w:p>
        </w:tc>
      </w:tr>
      <w:tr>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Pas de format précisé</w:t>
            </w:r>
          </w:p>
        </w:tc>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Préciser : tableau, liste, nombre de paragraphes…</w:t>
            </w:r>
          </w:p>
        </w:tc>
      </w:tr>
      <w:tr>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Tout réécrire à chaque fois</w:t>
            </w:r>
          </w:p>
        </w:tc>
        <w:tc>
          <w:tcPr>
            <w:tcW w:type="dxa" w:w="451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Corriger par petites touches successives.</w:t>
            </w:r>
          </w:p>
        </w:tc>
      </w:tr>
      <w:tr>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Accepter la 1re réponse</w:t>
            </w:r>
          </w:p>
        </w:tc>
        <w:tc>
          <w:tcPr>
            <w:tcW w:type="dxa" w:w="451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Relire, vérifier, demander une amélioration ciblée.</w:t>
            </w:r>
          </w:p>
        </w:tc>
      </w:tr>
    </w:tbl>
    <w:p>
      <w:pPr>
        <w:pStyle w:val="Heading2"/>
      </w:pPr>
      <w:r>
        <w:t xml:space="preserve">Un gabarit réutilisable</w:t>
      </w:r>
    </w:p>
    <w:p>
      <w:pPr>
        <w:spacing w:after="140" w:line="288"/>
      </w:pPr>
      <w:r>
        <w:t xml:space="preserve">Gardez ce squelette sous la main : remplissez les crochets, supprimez ce qui ne sert pas.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Gabarit à copier</w:t>
            </w:r>
          </w:p>
          <w:p>
            <w:pPr>
              <w:spacing w:after="0"/>
            </w:pPr>
            <w:r>
              <w:rPr>
                <w:i/>
                <w:iCs/>
                <w:color w:val="DCE8EE"/>
              </w:rPr>
              <w:t xml:space="preserve">Contexte : je suis [rôle], pour [public], dans le cadre de [cours / durée].
Objectif : [ce que tu dois produire].
Format : [structure, longueur].
Contraintes : [ton, niveau, ce qu’il faut éviter].
Si besoin : voici un exemple de ce que j’attends : [coller].</w:t>
            </w:r>
          </w:p>
        </w:tc>
      </w:tr>
    </w:tbl>
    <w:p>
      <w:pPr>
        <w:spacing w:after="140" w:line="288"/>
      </w:pPr>
      <w:r>
        <w:rPr>
          <w:i/>
          <w:iCs/>
          <w:color w:val="0091C7"/>
        </w:rPr>
        <w:t xml:space="preserve">Ce qu’on laisse de côté : les fameux « frameworks de prompting » à rallonge. À mesure que les modèles comprennent mieux l’intention, ils sont devenus accessoires. On approfondit la conception — l’idée avant l’outil — en Formation 2.</w:t>
      </w:r>
    </w:p>
    <w:p>
      <w:r>
        <w:br w:type="pag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F1F8FC" w:sz="2"/>
              <w:left w:val="single" w:color="07202F" w:sz="20"/>
              <w:bottom w:val="single" w:color="F1F8FC" w:sz="2"/>
              <w:right w:val="single" w:color="F1F8FC" w:sz="2"/>
            </w:tcBorders>
            <w:shd w:fill="F1F8FC" w:val="clear"/>
            <w:tcMar>
              <w:top w:type="dxa" w:w="150"/>
              <w:left w:type="dxa" w:w="210"/>
              <w:bottom w:type="dxa" w:w="150"/>
              <w:right w:type="dxa" w:w="210"/>
            </w:tcMar>
          </w:tcPr>
          <w:p>
            <w:pPr>
              <w:spacing w:after="90"/>
            </w:pPr>
            <w:r>
              <w:rPr>
                <w:b/>
                <w:bCs/>
                <w:color w:val="0091C7"/>
                <w:sz w:val="15"/>
                <w:szCs w:val="15"/>
              </w:rPr>
              <w:t xml:space="preserve">POUR ALLER PLUS LOIN</w:t>
            </w:r>
            <w:r>
              <w:rPr>
                <w:b/>
                <w:bCs/>
                <w:color w:val="0B1B2B"/>
                <w:sz w:val="20"/>
                <w:szCs w:val="20"/>
              </w:rPr>
              <w:t xml:space="preserve">   Ces gestes ont un nom</w:t>
            </w:r>
          </w:p>
          <w:p>
            <w:pPr>
              <w:spacing w:after="70" w:line="276"/>
            </w:pPr>
            <w:r>
              <w:rPr>
                <w:color w:val="33424E"/>
              </w:rPr>
              <w:t xml:space="preserve">Si vous lisez sur le sujet, vous croiserez du vocabulaire. Rassurez-vous : vous en pratiquez déjà l’essentiel.</w:t>
            </w:r>
          </w:p>
          <w:p>
            <w:pPr>
              <w:spacing w:after="70" w:line="276"/>
            </w:pPr>
            <w:r>
              <w:rPr>
                <w:b/>
                <w:bCs/>
              </w:rPr>
              <w:t xml:space="preserve">Donner des exemples</w:t>
            </w:r>
            <w:r>
              <w:t xml:space="preserve"> = few-shot. </w:t>
            </w:r>
            <w:r>
              <w:rPr>
                <w:b/>
                <w:bCs/>
              </w:rPr>
              <w:t xml:space="preserve">Demander de raisonner étape par étape</w:t>
            </w:r>
            <w:r>
              <w:t xml:space="preserve"> = chain-of-thought (précieux pour vos corrigés). </w:t>
            </w:r>
            <w:r>
              <w:rPr>
                <w:b/>
                <w:bCs/>
              </w:rPr>
              <w:t xml:space="preserve">Donner un rôle</w:t>
            </w:r>
            <w:r>
              <w:t xml:space="preserve"> = persona. </w:t>
            </w:r>
            <w:r>
              <w:rPr>
                <w:b/>
                <w:bCs/>
              </w:rPr>
              <w:t xml:space="preserve">Découper en étapes</w:t>
            </w:r>
            <w:r>
              <w:t xml:space="preserve"> = prompt chaining. </w:t>
            </w:r>
            <w:r>
              <w:rPr>
                <w:b/>
                <w:bCs/>
              </w:rPr>
              <w:t xml:space="preserve">Ancrer la réponse sur vos documents</w:t>
            </w:r>
            <w:r>
              <w:t xml:space="preserve"> = RAG — exactement ce que fait NotebookLM.</w:t>
            </w:r>
          </w:p>
          <w:p>
            <w:pPr>
              <w:spacing w:after="0" w:line="276"/>
            </w:pPr>
            <w:r>
              <w:rPr>
                <w:color w:val="33424E"/>
              </w:rPr>
              <w:t xml:space="preserve">Inutile de retenir ces noms. Mais les connaître évite d’être impressionné par un jargon qui décrit des gestes simples.</w:t>
            </w:r>
          </w:p>
        </w:tc>
      </w:tr>
    </w:tbl>
    <w:p>
      <w:pPr>
        <w:pStyle w:val="Heading1"/>
      </w:pPr>
      <w:r>
        <w:t xml:space="preserve">5. Huit recettes détaillées</w:t>
      </w:r>
    </w:p>
    <w:p>
      <w:pPr>
        <w:spacing w:after="140" w:line="288"/>
      </w:pPr>
      <w:r>
        <w:t xml:space="preserve">Voici huit usages immédiatement utiles. Pour chacun : quand l’utiliser, un prompt prêt à copier, ce que vous obtenez, comment aller plus loin, et ce qu’il faut vérifier. Règle absolue : on travaille sur un « bac à sable », sans aucune donnée réelle d’élève.</w:t>
      </w:r>
    </w:p>
    <w:p>
      <w:pPr>
        <w:pStyle w:val="Heading3"/>
      </w:pPr>
      <w:r>
        <w:t xml:space="preserve">1. Générer une étude de cas</w:t>
      </w:r>
    </w:p>
    <w:p>
      <w:pPr>
        <w:spacing w:after="90" w:line="276"/>
      </w:pPr>
      <w:r>
        <w:rPr>
          <w:b/>
          <w:bCs/>
          <w:color w:val="0091C7"/>
        </w:rPr>
        <w:t xml:space="preserve">Quand l’utiliser. </w:t>
      </w:r>
      <w:r>
        <w:t xml:space="preserve">Quand vous manquez de cas récents ou adaptés à votre secteur, et que partir d’une page blanche vous coûte une soirée.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Crée une étude de cas de management commercial pour des BTS MCO 2e année, autour d’une PME de e-commerce. Une page de contexte chiffré, puis trois questions progressives. Ton professionnel.</w:t>
            </w:r>
          </w:p>
        </w:tc>
      </w:tr>
    </w:tbl>
    <w:p>
      <w:pPr>
        <w:spacing w:after="90" w:line="276"/>
      </w:pPr>
      <w:r>
        <w:rPr>
          <w:b/>
          <w:bCs/>
          <w:color w:val="0091C7"/>
        </w:rPr>
        <w:t xml:space="preserve">Ce que vous obtenez. </w:t>
      </w:r>
      <w:r>
        <w:t xml:space="preserve">Un cas structuré, avec un contexte d’entreprise, des données et des questions — un point de départ solide à retravailler.</w:t>
      </w:r>
    </w:p>
    <w:p>
      <w:pPr>
        <w:spacing w:after="90" w:line="276"/>
      </w:pPr>
      <w:r>
        <w:rPr>
          <w:b/>
          <w:bCs/>
          <w:color w:val="0091C7"/>
        </w:rPr>
        <w:t xml:space="preserve">Pour aller plus loin. </w:t>
      </w:r>
      <w:r>
        <w:t xml:space="preserve">Demandez une variante dans un autre secteur, ou une version « corrigé indicatif » à part. Vous obtenez ainsi une banque de cas en quelques minutes.</w:t>
      </w:r>
    </w:p>
    <w:p>
      <w:pPr>
        <w:spacing w:after="180" w:before="70" w:line="276"/>
      </w:pPr>
      <w:r>
        <w:rPr>
          <w:b/>
          <w:bCs/>
          <w:color w:val="0091C7"/>
        </w:rPr>
        <w:t xml:space="preserve">À vérifier : </w:t>
      </w:r>
      <w:r>
        <w:rPr>
          <w:i/>
          <w:iCs/>
        </w:rPr>
        <w:t xml:space="preserve">la cohérence des chiffres entre eux et la conformité des questions à votre référentiel.</w:t>
      </w:r>
    </w:p>
    <w:p>
      <w:pPr>
        <w:pStyle w:val="Heading3"/>
      </w:pPr>
      <w:r>
        <w:t xml:space="preserve">2. Décliner un QCM en trois niveaux</w:t>
      </w:r>
    </w:p>
    <w:p>
      <w:pPr>
        <w:spacing w:after="90" w:line="276"/>
      </w:pPr>
      <w:r>
        <w:rPr>
          <w:b/>
          <w:bCs/>
          <w:color w:val="0091C7"/>
        </w:rPr>
        <w:t xml:space="preserve">Quand l’utiliser. </w:t>
      </w:r>
      <w:r>
        <w:t xml:space="preserve">Pour différencier : un même chapitre, trois niveaux d’exigence selon les groupes.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À partir de ce chapitre [coller], rédige un QCM de 10 questions en trois niveaux (facile / intermédiaire / expert), avec le corrigé et une courte justification par réponse.</w:t>
            </w:r>
          </w:p>
        </w:tc>
      </w:tr>
    </w:tbl>
    <w:p>
      <w:pPr>
        <w:spacing w:after="90" w:line="276"/>
      </w:pPr>
      <w:r>
        <w:rPr>
          <w:b/>
          <w:bCs/>
          <w:color w:val="0091C7"/>
        </w:rPr>
        <w:t xml:space="preserve">Ce que vous obtenez. </w:t>
      </w:r>
      <w:r>
        <w:t xml:space="preserve">Un QCM gradué, corrigé inclus, prêt à être importé dans votre outil habituel.</w:t>
      </w:r>
    </w:p>
    <w:p>
      <w:pPr>
        <w:spacing w:after="90" w:line="276"/>
      </w:pPr>
      <w:r>
        <w:rPr>
          <w:b/>
          <w:bCs/>
          <w:color w:val="0091C7"/>
        </w:rPr>
        <w:t xml:space="preserve">Pour aller plus loin. </w:t>
      </w:r>
      <w:r>
        <w:t xml:space="preserve">Demandez des distracteurs « piégeants mais plausibles », ou une version « à trous » pour l’oral.</w:t>
      </w:r>
    </w:p>
    <w:p>
      <w:pPr>
        <w:spacing w:after="180" w:before="70" w:line="276"/>
      </w:pPr>
      <w:r>
        <w:rPr>
          <w:b/>
          <w:bCs/>
          <w:color w:val="0091C7"/>
        </w:rPr>
        <w:t xml:space="preserve">À vérifier : </w:t>
      </w:r>
      <w:r>
        <w:rPr>
          <w:i/>
          <w:iCs/>
        </w:rPr>
        <w:t xml:space="preserve">qu’aucune « mauvaise » réponse n’est en réalité correcte, et que le niveau annoncé correspond.</w:t>
      </w:r>
    </w:p>
    <w:p>
      <w:pPr>
        <w:pStyle w:val="Heading3"/>
      </w:pPr>
      <w:r>
        <w:t xml:space="preserve">3. Produire un corrigé détaillé</w:t>
      </w:r>
    </w:p>
    <w:p>
      <w:pPr>
        <w:spacing w:after="90" w:line="276"/>
      </w:pPr>
      <w:r>
        <w:rPr>
          <w:b/>
          <w:bCs/>
          <w:color w:val="0091C7"/>
        </w:rPr>
        <w:t xml:space="preserve">Quand l’utiliser. </w:t>
      </w:r>
      <w:r>
        <w:t xml:space="preserve">Quand vous avez l’énoncé mais pas le temps de rédiger un corrigé pédagogique complet.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Voici un énoncé [coller]. Rédige un corrigé détaillé étape par étape, avec les pièges fréquents et des critères de notation.</w:t>
            </w:r>
          </w:p>
        </w:tc>
      </w:tr>
    </w:tbl>
    <w:p>
      <w:pPr>
        <w:spacing w:after="90" w:line="276"/>
      </w:pPr>
      <w:r>
        <w:rPr>
          <w:b/>
          <w:bCs/>
          <w:color w:val="0091C7"/>
        </w:rPr>
        <w:t xml:space="preserve">Ce que vous obtenez. </w:t>
      </w:r>
      <w:r>
        <w:t xml:space="preserve">Un corrigé structuré, qui explicite le raisonnement — utile aussi pour harmoniser entre collègues.</w:t>
      </w:r>
    </w:p>
    <w:p>
      <w:pPr>
        <w:spacing w:after="90" w:line="276"/>
      </w:pPr>
      <w:r>
        <w:rPr>
          <w:b/>
          <w:bCs/>
          <w:color w:val="0091C7"/>
        </w:rPr>
        <w:t xml:space="preserve">Pour aller plus loin. </w:t>
      </w:r>
      <w:r>
        <w:t xml:space="preserve">Demandez « les trois erreurs les plus probables des étudiants » : précieux pour anticiper la séance de correction.</w:t>
      </w:r>
    </w:p>
    <w:p>
      <w:pPr>
        <w:spacing w:after="180" w:before="70" w:line="276"/>
      </w:pPr>
      <w:r>
        <w:rPr>
          <w:b/>
          <w:bCs/>
          <w:color w:val="0091C7"/>
        </w:rPr>
        <w:t xml:space="preserve">À vérifier : </w:t>
      </w:r>
      <w:r>
        <w:rPr>
          <w:i/>
          <w:iCs/>
        </w:rPr>
        <w:t xml:space="preserve">chaque étape du raisonnement et chaque calcul — c’est là que les erreurs se glissent.</w:t>
      </w:r>
    </w:p>
    <w:p>
      <w:pPr>
        <w:pStyle w:val="Heading3"/>
      </w:pPr>
      <w:r>
        <w:t xml:space="preserve">4. Reformuler une consigne ambiguë</w:t>
      </w:r>
    </w:p>
    <w:p>
      <w:pPr>
        <w:spacing w:after="90" w:line="276"/>
      </w:pPr>
      <w:r>
        <w:rPr>
          <w:b/>
          <w:bCs/>
          <w:color w:val="0091C7"/>
        </w:rPr>
        <w:t xml:space="preserve">Quand l’utiliser. </w:t>
      </w:r>
      <w:r>
        <w:t xml:space="preserve">Quand une consigne a été mal comprise d’une promotion à l’autre.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Cette consigne est jugée ambiguë par mes étudiants [coller]. Propose trois reformulations plus claires, sans changer l’exigence attendue.</w:t>
            </w:r>
          </w:p>
        </w:tc>
      </w:tr>
    </w:tbl>
    <w:p>
      <w:pPr>
        <w:spacing w:after="90" w:line="276"/>
      </w:pPr>
      <w:r>
        <w:rPr>
          <w:b/>
          <w:bCs/>
          <w:color w:val="0091C7"/>
        </w:rPr>
        <w:t xml:space="preserve">Ce que vous obtenez. </w:t>
      </w:r>
      <w:r>
        <w:t xml:space="preserve">Trois formulations alternatives, parmi lesquelles vous choisissez.</w:t>
      </w:r>
    </w:p>
    <w:p>
      <w:pPr>
        <w:spacing w:after="90" w:line="276"/>
      </w:pPr>
      <w:r>
        <w:rPr>
          <w:b/>
          <w:bCs/>
          <w:color w:val="0091C7"/>
        </w:rPr>
        <w:t xml:space="preserve">Pour aller plus loin. </w:t>
      </w:r>
      <w:r>
        <w:t xml:space="preserve">Demandez une version « pas à pas » pour les étudiants les plus fragiles.</w:t>
      </w:r>
    </w:p>
    <w:p>
      <w:pPr>
        <w:spacing w:after="180" w:before="70" w:line="276"/>
      </w:pPr>
      <w:r>
        <w:rPr>
          <w:b/>
          <w:bCs/>
          <w:color w:val="0091C7"/>
        </w:rPr>
        <w:t xml:space="preserve">À vérifier : </w:t>
      </w:r>
      <w:r>
        <w:rPr>
          <w:i/>
          <w:iCs/>
        </w:rPr>
        <w:t xml:space="preserve">que l’exigence n’a pas été affaiblie au passage.</w:t>
      </w:r>
    </w:p>
    <w:p>
      <w:pPr>
        <w:pStyle w:val="Heading3"/>
      </w:pPr>
      <w:r>
        <w:t xml:space="preserve">5. Adapter un support à un autre public</w:t>
      </w:r>
    </w:p>
    <w:p>
      <w:pPr>
        <w:spacing w:after="90" w:line="276"/>
      </w:pPr>
      <w:r>
        <w:rPr>
          <w:b/>
          <w:bCs/>
          <w:color w:val="0091C7"/>
        </w:rPr>
        <w:t xml:space="preserve">Quand l’utiliser. </w:t>
      </w:r>
      <w:r>
        <w:t xml:space="preserve">Quand un bon support existe, mais pour un autre niveau que le vôtre.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Adapte ce support de niveau Master pour des 1re année de BTS : vocabulaire plus simple, exemples concrets, mêmes notions clés.</w:t>
            </w:r>
          </w:p>
        </w:tc>
      </w:tr>
    </w:tbl>
    <w:p>
      <w:pPr>
        <w:spacing w:after="90" w:line="276"/>
      </w:pPr>
      <w:r>
        <w:rPr>
          <w:b/>
          <w:bCs/>
          <w:color w:val="0091C7"/>
        </w:rPr>
        <w:t xml:space="preserve">Ce que vous obtenez. </w:t>
      </w:r>
      <w:r>
        <w:t xml:space="preserve">Une version recalibrée, qui conserve la substance.</w:t>
      </w:r>
    </w:p>
    <w:p>
      <w:pPr>
        <w:spacing w:after="90" w:line="276"/>
      </w:pPr>
      <w:r>
        <w:rPr>
          <w:b/>
          <w:bCs/>
          <w:color w:val="0091C7"/>
        </w:rPr>
        <w:t xml:space="preserve">Pour aller plus loin. </w:t>
      </w:r>
      <w:r>
        <w:t xml:space="preserve">Demandez en parallèle un « glossaire des termes à expliquer » pour le niveau visé.</w:t>
      </w:r>
    </w:p>
    <w:p>
      <w:pPr>
        <w:spacing w:after="180" w:before="70" w:line="276"/>
      </w:pPr>
      <w:r>
        <w:rPr>
          <w:b/>
          <w:bCs/>
          <w:color w:val="0091C7"/>
        </w:rPr>
        <w:t xml:space="preserve">À vérifier : </w:t>
      </w:r>
      <w:r>
        <w:rPr>
          <w:i/>
          <w:iCs/>
        </w:rPr>
        <w:t xml:space="preserve">que rien d’essentiel n’a été perdu dans la simplification.</w:t>
      </w:r>
    </w:p>
    <w:p>
      <w:pPr>
        <w:pStyle w:val="Heading3"/>
      </w:pPr>
      <w:r>
        <w:t xml:space="preserve">6. Brainstormer des activités</w:t>
      </w:r>
    </w:p>
    <w:p>
      <w:pPr>
        <w:spacing w:after="90" w:line="276"/>
      </w:pPr>
      <w:r>
        <w:rPr>
          <w:b/>
          <w:bCs/>
          <w:color w:val="0091C7"/>
        </w:rPr>
        <w:t xml:space="preserve">Quand l’utiliser. </w:t>
      </w:r>
      <w:r>
        <w:t xml:space="preserve">Quand vous tournez en rond sur la manière de faire travailler une notion.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Propose huit idées d’activités en classe pour travailler la relation client, en 30 minutes, en petits groupes, sans matériel particulier.</w:t>
            </w:r>
          </w:p>
        </w:tc>
      </w:tr>
    </w:tbl>
    <w:p>
      <w:pPr>
        <w:spacing w:after="90" w:line="276"/>
      </w:pPr>
      <w:r>
        <w:rPr>
          <w:b/>
          <w:bCs/>
          <w:color w:val="0091C7"/>
        </w:rPr>
        <w:t xml:space="preserve">Ce que vous obtenez. </w:t>
      </w:r>
      <w:r>
        <w:t xml:space="preserve">Une liste d’amorces variées — gardez-en deux ou trois.</w:t>
      </w:r>
    </w:p>
    <w:p>
      <w:pPr>
        <w:spacing w:after="90" w:line="276"/>
      </w:pPr>
      <w:r>
        <w:rPr>
          <w:b/>
          <w:bCs/>
          <w:color w:val="0091C7"/>
        </w:rPr>
        <w:t xml:space="preserve">Pour aller plus loin. </w:t>
      </w:r>
      <w:r>
        <w:t xml:space="preserve">Demandez de « classer les idées de la plus simple à mettre en place à la plus ambitieuse ».</w:t>
      </w:r>
    </w:p>
    <w:p>
      <w:pPr>
        <w:spacing w:after="180" w:before="70" w:line="276"/>
      </w:pPr>
      <w:r>
        <w:rPr>
          <w:b/>
          <w:bCs/>
          <w:color w:val="0091C7"/>
        </w:rPr>
        <w:t xml:space="preserve">À vérifier : </w:t>
      </w:r>
      <w:r>
        <w:rPr>
          <w:i/>
          <w:iCs/>
        </w:rPr>
        <w:t xml:space="preserve">la faisabilité réelle dans votre salle et votre créneau.</w:t>
      </w:r>
    </w:p>
    <w:p>
      <w:pPr>
        <w:pStyle w:val="Heading3"/>
      </w:pPr>
      <w:r>
        <w:t xml:space="preserve">7. Construire un barème ou une grille</w:t>
      </w:r>
    </w:p>
    <w:p>
      <w:pPr>
        <w:spacing w:after="90" w:line="276"/>
      </w:pPr>
      <w:r>
        <w:rPr>
          <w:b/>
          <w:bCs/>
          <w:color w:val="0091C7"/>
        </w:rPr>
        <w:t xml:space="preserve">Quand l’utiliser. </w:t>
      </w:r>
      <w:r>
        <w:t xml:space="preserve">Avant un oral ou un dossier, pour gagner du temps sur la grille d’évaluation.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Propose une grille d’évaluation sur 20 pour un oral de 10 minutes en relation client : quatre critères, des niveaux de maîtrise décrits, et la répartition des points.</w:t>
            </w:r>
          </w:p>
        </w:tc>
      </w:tr>
    </w:tbl>
    <w:p>
      <w:pPr>
        <w:spacing w:after="90" w:line="276"/>
      </w:pPr>
      <w:r>
        <w:rPr>
          <w:b/>
          <w:bCs/>
          <w:color w:val="0091C7"/>
        </w:rPr>
        <w:t xml:space="preserve">Ce que vous obtenez. </w:t>
      </w:r>
      <w:r>
        <w:t xml:space="preserve">Une grille prête à ajuster, avec des descripteurs par niveau.</w:t>
      </w:r>
    </w:p>
    <w:p>
      <w:pPr>
        <w:spacing w:after="90" w:line="276"/>
      </w:pPr>
      <w:r>
        <w:rPr>
          <w:b/>
          <w:bCs/>
          <w:color w:val="0091C7"/>
        </w:rPr>
        <w:t xml:space="preserve">Pour aller plus loin. </w:t>
      </w:r>
      <w:r>
        <w:t xml:space="preserve">Demandez une version « à montrer aux étudiants à l’avance », reformulée en attendus clairs.</w:t>
      </w:r>
    </w:p>
    <w:p>
      <w:pPr>
        <w:spacing w:after="180" w:before="70" w:line="276"/>
      </w:pPr>
      <w:r>
        <w:rPr>
          <w:b/>
          <w:bCs/>
          <w:color w:val="0091C7"/>
        </w:rPr>
        <w:t xml:space="preserve">À vérifier : </w:t>
      </w:r>
      <w:r>
        <w:rPr>
          <w:i/>
          <w:iCs/>
        </w:rPr>
        <w:t xml:space="preserve">que les critères reflètent vraiment ce que vous voulez évaluer.</w:t>
      </w:r>
    </w:p>
    <w:p>
      <w:pPr>
        <w:pStyle w:val="Heading3"/>
      </w:pPr>
      <w:r>
        <w:t xml:space="preserve">8. Préparer un déroulé de séance</w:t>
      </w:r>
    </w:p>
    <w:p>
      <w:pPr>
        <w:spacing w:after="90" w:line="276"/>
      </w:pPr>
      <w:r>
        <w:rPr>
          <w:b/>
          <w:bCs/>
          <w:color w:val="0091C7"/>
        </w:rPr>
        <w:t xml:space="preserve">Quand l’utiliser. </w:t>
      </w:r>
      <w:r>
        <w:t xml:space="preserve">Pour structurer rapidement une séance équilibrée.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Exemple de demande</w:t>
            </w:r>
          </w:p>
          <w:p>
            <w:pPr>
              <w:spacing w:after="0"/>
            </w:pPr>
            <w:r>
              <w:rPr>
                <w:i/>
                <w:iCs/>
                <w:color w:val="DCE8EE"/>
              </w:rPr>
              <w:t xml:space="preserve">Propose un déroulé minuté d’une séance d’1h30 sur la fixation des prix : objectif, accroche, apport, exercice, synthèse.</w:t>
            </w:r>
          </w:p>
        </w:tc>
      </w:tr>
    </w:tbl>
    <w:p>
      <w:pPr>
        <w:spacing w:after="90" w:line="276"/>
      </w:pPr>
      <w:r>
        <w:rPr>
          <w:b/>
          <w:bCs/>
          <w:color w:val="0091C7"/>
        </w:rPr>
        <w:t xml:space="preserve">Ce que vous obtenez. </w:t>
      </w:r>
      <w:r>
        <w:t xml:space="preserve">Un scénario minuté, équilibré entre apport et pratique.</w:t>
      </w:r>
    </w:p>
    <w:p>
      <w:pPr>
        <w:spacing w:after="90" w:line="276"/>
      </w:pPr>
      <w:r>
        <w:rPr>
          <w:b/>
          <w:bCs/>
          <w:color w:val="0091C7"/>
        </w:rPr>
        <w:t xml:space="preserve">Pour aller plus loin. </w:t>
      </w:r>
      <w:r>
        <w:t xml:space="preserve">Demandez « une variante avec un temps de travail en autonomie de 20 min ».</w:t>
      </w:r>
    </w:p>
    <w:p>
      <w:pPr>
        <w:spacing w:after="180" w:before="70" w:line="276"/>
      </w:pPr>
      <w:r>
        <w:rPr>
          <w:b/>
          <w:bCs/>
          <w:color w:val="0091C7"/>
        </w:rPr>
        <w:t xml:space="preserve">À vérifier : </w:t>
      </w:r>
      <w:r>
        <w:rPr>
          <w:i/>
          <w:iCs/>
        </w:rPr>
        <w:t xml:space="preserve">le minutage et l’équilibre entre apport et pratique.</w:t>
      </w:r>
    </w:p>
    <w:p>
      <w:r>
        <w:br w:type="page"/>
      </w:r>
    </w:p>
    <w:p>
      <w:pPr>
        <w:pStyle w:val="Heading1"/>
      </w:pPr>
      <w:r>
        <w:t xml:space="preserve">6. La boîte à outils : guides détaillés</w:t>
      </w:r>
    </w:p>
    <w:p>
      <w:pPr>
        <w:spacing w:after="140" w:line="288"/>
      </w:pPr>
      <w:r>
        <w:t xml:space="preserve">Vous n’avez pas besoin de tout maîtriser. Commencez par un assistant conversationnel (Claude, ChatGPT…), NotebookLM et Gamma ; le reste s’ajoute quand un besoin précis apparaît. La plupart de ces outils ont une version gratuite largement suffisante pour démarrer.</w:t>
      </w:r>
    </w:p>
    <w:p>
      <w:pPr>
        <w:pStyle w:val="Heading3"/>
      </w:pPr>
      <w:r>
        <w:t xml:space="preserve">Quel outil pour quel besoin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400"/>
        <w:gridCol w:w="3620"/>
      </w:tblGrid>
      <w:tr>
        <w:trPr>
          <w:tblHeader/>
        </w:trPr>
        <w:tc>
          <w:tcPr>
            <w:tcW w:type="dxa" w:w="540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Votre besoin</w:t>
            </w:r>
          </w:p>
        </w:tc>
        <w:tc>
          <w:tcPr>
            <w:tcW w:type="dxa" w:w="362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L’outil à ouvrir</w:t>
            </w:r>
          </w:p>
        </w:tc>
      </w:tr>
      <w:tr>
        <w:tc>
          <w:tcPr>
            <w:tcW w:type="dxa" w:w="54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Réviser un cours (podcast, quiz, carte mentale)</w:t>
            </w:r>
          </w:p>
        </w:tc>
        <w:tc>
          <w:tcPr>
            <w:tcW w:type="dxa" w:w="36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NotebookLM</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Créer un support ou une page</w:t>
            </w:r>
          </w:p>
        </w:tc>
        <w:tc>
          <w:tcPr>
            <w:tcW w:type="dxa" w:w="36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Gamma, Claude Design</w:t>
            </w:r>
          </w:p>
        </w:tc>
      </w:tr>
      <w:tr>
        <w:tc>
          <w:tcPr>
            <w:tcW w:type="dxa" w:w="54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Illustrer un cas, créer des personas</w:t>
            </w:r>
          </w:p>
        </w:tc>
        <w:tc>
          <w:tcPr>
            <w:tcW w:type="dxa" w:w="36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génération d’images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Faire une recherche sourcée</w:t>
            </w:r>
          </w:p>
        </w:tc>
        <w:tc>
          <w:tcPr>
            <w:tcW w:type="dxa" w:w="36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Perplexity</w:t>
            </w:r>
          </w:p>
        </w:tc>
      </w:tr>
      <w:tr>
        <w:tc>
          <w:tcPr>
            <w:tcW w:type="dxa" w:w="54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Automatiser une tâche répétitive</w:t>
            </w:r>
          </w:p>
        </w:tc>
        <w:tc>
          <w:tcPr>
            <w:tcW w:type="dxa" w:w="36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Cowork, les Skills</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La méthode commune</w:t>
            </w:r>
          </w:p>
          <w:p>
            <w:pPr>
              <w:spacing w:after="0" w:line="276"/>
            </w:pPr>
            <w:r>
              <w:t xml:space="preserve">Presque tous ces outils suivent le même rythme : on dépose ou on décrit, l’outil génère, puis on ajuste et on diffuse. Une fois ce réflexe pris, un nouvel outil s’apprend en quelques minutes.</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F1F8FC" w:sz="2"/>
              <w:left w:val="single" w:color="07202F" w:sz="20"/>
              <w:bottom w:val="single" w:color="F1F8FC" w:sz="2"/>
              <w:right w:val="single" w:color="F1F8FC" w:sz="2"/>
            </w:tcBorders>
            <w:shd w:fill="F1F8FC" w:val="clear"/>
            <w:tcMar>
              <w:top w:type="dxa" w:w="150"/>
              <w:left w:type="dxa" w:w="210"/>
              <w:bottom w:type="dxa" w:w="150"/>
              <w:right w:type="dxa" w:w="210"/>
            </w:tcMar>
          </w:tcPr>
          <w:p>
            <w:pPr>
              <w:spacing w:after="90"/>
            </w:pPr>
            <w:r>
              <w:rPr>
                <w:b/>
                <w:bCs/>
                <w:color w:val="0091C7"/>
                <w:sz w:val="15"/>
                <w:szCs w:val="15"/>
              </w:rPr>
              <w:t xml:space="preserve">POUR ALLER PLUS LOIN</w:t>
            </w:r>
            <w:r>
              <w:rPr>
                <w:b/>
                <w:bCs/>
                <w:color w:val="0B1B2B"/>
                <w:sz w:val="20"/>
                <w:szCs w:val="20"/>
              </w:rPr>
              <w:t xml:space="preserve">   Votre Starter Kit</w:t>
            </w:r>
          </w:p>
          <w:p>
            <w:pPr>
              <w:spacing w:after="70" w:line="276"/>
            </w:pPr>
            <w:r>
              <w:rPr>
                <w:color w:val="33424E"/>
              </w:rPr>
              <w:t xml:space="preserve">Ne cherchez pas à tout maîtriser d’un coup. Choisissez 1 ou 2 outils qui vous semblent les plus prometteurs, créez les comptes (versions gratuites pour commencer), et testez-les sur des tâches simples et concrètes.</w:t>
            </w:r>
          </w:p>
          <w:p>
            <w:pPr>
              <w:spacing w:after="0" w:line="276"/>
            </w:pPr>
            <w:r>
              <w:rPr>
                <w:color w:val="33424E"/>
              </w:rPr>
              <w:t xml:space="preserve">L’expérimentation progressive vaut mieux que la course à l’outil : un outil bien maîtrisé rend plus de services que dix à peine essayés.</w:t>
            </w:r>
          </w:p>
        </w:tc>
      </w:tr>
    </w:tbl>
    <w:p>
      <w:pPr>
        <w:pStyle w:val="Heading2"/>
      </w:pPr>
      <w:r>
        <w:t xml:space="preserve">Famille 1 — Transmettre</w:t>
      </w:r>
    </w:p>
    <w:p>
      <w:pPr>
        <w:pStyle w:val="Heading3"/>
      </w:pPr>
      <w:r>
        <w:t xml:space="preserve">NotebookLM</w:t>
      </w:r>
    </w:p>
    <w:p>
      <w:pPr>
        <w:spacing w:after="140" w:line="288"/>
      </w:pPr>
      <w:r>
        <w:t xml:space="preserve">L’outil le plus spectaculaire pour transformer vos cours en supports de révision. Vous lui confiez vos documents, il en fait un podcast à deux voix, une vidéo, une carte mentale, un quiz ou des fiches — à partir de VOS contenus, donc plus fiable que le modèle seul.</w:t>
      </w:r>
    </w:p>
    <w:p>
      <w:pPr>
        <w:spacing w:after="60" w:line="288"/>
      </w:pPr>
      <w:r>
        <w:rPr>
          <w:b/>
          <w:bCs/>
        </w:rPr>
        <w:t xml:space="preserve">Comment faire</w:t>
      </w:r>
    </w:p>
    <w:p>
      <w:pPr>
        <w:pStyle w:val="ListParagraph"/>
        <w:numPr>
          <w:ilvl w:val="0"/>
          <w:numId w:val="3"/>
        </w:numPr>
        <w:spacing w:after="80" w:line="276"/>
      </w:pPr>
      <w:r>
        <w:t xml:space="preserve">Créez un « notebook » et déposez vos sources (PDF, texte, lien, vidéo).</w:t>
      </w:r>
    </w:p>
    <w:p>
      <w:pPr>
        <w:pStyle w:val="ListParagraph"/>
        <w:numPr>
          <w:ilvl w:val="0"/>
          <w:numId w:val="3"/>
        </w:numPr>
        <w:spacing w:after="80" w:line="276"/>
      </w:pPr>
      <w:r>
        <w:t xml:space="preserve">Choisissez le format de sortie : « Audio » pour un podcast, ou un quiz, une carte mentale…</w:t>
      </w:r>
    </w:p>
    <w:p>
      <w:pPr>
        <w:pStyle w:val="ListParagraph"/>
        <w:numPr>
          <w:ilvl w:val="0"/>
          <w:numId w:val="3"/>
        </w:numPr>
        <w:spacing w:after="80" w:line="276"/>
      </w:pPr>
      <w:r>
        <w:t xml:space="preserve">Ajustez le focus (« centre le podcast sur la partie fidélisation »).</w:t>
      </w:r>
    </w:p>
    <w:p>
      <w:pPr>
        <w:pStyle w:val="ListParagraph"/>
        <w:numPr>
          <w:ilvl w:val="0"/>
          <w:numId w:val="3"/>
        </w:numPr>
        <w:spacing w:after="80" w:line="276"/>
      </w:pPr>
      <w:r>
        <w:t xml:space="preserve">Écoutez/relisez, puis partagez le lien à vos étudiants.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concret</w:t>
            </w:r>
          </w:p>
          <w:p>
            <w:pPr>
              <w:spacing w:after="0" w:line="276"/>
            </w:pPr>
            <w:r>
              <w:t xml:space="preserve">Vous déposez votre chapitre sur la relation client ; vos étudiants révisent en écoutant un podcast de huit minutes sur le trajet du retour.</w:t>
            </w:r>
          </w:p>
        </w:tc>
      </w:tr>
    </w:tbl>
    <w:p>
      <w:pPr>
        <w:spacing w:after="140" w:line="288"/>
      </w:pPr>
      <w:r>
        <w:rPr>
          <w:b/>
          <w:bCs/>
          <w:color w:val="0091C7"/>
        </w:rPr>
        <w:t xml:space="preserve">Astuce. </w:t>
      </w:r>
      <w:r>
        <w:t xml:space="preserve">le mode interactif permet à l’étudiant de « poser une question » au podcast en cours d’écoute.</w:t>
      </w:r>
    </w:p>
    <w:p>
      <w:pPr>
        <w:spacing w:after="140" w:line="288"/>
      </w:pPr>
      <w:r>
        <w:rPr>
          <w:b/>
          <w:bCs/>
          <w:color w:val="0091C7"/>
        </w:rPr>
        <w:t xml:space="preserve">Limite à connaître. </w:t>
      </w:r>
      <w:r>
        <w:t xml:space="preserve">il reste fidèle à vos sources, mais peut simplifier à l’excès : réécoutez avant de diffuser.</w:t>
      </w:r>
    </w:p>
    <w:p>
      <w:pPr>
        <w:spacing w:after="140" w:line="288"/>
      </w:pPr>
      <w:r>
        <w:rPr>
          <w:b/>
          <w:bCs/>
          <w:color w:val="0091C7"/>
        </w:rPr>
        <w:t xml:space="preserve">Accès. </w:t>
      </w:r>
      <w:r>
        <w:t xml:space="preserve">gratuit ; intégré à Google Classroom.</w:t>
      </w:r>
    </w:p>
    <w:p>
      <w:pPr>
        <w:pStyle w:val="Heading3"/>
      </w:pPr>
      <w:r>
        <w:t xml:space="preserve">HeyGen / Synthesia</w:t>
      </w:r>
    </w:p>
    <w:p>
      <w:pPr>
        <w:spacing w:after="140" w:line="288"/>
      </w:pPr>
      <w:r>
        <w:t xml:space="preserve">Pour créer des capsules vidéo avec un présentateur-avatar qui lit votre texte, dans de nombreuses langues.</w:t>
      </w:r>
    </w:p>
    <w:p>
      <w:pPr>
        <w:spacing w:after="60" w:line="288"/>
      </w:pPr>
      <w:r>
        <w:rPr>
          <w:b/>
          <w:bCs/>
        </w:rPr>
        <w:t xml:space="preserve">Comment faire</w:t>
      </w:r>
    </w:p>
    <w:p>
      <w:pPr>
        <w:pStyle w:val="ListParagraph"/>
        <w:numPr>
          <w:ilvl w:val="0"/>
          <w:numId w:val="4"/>
        </w:numPr>
        <w:spacing w:after="80" w:line="276"/>
      </w:pPr>
      <w:r>
        <w:t xml:space="preserve">Rédigez (ou faites rédiger) votre script.</w:t>
      </w:r>
    </w:p>
    <w:p>
      <w:pPr>
        <w:pStyle w:val="ListParagraph"/>
        <w:numPr>
          <w:ilvl w:val="0"/>
          <w:numId w:val="4"/>
        </w:numPr>
        <w:spacing w:after="80" w:line="276"/>
      </w:pPr>
      <w:r>
        <w:t xml:space="preserve">Choisissez un avatar et une voix.</w:t>
      </w:r>
    </w:p>
    <w:p>
      <w:pPr>
        <w:pStyle w:val="ListParagraph"/>
        <w:numPr>
          <w:ilvl w:val="0"/>
          <w:numId w:val="4"/>
        </w:numPr>
        <w:spacing w:after="80" w:line="276"/>
      </w:pPr>
      <w:r>
        <w:t xml:space="preserve">Collez le script, générez, téléchargez la vidéo.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concret</w:t>
            </w:r>
          </w:p>
          <w:p>
            <w:pPr>
              <w:spacing w:after="0" w:line="276"/>
            </w:pPr>
            <w:r>
              <w:t xml:space="preserve">Une consigne d’examen filmée en 30 secondes, que les étudiants peuvent revoir autant de fois qu’ils veulent.</w:t>
            </w:r>
          </w:p>
        </w:tc>
      </w:tr>
    </w:tbl>
    <w:p>
      <w:pPr>
        <w:spacing w:after="140" w:line="288"/>
      </w:pPr>
      <w:r>
        <w:rPr>
          <w:b/>
          <w:bCs/>
          <w:color w:val="0091C7"/>
        </w:rPr>
        <w:t xml:space="preserve">Astuce. </w:t>
      </w:r>
      <w:r>
        <w:t xml:space="preserve">gardez les capsules courtes (moins d’une minute) : l’attention décroche vite.</w:t>
      </w:r>
    </w:p>
    <w:p>
      <w:pPr>
        <w:spacing w:after="140" w:line="288"/>
      </w:pPr>
      <w:r>
        <w:rPr>
          <w:b/>
          <w:bCs/>
          <w:color w:val="0091C7"/>
        </w:rPr>
        <w:t xml:space="preserve">Limite à connaître. </w:t>
      </w:r>
      <w:r>
        <w:t xml:space="preserve">le rendu « avatar » peut paraître artificiel ; réservez-le aux contenus utilitaires.</w:t>
      </w:r>
    </w:p>
    <w:p>
      <w:pPr>
        <w:spacing w:after="140" w:line="288"/>
      </w:pPr>
      <w:r>
        <w:rPr>
          <w:b/>
          <w:bCs/>
          <w:color w:val="0091C7"/>
        </w:rPr>
        <w:t xml:space="preserve">Accès. </w:t>
      </w:r>
      <w:r>
        <w:t xml:space="preserve">freemium (quota gratuit limité).</w:t>
      </w:r>
    </w:p>
    <w:p>
      <w:pPr>
        <w:pStyle w:val="Heading2"/>
      </w:pPr>
      <w:r>
        <w:t xml:space="preserve">Famille 2 — Créer</w:t>
      </w:r>
    </w:p>
    <w:p>
      <w:pPr>
        <w:pStyle w:val="Heading3"/>
      </w:pPr>
      <w:r>
        <w:t xml:space="preserve">Gamma</w:t>
      </w:r>
    </w:p>
    <w:p>
      <w:pPr>
        <w:spacing w:after="140" w:line="288"/>
      </w:pPr>
      <w:r>
        <w:t xml:space="preserve">Transforme un simple plan en un support de cours projetable et illustré, ou en page web, en deux minutes — entièrement modifiable ensuite.</w:t>
      </w:r>
    </w:p>
    <w:p>
      <w:pPr>
        <w:spacing w:after="60" w:line="288"/>
      </w:pPr>
      <w:r>
        <w:rPr>
          <w:b/>
          <w:bCs/>
        </w:rPr>
        <w:t xml:space="preserve">Comment faire</w:t>
      </w:r>
    </w:p>
    <w:p>
      <w:pPr>
        <w:pStyle w:val="ListParagraph"/>
        <w:numPr>
          <w:ilvl w:val="0"/>
          <w:numId w:val="5"/>
        </w:numPr>
        <w:spacing w:after="80" w:line="276"/>
      </w:pPr>
      <w:r>
        <w:t xml:space="preserve">Collez votre plan ou vos points clés.</w:t>
      </w:r>
    </w:p>
    <w:p>
      <w:pPr>
        <w:pStyle w:val="ListParagraph"/>
        <w:numPr>
          <w:ilvl w:val="0"/>
          <w:numId w:val="5"/>
        </w:numPr>
        <w:spacing w:after="80" w:line="276"/>
      </w:pPr>
      <w:r>
        <w:t xml:space="preserve">Laissez Gamma générer le support, choisissez un thème visuel.</w:t>
      </w:r>
    </w:p>
    <w:p>
      <w:pPr>
        <w:pStyle w:val="ListParagraph"/>
        <w:numPr>
          <w:ilvl w:val="0"/>
          <w:numId w:val="5"/>
        </w:numPr>
        <w:spacing w:after="80" w:line="276"/>
      </w:pPr>
      <w:r>
        <w:t xml:space="preserve">Modifiez le texte et les images directement, comme dans un éditeur de slides.</w:t>
      </w:r>
    </w:p>
    <w:p>
      <w:pPr>
        <w:pStyle w:val="ListParagraph"/>
        <w:numPr>
          <w:ilvl w:val="0"/>
          <w:numId w:val="5"/>
        </w:numPr>
        <w:spacing w:after="80" w:line="276"/>
      </w:pPr>
      <w:r>
        <w:t xml:space="preserve">Exportez en PDF/PowerPoint ou partagez le lien.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concret</w:t>
            </w:r>
          </w:p>
          <w:p>
            <w:pPr>
              <w:spacing w:after="0" w:line="276"/>
            </w:pPr>
            <w:r>
              <w:t xml:space="preserve">Vous transformez votre plan de cours sur la fixation des prix en un support illustré, ajusté avant le TD.</w:t>
            </w:r>
          </w:p>
        </w:tc>
      </w:tr>
    </w:tbl>
    <w:p>
      <w:pPr>
        <w:spacing w:after="140" w:line="288"/>
      </w:pPr>
      <w:r>
        <w:rPr>
          <w:b/>
          <w:bCs/>
          <w:color w:val="0091C7"/>
        </w:rPr>
        <w:t xml:space="preserve">Astuce. </w:t>
      </w:r>
      <w:r>
        <w:t xml:space="preserve">partez d’un plan déjà structuré : plus le plan est clair, meilleur est le rendu.</w:t>
      </w:r>
    </w:p>
    <w:p>
      <w:pPr>
        <w:spacing w:after="140" w:line="288"/>
      </w:pPr>
      <w:r>
        <w:rPr>
          <w:b/>
          <w:bCs/>
          <w:color w:val="0091C7"/>
        </w:rPr>
        <w:t xml:space="preserve">Limite à connaître. </w:t>
      </w:r>
      <w:r>
        <w:t xml:space="preserve">le design automatique est générique ; prévoyez 5 min de retouches pour l’accorder à votre charte.</w:t>
      </w:r>
    </w:p>
    <w:p>
      <w:pPr>
        <w:spacing w:after="140" w:line="288"/>
      </w:pPr>
      <w:r>
        <w:rPr>
          <w:b/>
          <w:bCs/>
          <w:color w:val="0091C7"/>
        </w:rPr>
        <w:t xml:space="preserve">Accès. </w:t>
      </w:r>
      <w:r>
        <w:t xml:space="preserve">freemium.</w:t>
      </w:r>
    </w:p>
    <w:p>
      <w:pPr>
        <w:pStyle w:val="Heading3"/>
      </w:pPr>
      <w:r>
        <w:t xml:space="preserve">Claude Design</w:t>
      </w:r>
    </w:p>
    <w:p>
      <w:pPr>
        <w:spacing w:after="140" w:line="288"/>
      </w:pPr>
      <w:r>
        <w:t xml:space="preserve">Pour créer un visuel, une slide ou un document d’une page en le décrivant, puis en l’affinant par le dialogue — pensé pour les non-designers.</w:t>
      </w:r>
    </w:p>
    <w:p>
      <w:pPr>
        <w:spacing w:after="60" w:line="288"/>
      </w:pPr>
      <w:r>
        <w:rPr>
          <w:b/>
          <w:bCs/>
        </w:rPr>
        <w:t xml:space="preserve">Comment faire</w:t>
      </w:r>
    </w:p>
    <w:p>
      <w:pPr>
        <w:pStyle w:val="ListParagraph"/>
        <w:numPr>
          <w:ilvl w:val="0"/>
          <w:numId w:val="6"/>
        </w:numPr>
        <w:spacing w:after="80" w:line="276"/>
      </w:pPr>
      <w:r>
        <w:t xml:space="preserve">Décrivez ce que vous voulez (« une fiche récapitulative sur les 4P du marketing »).</w:t>
      </w:r>
    </w:p>
    <w:p>
      <w:pPr>
        <w:pStyle w:val="ListParagraph"/>
        <w:numPr>
          <w:ilvl w:val="0"/>
          <w:numId w:val="6"/>
        </w:numPr>
        <w:spacing w:after="80" w:line="276"/>
      </w:pPr>
      <w:r>
        <w:t xml:space="preserve">Regardez la première version.</w:t>
      </w:r>
    </w:p>
    <w:p>
      <w:pPr>
        <w:pStyle w:val="ListParagraph"/>
        <w:numPr>
          <w:ilvl w:val="0"/>
          <w:numId w:val="6"/>
        </w:numPr>
        <w:spacing w:after="80" w:line="276"/>
      </w:pPr>
      <w:r>
        <w:t xml:space="preserve">Affinez par la conversation (« plus aéré », « ajoute une icône par P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concret</w:t>
            </w:r>
          </w:p>
          <w:p>
            <w:pPr>
              <w:spacing w:after="0" w:line="276"/>
            </w:pPr>
            <w:r>
              <w:t xml:space="preserve">Une fiche méthode propre, obtenue en trois échanges, sans ouvrir de logiciel de PAO.</w:t>
            </w:r>
          </w:p>
        </w:tc>
      </w:tr>
    </w:tbl>
    <w:p>
      <w:pPr>
        <w:spacing w:after="140" w:line="288"/>
      </w:pPr>
      <w:r>
        <w:rPr>
          <w:b/>
          <w:bCs/>
          <w:color w:val="0091C7"/>
        </w:rPr>
        <w:t xml:space="preserve">Astuce. </w:t>
      </w:r>
      <w:r>
        <w:t xml:space="preserve">décrivez l’intention avant le style : « pour des étudiants » oriente déjà le rendu.</w:t>
      </w:r>
    </w:p>
    <w:p>
      <w:pPr>
        <w:spacing w:after="140" w:line="288"/>
      </w:pPr>
      <w:r>
        <w:rPr>
          <w:b/>
          <w:bCs/>
          <w:color w:val="0091C7"/>
        </w:rPr>
        <w:t xml:space="preserve">Limite à connaître. </w:t>
      </w:r>
      <w:r>
        <w:t xml:space="preserve">moins adapté aux documents très longs ou très normalisés.</w:t>
      </w:r>
    </w:p>
    <w:p>
      <w:pPr>
        <w:spacing w:after="140" w:line="288"/>
      </w:pPr>
      <w:r>
        <w:rPr>
          <w:b/>
          <w:bCs/>
          <w:color w:val="0091C7"/>
        </w:rPr>
        <w:t xml:space="preserve">Accès. </w:t>
      </w:r>
      <w:r>
        <w:t xml:space="preserve">inclus dans Claude.</w:t>
      </w:r>
    </w:p>
    <w:p>
      <w:pPr>
        <w:pStyle w:val="Heading3"/>
      </w:pPr>
      <w:r>
        <w:t xml:space="preserve">Génération d’images</w:t>
      </w:r>
    </w:p>
    <w:p>
      <w:pPr>
        <w:spacing w:after="140" w:line="288"/>
      </w:pPr>
      <w:r>
        <w:t xml:space="preserve">Pour illustrer un cas, créer l’univers visuel d’une entreprise fictive ou des personas clients.</w:t>
      </w:r>
    </w:p>
    <w:p>
      <w:pPr>
        <w:spacing w:after="60" w:line="288"/>
      </w:pPr>
      <w:r>
        <w:rPr>
          <w:b/>
          <w:bCs/>
        </w:rPr>
        <w:t xml:space="preserve">Comment faire</w:t>
      </w:r>
    </w:p>
    <w:p>
      <w:pPr>
        <w:pStyle w:val="ListParagraph"/>
        <w:numPr>
          <w:ilvl w:val="0"/>
          <w:numId w:val="7"/>
        </w:numPr>
        <w:spacing w:after="80" w:line="276"/>
      </w:pPr>
      <w:r>
        <w:t xml:space="preserve">Décrivez l’image souhaitée, avec le style (« photo réaliste », « illustration »).</w:t>
      </w:r>
    </w:p>
    <w:p>
      <w:pPr>
        <w:pStyle w:val="ListParagraph"/>
        <w:numPr>
          <w:ilvl w:val="0"/>
          <w:numId w:val="7"/>
        </w:numPr>
        <w:spacing w:after="80" w:line="276"/>
      </w:pPr>
      <w:r>
        <w:t xml:space="preserve">Générez plusieurs variantes.</w:t>
      </w:r>
    </w:p>
    <w:p>
      <w:pPr>
        <w:pStyle w:val="ListParagraph"/>
        <w:numPr>
          <w:ilvl w:val="0"/>
          <w:numId w:val="7"/>
        </w:numPr>
        <w:spacing w:after="80" w:line="276"/>
      </w:pPr>
      <w:r>
        <w:t xml:space="preserve">Affinez la description si besoin.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concret</w:t>
            </w:r>
          </w:p>
          <w:p>
            <w:pPr>
              <w:spacing w:after="0" w:line="276"/>
            </w:pPr>
            <w:r>
              <w:t xml:space="preserve">Trois « portraits » de personas clients pour ancrer un cas de relation client.</w:t>
            </w:r>
          </w:p>
        </w:tc>
      </w:tr>
    </w:tbl>
    <w:p>
      <w:pPr>
        <w:spacing w:after="140" w:line="288"/>
      </w:pPr>
      <w:r>
        <w:rPr>
          <w:b/>
          <w:bCs/>
          <w:color w:val="0091C7"/>
        </w:rPr>
        <w:t xml:space="preserve">Astuce. </w:t>
      </w:r>
      <w:r>
        <w:t xml:space="preserve">précisez le format (« format paysage pour une slide ») dès la demande.</w:t>
      </w:r>
    </w:p>
    <w:p>
      <w:pPr>
        <w:spacing w:after="140" w:line="288"/>
      </w:pPr>
      <w:r>
        <w:rPr>
          <w:b/>
          <w:bCs/>
          <w:color w:val="0091C7"/>
        </w:rPr>
        <w:t xml:space="preserve">Limite à connaître. </w:t>
      </w:r>
      <w:r>
        <w:t xml:space="preserve">évitez les visages de personnes réelles et les logos de marques.</w:t>
      </w:r>
    </w:p>
    <w:p>
      <w:pPr>
        <w:spacing w:after="140" w:line="288"/>
      </w:pPr>
      <w:r>
        <w:rPr>
          <w:b/>
          <w:bCs/>
          <w:color w:val="0091C7"/>
        </w:rPr>
        <w:t xml:space="preserve">Accès. </w:t>
      </w:r>
      <w:r>
        <w:t xml:space="preserve">freemium selon l’outil.</w:t>
      </w:r>
    </w:p>
    <w:p>
      <w:pPr>
        <w:pStyle w:val="Heading2"/>
      </w:pPr>
      <w:r>
        <w:t xml:space="preserve">Famille 3 — Chercher &amp; vérifier</w:t>
      </w:r>
    </w:p>
    <w:p>
      <w:pPr>
        <w:pStyle w:val="Heading3"/>
      </w:pPr>
      <w:r>
        <w:t xml:space="preserve">Perplexity</w:t>
      </w:r>
    </w:p>
    <w:p>
      <w:pPr>
        <w:spacing w:after="140" w:line="288"/>
      </w:pPr>
      <w:r>
        <w:t xml:space="preserve">Un moteur de réponse qui cite ses sources : idéal quand vous voulez une information à jour, avec les liens pour vérifier.</w:t>
      </w:r>
    </w:p>
    <w:p>
      <w:pPr>
        <w:spacing w:after="60" w:line="288"/>
      </w:pPr>
      <w:r>
        <w:rPr>
          <w:b/>
          <w:bCs/>
        </w:rPr>
        <w:t xml:space="preserve">Comment faire</w:t>
      </w:r>
    </w:p>
    <w:p>
      <w:pPr>
        <w:pStyle w:val="ListParagraph"/>
        <w:numPr>
          <w:ilvl w:val="0"/>
          <w:numId w:val="8"/>
        </w:numPr>
        <w:spacing w:after="80" w:line="276"/>
      </w:pPr>
      <w:r>
        <w:t xml:space="preserve">Posez votre question comme à un moteur de recherche.</w:t>
      </w:r>
    </w:p>
    <w:p>
      <w:pPr>
        <w:pStyle w:val="ListParagraph"/>
        <w:numPr>
          <w:ilvl w:val="0"/>
          <w:numId w:val="8"/>
        </w:numPr>
        <w:spacing w:after="80" w:line="276"/>
      </w:pPr>
      <w:r>
        <w:t xml:space="preserve">Lisez la réponse synthétique ET les sources citées.</w:t>
      </w:r>
    </w:p>
    <w:p>
      <w:pPr>
        <w:pStyle w:val="ListParagraph"/>
        <w:numPr>
          <w:ilvl w:val="0"/>
          <w:numId w:val="8"/>
        </w:numPr>
        <w:spacing w:after="80" w:line="276"/>
      </w:pPr>
      <w:r>
        <w:t xml:space="preserve">Cliquez les sources pour vérifier avant de réutiliser.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concret</w:t>
            </w:r>
          </w:p>
          <w:p>
            <w:pPr>
              <w:spacing w:after="0" w:line="276"/>
            </w:pPr>
            <w:r>
              <w:t xml:space="preserve">Une page de veille sourcée sur les tendances du e-commerce, prête à partager.</w:t>
            </w:r>
          </w:p>
        </w:tc>
      </w:tr>
    </w:tbl>
    <w:p>
      <w:pPr>
        <w:spacing w:after="140" w:line="288"/>
      </w:pPr>
      <w:r>
        <w:rPr>
          <w:b/>
          <w:bCs/>
          <w:color w:val="0091C7"/>
        </w:rPr>
        <w:t xml:space="preserve">Astuce. </w:t>
      </w:r>
      <w:r>
        <w:t xml:space="preserve">utilisez-le pour préparer un cours d’actualité, là où l’IA « pure » halluciner.</w:t>
      </w:r>
    </w:p>
    <w:p>
      <w:pPr>
        <w:spacing w:after="140" w:line="288"/>
      </w:pPr>
      <w:r>
        <w:rPr>
          <w:b/>
          <w:bCs/>
          <w:color w:val="0091C7"/>
        </w:rPr>
        <w:t xml:space="preserve">Limite à connaître. </w:t>
      </w:r>
      <w:r>
        <w:t xml:space="preserve">les sources ne sont pas toutes de même qualité : gardez l’œil critique.</w:t>
      </w:r>
    </w:p>
    <w:p>
      <w:pPr>
        <w:spacing w:after="140" w:line="288"/>
      </w:pPr>
      <w:r>
        <w:rPr>
          <w:b/>
          <w:bCs/>
          <w:color w:val="0091C7"/>
        </w:rPr>
        <w:t xml:space="preserve">Accès. </w:t>
      </w:r>
      <w:r>
        <w:t xml:space="preserve">freemium.</w:t>
      </w:r>
    </w:p>
    <w:p>
      <w:pPr>
        <w:pStyle w:val="Heading2"/>
      </w:pPr>
      <w:r>
        <w:t xml:space="preserve">Famille 4 — Déléguer (les agents)</w:t>
      </w:r>
    </w:p>
    <w:p>
      <w:pPr>
        <w:pStyle w:val="Heading3"/>
      </w:pPr>
      <w:r>
        <w:t xml:space="preserve">Claude Cowork &amp; les Skills</w:t>
      </w:r>
    </w:p>
    <w:p>
      <w:pPr>
        <w:spacing w:after="140" w:line="288"/>
      </w:pPr>
      <w:r>
        <w:t xml:space="preserve">Un agent prend en charge des tâches longues et répétitives ; une « Skill » lui apprend une fois votre façon de faire pour la rejouer. C’est le cœur de la Formation 2, mais voici déjà l’idée.</w:t>
      </w:r>
    </w:p>
    <w:p>
      <w:pPr>
        <w:spacing w:after="60" w:line="288"/>
      </w:pPr>
      <w:r>
        <w:rPr>
          <w:b/>
          <w:bCs/>
        </w:rPr>
        <w:t xml:space="preserve">Comment faire</w:t>
      </w:r>
    </w:p>
    <w:p>
      <w:pPr>
        <w:pStyle w:val="ListParagraph"/>
        <w:numPr>
          <w:ilvl w:val="0"/>
          <w:numId w:val="9"/>
        </w:numPr>
        <w:spacing w:after="80" w:line="276"/>
      </w:pPr>
      <w:r>
        <w:t xml:space="preserve">Identifiez une tâche répétitive (ex. : pré-remplir un feedback selon votre grille).</w:t>
      </w:r>
    </w:p>
    <w:p>
      <w:pPr>
        <w:pStyle w:val="ListParagraph"/>
        <w:numPr>
          <w:ilvl w:val="0"/>
          <w:numId w:val="9"/>
        </w:numPr>
        <w:spacing w:after="80" w:line="276"/>
      </w:pPr>
      <w:r>
        <w:t xml:space="preserve">Décrivez la tâche et donnez un exemple complet.</w:t>
      </w:r>
    </w:p>
    <w:p>
      <w:pPr>
        <w:pStyle w:val="ListParagraph"/>
        <w:numPr>
          <w:ilvl w:val="0"/>
          <w:numId w:val="9"/>
        </w:numPr>
        <w:spacing w:after="80" w:line="276"/>
      </w:pPr>
      <w:r>
        <w:t xml:space="preserve">Laissez l’agent rejouer sur un nouveau cas — puis validez.</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Exemple concret</w:t>
            </w:r>
          </w:p>
          <w:p>
            <w:pPr>
              <w:spacing w:after="0" w:line="276"/>
            </w:pPr>
            <w:r>
              <w:t xml:space="preserve">Vous apprenez une fois votre grille de correction ; l’agent pré-remplit une trame de feedback pour chaque copie, que vous validez.</w:t>
            </w:r>
          </w:p>
        </w:tc>
      </w:tr>
    </w:tbl>
    <w:p>
      <w:pPr>
        <w:spacing w:after="140" w:line="288"/>
      </w:pPr>
      <w:r>
        <w:rPr>
          <w:b/>
          <w:bCs/>
          <w:color w:val="0091C7"/>
        </w:rPr>
        <w:t xml:space="preserve">Astuce. </w:t>
      </w:r>
      <w:r>
        <w:t xml:space="preserve">commencez par une tâche simple et bien définie : c’est là que le gain est le plus net.</w:t>
      </w:r>
    </w:p>
    <w:p>
      <w:pPr>
        <w:spacing w:after="140" w:line="288"/>
      </w:pPr>
      <w:r>
        <w:rPr>
          <w:b/>
          <w:bCs/>
          <w:color w:val="0091C7"/>
        </w:rPr>
        <w:t xml:space="preserve">Limite à connaître. </w:t>
      </w:r>
      <w:r>
        <w:t xml:space="preserve">l’agent exécute, il ne décide pas : on valide toujours sa sortie.</w:t>
      </w:r>
    </w:p>
    <w:p>
      <w:pPr>
        <w:spacing w:after="140" w:line="288"/>
      </w:pPr>
      <w:r>
        <w:rPr>
          <w:b/>
          <w:bCs/>
          <w:color w:val="0091C7"/>
        </w:rPr>
        <w:t xml:space="preserve">Accès. </w:t>
      </w:r>
      <w:r>
        <w:t xml:space="preserve">Cowork en preview ; Skills inclus dans Claude.</w:t>
      </w:r>
    </w:p>
    <w:p>
      <w:r>
        <w:br w:type="pag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F1F8FC" w:sz="2"/>
              <w:left w:val="single" w:color="07202F" w:sz="20"/>
              <w:bottom w:val="single" w:color="F1F8FC" w:sz="2"/>
              <w:right w:val="single" w:color="F1F8FC" w:sz="2"/>
            </w:tcBorders>
            <w:shd w:fill="F1F8FC" w:val="clear"/>
            <w:tcMar>
              <w:top w:type="dxa" w:w="150"/>
              <w:left w:type="dxa" w:w="210"/>
              <w:bottom w:type="dxa" w:w="150"/>
              <w:right w:type="dxa" w:w="210"/>
            </w:tcMar>
          </w:tcPr>
          <w:p>
            <w:pPr>
              <w:spacing w:after="90"/>
            </w:pPr>
            <w:r>
              <w:rPr>
                <w:b/>
                <w:bCs/>
                <w:color w:val="0091C7"/>
                <w:sz w:val="15"/>
                <w:szCs w:val="15"/>
              </w:rPr>
              <w:t xml:space="preserve">POUR ALLER PLUS LOIN</w:t>
            </w:r>
            <w:r>
              <w:rPr>
                <w:b/>
                <w:bCs/>
                <w:color w:val="0B1B2B"/>
                <w:sz w:val="20"/>
                <w:szCs w:val="20"/>
              </w:rPr>
              <w:t xml:space="preserve">   Créez votre promptothèque</w:t>
            </w:r>
          </w:p>
          <w:p>
            <w:pPr>
              <w:spacing w:after="70" w:line="276"/>
            </w:pPr>
            <w:r>
              <w:rPr>
                <w:color w:val="33424E"/>
              </w:rPr>
              <w:t xml:space="preserve">Le vrai gain vient avec la répétition. Dès qu’un prompt fonctionne bien, copiez-le dans un document « Mes prompts », rangé par usage : étude de cas, QCM, corrigé, séquence…</w:t>
            </w:r>
          </w:p>
          <w:p>
            <w:pPr>
              <w:spacing w:after="0" w:line="276"/>
            </w:pPr>
            <w:r>
              <w:rPr>
                <w:color w:val="33424E"/>
              </w:rPr>
              <w:t xml:space="preserve">Au bout de quelques semaines, vous disposez de votre boîte à outils personnelle — et vous ne repartez plus jamais de zéro.</w:t>
            </w:r>
          </w:p>
        </w:tc>
      </w:tr>
    </w:tbl>
    <w:p>
      <w:pPr>
        <w:pStyle w:val="Heading1"/>
      </w:pPr>
      <w:r>
        <w:t xml:space="preserve">7. Dix idées par discipline</w:t>
      </w:r>
    </w:p>
    <w:p>
      <w:pPr>
        <w:spacing w:after="140" w:line="288"/>
      </w:pPr>
      <w:r>
        <w:t xml:space="preserve">Des points de départ concrets, à adapter à vos référentiels.</w:t>
      </w:r>
    </w:p>
    <w:p>
      <w:pPr>
        <w:pStyle w:val="Heading3"/>
      </w:pPr>
      <w:r>
        <w:t xml:space="preserve">Commerce &amp; marketing</w:t>
      </w:r>
    </w:p>
    <w:p>
      <w:pPr>
        <w:pStyle w:val="ListParagraph"/>
        <w:numPr>
          <w:ilvl w:val="1"/>
          <w:numId w:val="2"/>
        </w:numPr>
        <w:spacing w:after="70" w:line="276"/>
      </w:pPr>
      <w:r>
        <w:t xml:space="preserve">Générer des personas clients variés pour ancrer un cas pratique.</w:t>
      </w:r>
    </w:p>
    <w:p>
      <w:pPr>
        <w:pStyle w:val="ListParagraph"/>
        <w:numPr>
          <w:ilvl w:val="1"/>
          <w:numId w:val="2"/>
        </w:numPr>
        <w:spacing w:after="70" w:line="276"/>
      </w:pPr>
      <w:r>
        <w:t xml:space="preserve">Créer un brief marketing fictif à analyser en groupe.</w:t>
      </w:r>
    </w:p>
    <w:p>
      <w:pPr>
        <w:pStyle w:val="ListParagraph"/>
        <w:numPr>
          <w:ilvl w:val="1"/>
          <w:numId w:val="2"/>
        </w:numPr>
        <w:spacing w:after="70" w:line="276"/>
      </w:pPr>
      <w:r>
        <w:t xml:space="preserve">Simuler un échange commercial (vendeur / client difficile) à jouer en classe.</w:t>
      </w:r>
    </w:p>
    <w:p>
      <w:pPr>
        <w:pStyle w:val="ListParagraph"/>
        <w:numPr>
          <w:ilvl w:val="1"/>
          <w:numId w:val="2"/>
        </w:numPr>
        <w:spacing w:after="70" w:line="276"/>
      </w:pPr>
      <w:r>
        <w:t xml:space="preserve">Décliner une même étude de cas dans plusieurs secteurs pour différencier.</w:t>
      </w:r>
    </w:p>
    <w:p>
      <w:pPr>
        <w:pStyle w:val="Heading3"/>
      </w:pPr>
      <w:r>
        <w:t xml:space="preserve">Gestion &amp; management</w:t>
      </w:r>
    </w:p>
    <w:p>
      <w:pPr>
        <w:pStyle w:val="ListParagraph"/>
        <w:numPr>
          <w:ilvl w:val="1"/>
          <w:numId w:val="2"/>
        </w:numPr>
        <w:spacing w:after="70" w:line="276"/>
      </w:pPr>
      <w:r>
        <w:t xml:space="preserve">Produire un jeu de données chiffrées fictif pour un exercice de gestion.</w:t>
      </w:r>
    </w:p>
    <w:p>
      <w:pPr>
        <w:pStyle w:val="ListParagraph"/>
        <w:numPr>
          <w:ilvl w:val="1"/>
          <w:numId w:val="2"/>
        </w:numPr>
        <w:spacing w:after="70" w:line="276"/>
      </w:pPr>
      <w:r>
        <w:t xml:space="preserve">Générer des scénarios de prise de décision managériale à débattre.</w:t>
      </w:r>
    </w:p>
    <w:p>
      <w:pPr>
        <w:pStyle w:val="ListParagraph"/>
        <w:numPr>
          <w:ilvl w:val="1"/>
          <w:numId w:val="2"/>
        </w:numPr>
        <w:spacing w:after="70" w:line="276"/>
      </w:pPr>
      <w:r>
        <w:t xml:space="preserve">Reformuler un concept de gestion en analogie simple pour le faire comprendre.</w:t>
      </w:r>
    </w:p>
    <w:p>
      <w:pPr>
        <w:pStyle w:val="Heading3"/>
      </w:pPr>
      <w:r>
        <w:t xml:space="preserve">RH &amp; relation client</w:t>
      </w:r>
    </w:p>
    <w:p>
      <w:pPr>
        <w:pStyle w:val="ListParagraph"/>
        <w:numPr>
          <w:ilvl w:val="1"/>
          <w:numId w:val="2"/>
        </w:numPr>
        <w:spacing w:after="70" w:line="276"/>
      </w:pPr>
      <w:r>
        <w:t xml:space="preserve">Rédiger des mises en situation d’entretien (recrutement, conflit).</w:t>
      </w:r>
    </w:p>
    <w:p>
      <w:pPr>
        <w:pStyle w:val="ListParagraph"/>
        <w:numPr>
          <w:ilvl w:val="1"/>
          <w:numId w:val="2"/>
        </w:numPr>
        <w:spacing w:after="70" w:line="276"/>
      </w:pPr>
      <w:r>
        <w:t xml:space="preserve">Générer une série d’avis clients variés à traiter et catégoriser.</w:t>
      </w:r>
    </w:p>
    <w:p>
      <w:pPr>
        <w:pStyle w:val="ListParagraph"/>
        <w:numPr>
          <w:ilvl w:val="1"/>
          <w:numId w:val="2"/>
        </w:numPr>
        <w:spacing w:after="70" w:line="276"/>
      </w:pPr>
      <w:r>
        <w:t xml:space="preserve">Créer des fiches de poste fictives à analyser de manière critique.</w:t>
      </w:r>
    </w:p>
    <w:p>
      <w:r>
        <w:br w:type="page"/>
      </w:r>
    </w:p>
    <w:p>
      <w:pPr>
        <w:pStyle w:val="Heading1"/>
      </w:pPr>
      <w:r>
        <w:t xml:space="preserve">8. Le cadre : données, éthique, déontologie</w:t>
      </w:r>
    </w:p>
    <w:p>
      <w:pPr>
        <w:spacing w:after="140" w:line="288"/>
      </w:pPr>
      <w:r>
        <w:t xml:space="preserve">L’IA s’utilise avec un cadre simple, mais non négociable. En le respectant, vous vous protégez, vous protégez vos étudiants, et vous montrez l’exemple.</w:t>
      </w:r>
    </w:p>
    <w:p>
      <w:pPr>
        <w:pStyle w:val="Heading2"/>
      </w:pPr>
      <w:r>
        <w:t xml:space="preserve">RGPD : la règle d’or</w:t>
      </w:r>
    </w:p>
    <w:p>
      <w:pPr>
        <w:spacing w:after="140" w:line="288"/>
      </w:pPr>
      <w:r>
        <w:t xml:space="preserve">Une donnée personnelle, c’est toute information se rapportant à une personne identifiable : un nom, un prénom associé à une classe, une copie, une note, une adresse. La règle est simple : on ne dépose jamais de donnée personnelle d’élève dans un outil grand public. Même un prénom accompagné du nom de la classe peut suffire à identifier quelqu’un.</w:t>
      </w:r>
    </w:p>
    <w:p>
      <w:pPr>
        <w:spacing w:after="140" w:line="288"/>
      </w:pPr>
      <w:r>
        <w:t xml:space="preserve">La parade est facile : anonymisez ou utilisez des données fictives. « La copie de Julie Martin, 2e année » devient « la copie d’un étudiant » ; « l’entreprise Durand » devient « l’entreprise Alpha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Avant / après d’anonymisation</w:t>
            </w:r>
          </w:p>
          <w:p>
            <w:pPr>
              <w:spacing w:after="70" w:line="276"/>
            </w:pPr>
            <w:r>
              <w:rPr>
                <w:b/>
                <w:bCs/>
              </w:rPr>
              <w:t xml:space="preserve">À éviter : </w:t>
            </w:r>
            <w:r>
              <w:t xml:space="preserve">« Corrige la copie de Julie M. (BTS2 Lycée X) ci-dessous. »</w:t>
            </w:r>
          </w:p>
          <w:p>
            <w:pPr>
              <w:spacing w:after="0" w:line="276"/>
            </w:pPr>
            <w:r>
              <w:rPr>
                <w:b/>
                <w:bCs/>
              </w:rPr>
              <w:t xml:space="preserve">À faire : </w:t>
            </w:r>
            <w:r>
              <w:t xml:space="preserve">« Voici une copie d’étudiant à évaluer selon ces critères. » (sans aucun élément identifiant)</w:t>
            </w:r>
          </w:p>
        </w:tc>
      </w:tr>
    </w:tbl>
    <w:p>
      <w:pPr>
        <w:pStyle w:val="Heading2"/>
      </w:pPr>
      <w:r>
        <w:t xml:space="preserve">Vérification, biais, transparence</w:t>
      </w:r>
    </w:p>
    <w:p>
      <w:pPr>
        <w:pStyle w:val="ListParagraph"/>
        <w:numPr>
          <w:ilvl w:val="0"/>
          <w:numId w:val="2"/>
        </w:numPr>
        <w:spacing w:after="70" w:line="276"/>
      </w:pPr>
      <w:r>
        <w:rPr>
          <w:b/>
          <w:bCs/>
        </w:rPr>
        <w:t xml:space="preserve">Vérification. </w:t>
      </w:r>
      <w:r>
        <w:t xml:space="preserve">Croisez toute affirmation factuelle (chiffre, date, citation) avant de la réutiliser : l’IA n’est pas une source.</w:t>
      </w:r>
    </w:p>
    <w:p>
      <w:pPr>
        <w:pStyle w:val="ListParagraph"/>
        <w:numPr>
          <w:ilvl w:val="0"/>
          <w:numId w:val="2"/>
        </w:numPr>
        <w:spacing w:after="70" w:line="276"/>
      </w:pPr>
      <w:r>
        <w:rPr>
          <w:b/>
          <w:bCs/>
        </w:rPr>
        <w:t xml:space="preserve">Biais. </w:t>
      </w:r>
      <w:r>
        <w:t xml:space="preserve">L’IA reproduit les stéréotypes de ses données (de genre, d’âge, d’origine). Relisez avec un œil critique et demandez explicitement de la diversité.</w:t>
      </w:r>
    </w:p>
    <w:p>
      <w:pPr>
        <w:pStyle w:val="ListParagraph"/>
        <w:numPr>
          <w:ilvl w:val="0"/>
          <w:numId w:val="2"/>
        </w:numPr>
        <w:spacing w:after="70" w:line="276"/>
      </w:pPr>
      <w:r>
        <w:rPr>
          <w:b/>
          <w:bCs/>
        </w:rPr>
        <w:t xml:space="preserve">Responsabilité. </w:t>
      </w:r>
      <w:r>
        <w:t xml:space="preserve">Vous restez l’auteur de ce que vous diffusez : l’IA propose, vous validez et vous assumez.</w:t>
      </w:r>
    </w:p>
    <w:p>
      <w:pPr>
        <w:pStyle w:val="ListParagraph"/>
        <w:numPr>
          <w:ilvl w:val="0"/>
          <w:numId w:val="2"/>
        </w:numPr>
        <w:spacing w:after="70" w:line="276"/>
      </w:pPr>
      <w:r>
        <w:rPr>
          <w:b/>
          <w:bCs/>
        </w:rPr>
        <w:t xml:space="preserve">Transparence. </w:t>
      </w:r>
      <w:r>
        <w:t xml:space="preserve">Expliquez votre usage de l’IA à vos étudiants ; cela légitime aussi le leur, encadré.</w:t>
      </w:r>
    </w:p>
    <w:p>
      <w:pPr>
        <w:pStyle w:val="ListParagraph"/>
        <w:numPr>
          <w:ilvl w:val="0"/>
          <w:numId w:val="2"/>
        </w:numPr>
        <w:spacing w:after="70" w:line="276"/>
      </w:pPr>
      <w:r>
        <w:rPr>
          <w:b/>
          <w:bCs/>
        </w:rPr>
        <w:t xml:space="preserve">Établissement. </w:t>
      </w:r>
      <w:r>
        <w:t xml:space="preserve">Référez-vous à la politique de votre école quand elle existe.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EAF3FA" w:sz="2"/>
              <w:left w:val="single" w:color="00BFFF" w:sz="20"/>
              <w:bottom w:val="single" w:color="EAF3FA" w:sz="2"/>
              <w:right w:val="single" w:color="EAF3FA" w:sz="2"/>
            </w:tcBorders>
            <w:shd w:fill="EAF3FA" w:val="clear"/>
            <w:tcMar>
              <w:top w:type="dxa" w:w="150"/>
              <w:left w:type="dxa" w:w="210"/>
              <w:bottom w:type="dxa" w:w="150"/>
              <w:right w:type="dxa" w:w="210"/>
            </w:tcMar>
          </w:tcPr>
          <w:p>
            <w:pPr>
              <w:spacing w:after="80"/>
            </w:pPr>
            <w:r>
              <w:rPr>
                <w:b/>
                <w:bCs/>
                <w:color w:val="0B1B2B"/>
              </w:rPr>
              <w:t xml:space="preserve">Votre charte en une phrase</w:t>
            </w:r>
          </w:p>
          <w:p>
            <w:pPr>
              <w:spacing w:after="0" w:line="276"/>
            </w:pPr>
            <w:r>
              <w:t xml:space="preserve">J’utilise l’IA pour gagner du temps et créer, jamais avec des données d’élèves réelles, je vérifie ce qu’elle produit, et je reste responsable de ce que je diffuse.</w:t>
            </w:r>
          </w:p>
        </w:tc>
      </w:tr>
    </w:tbl>
    <w:p>
      <w:pPr>
        <w:pStyle w:val="Heading2"/>
      </w:pPr>
      <w:r>
        <w:t xml:space="preserve">Check-list avant de coller un contenu dans l’IA</w:t>
      </w:r>
    </w:p>
    <w:p>
      <w:pPr>
        <w:pStyle w:val="ListParagraph"/>
        <w:numPr>
          <w:ilvl w:val="1"/>
          <w:numId w:val="2"/>
        </w:numPr>
        <w:spacing w:after="70" w:line="276"/>
      </w:pPr>
      <w:r>
        <w:t xml:space="preserve">Ai-je retiré tout nom, prénom, classe, note, donnée identifiante ?</w:t>
      </w:r>
    </w:p>
    <w:p>
      <w:pPr>
        <w:pStyle w:val="ListParagraph"/>
        <w:numPr>
          <w:ilvl w:val="1"/>
          <w:numId w:val="2"/>
        </w:numPr>
        <w:spacing w:after="70" w:line="276"/>
      </w:pPr>
      <w:r>
        <w:t xml:space="preserve">Le contenu est-il sensible (RH, dossier individuel) ? Si oui, je m’abstiens.</w:t>
      </w:r>
    </w:p>
    <w:p>
      <w:pPr>
        <w:pStyle w:val="ListParagraph"/>
        <w:numPr>
          <w:ilvl w:val="1"/>
          <w:numId w:val="2"/>
        </w:numPr>
        <w:spacing w:after="70" w:line="276"/>
      </w:pPr>
      <w:r>
        <w:t xml:space="preserve">Vais-je vérifier les faits avant de réutiliser la réponse ?</w:t>
      </w:r>
    </w:p>
    <w:p>
      <w:pPr>
        <w:pStyle w:val="ListParagraph"/>
        <w:numPr>
          <w:ilvl w:val="1"/>
          <w:numId w:val="2"/>
        </w:numPr>
        <w:spacing w:after="70" w:line="276"/>
      </w:pPr>
      <w:r>
        <w:t xml:space="preserve">Suis-je prêt à assumer cette production comme la mienne ?</w:t>
      </w:r>
    </w:p>
    <w:p>
      <w:r>
        <w:br w:type="pag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F1F8FC" w:sz="2"/>
              <w:left w:val="single" w:color="07202F" w:sz="20"/>
              <w:bottom w:val="single" w:color="F1F8FC" w:sz="2"/>
              <w:right w:val="single" w:color="F1F8FC" w:sz="2"/>
            </w:tcBorders>
            <w:shd w:fill="F1F8FC" w:val="clear"/>
            <w:tcMar>
              <w:top w:type="dxa" w:w="150"/>
              <w:left w:type="dxa" w:w="210"/>
              <w:bottom w:type="dxa" w:w="150"/>
              <w:right w:type="dxa" w:w="210"/>
            </w:tcMar>
          </w:tcPr>
          <w:p>
            <w:pPr>
              <w:spacing w:after="90"/>
            </w:pPr>
            <w:r>
              <w:rPr>
                <w:b/>
                <w:bCs/>
                <w:color w:val="0091C7"/>
                <w:sz w:val="15"/>
                <w:szCs w:val="15"/>
              </w:rPr>
              <w:t xml:space="preserve">POUR ALLER PLUS LOIN</w:t>
            </w:r>
            <w:r>
              <w:rPr>
                <w:b/>
                <w:bCs/>
                <w:color w:val="0B1B2B"/>
                <w:sz w:val="20"/>
                <w:szCs w:val="20"/>
              </w:rPr>
              <w:t xml:space="preserve">   Savoir renoncer à l’IA</w:t>
            </w:r>
          </w:p>
          <w:p>
            <w:pPr>
              <w:spacing w:after="70" w:line="276"/>
            </w:pPr>
            <w:r>
              <w:rPr>
                <w:color w:val="33424E"/>
              </w:rPr>
              <w:t xml:space="preserve">Le meilleur usage de l’IA, c’est parfois de ne pas l’utiliser. Trois cas où l’on s’abstient : quand des données personnelles réelles sont en jeu ; quand la décision engage un étudiant (orientation, sanction) ; quand la valeur tient justement à l’effort humain (un mot personnel, un retour qui demande du tact).</w:t>
            </w:r>
          </w:p>
          <w:p>
            <w:pPr>
              <w:spacing w:after="0" w:line="276"/>
            </w:pPr>
            <w:r>
              <w:rPr>
                <w:color w:val="33424E"/>
              </w:rPr>
              <w:t xml:space="preserve">Savoir dire non à l’outil, c’est aussi cela, garder la main.</w:t>
            </w:r>
          </w:p>
        </w:tc>
      </w:tr>
    </w:tbl>
    <w:p>
      <w:pPr>
        <w:pStyle w:val="Heading1"/>
      </w:pPr>
      <w:r>
        <w:t xml:space="preserve">9. Questions fréquentes</w:t>
      </w:r>
    </w:p>
    <w:p>
      <w:pPr>
        <w:spacing w:after="50" w:before="120"/>
      </w:pPr>
      <w:r>
        <w:rPr>
          <w:b/>
          <w:bCs/>
          <w:color w:val="0B1B2B"/>
        </w:rPr>
        <w:t xml:space="preserve">« Faire faire à l’IA, ce n’est pas tricher ? »</w:t>
      </w:r>
    </w:p>
    <w:p>
      <w:pPr>
        <w:spacing w:after="140" w:line="288"/>
      </w:pPr>
      <w:r>
        <w:t xml:space="preserve">Non, tant que vous restez l’auteur et le responsable : l’IA accélère, vous concevez et validez. Ce serait de la triche de cesser d’exercer votre jugement — c’est justement ce qu’on ne fait pas.</w:t>
      </w:r>
    </w:p>
    <w:p>
      <w:pPr>
        <w:spacing w:after="50" w:before="120"/>
      </w:pPr>
      <w:r>
        <w:rPr>
          <w:b/>
          <w:bCs/>
          <w:color w:val="0B1B2B"/>
        </w:rPr>
        <w:t xml:space="preserve">« Vais-je devenir dépendant ? »</w:t>
      </w:r>
    </w:p>
    <w:p>
      <w:pPr>
        <w:spacing w:after="140" w:line="288"/>
      </w:pPr>
      <w:r>
        <w:t xml:space="preserve">Le risque existe si l’on délègue le jugement. Gardez la main : l’IA fait les brouillons et le répétitif, vous gardez les décisions et la relecture critique.</w:t>
      </w:r>
    </w:p>
    <w:p>
      <w:pPr>
        <w:spacing w:after="50" w:before="120"/>
      </w:pPr>
      <w:r>
        <w:rPr>
          <w:b/>
          <w:bCs/>
          <w:color w:val="0B1B2B"/>
        </w:rPr>
        <w:t xml:space="preserve">« Mes étudiants vont tricher, comment faire ? »</w:t>
      </w:r>
    </w:p>
    <w:p>
      <w:pPr>
        <w:spacing w:after="140" w:line="288"/>
      </w:pPr>
      <w:r>
        <w:t xml:space="preserve">C’est le vrai chantier pédagogique — celui de l’évaluation. On l’aborde à fond en Formation 2 (oral, présentiel, évaluer le raisonnement plus que le rendu).</w:t>
      </w:r>
    </w:p>
    <w:p>
      <w:pPr>
        <w:spacing w:after="50" w:before="120"/>
      </w:pPr>
      <w:r>
        <w:rPr>
          <w:b/>
          <w:bCs/>
          <w:color w:val="0B1B2B"/>
        </w:rPr>
        <w:t xml:space="preserve">« Est-ce fiable ? »</w:t>
      </w:r>
    </w:p>
    <w:p>
      <w:pPr>
        <w:spacing w:after="140" w:line="288"/>
      </w:pPr>
      <w:r>
        <w:t xml:space="preserve">Pas à 100 %. C’est précisément pour cela qu’on vérifie. Bien utilisée, l’IA est un formidable accélérateur ; jamais un oracle.</w:t>
      </w:r>
    </w:p>
    <w:p>
      <w:pPr>
        <w:spacing w:after="50" w:before="120"/>
      </w:pPr>
      <w:r>
        <w:rPr>
          <w:b/>
          <w:bCs/>
          <w:color w:val="0B1B2B"/>
        </w:rPr>
        <w:t xml:space="preserve">« Quel outil choisir pour démarrer ? »</w:t>
      </w:r>
    </w:p>
    <w:p>
      <w:pPr>
        <w:spacing w:after="140" w:line="288"/>
      </w:pPr>
      <w:r>
        <w:t xml:space="preserve">Un assistant conversationnel (Claude ou ChatGPT) pour les recettes du chapitre 5, NotebookLM pour la révision, Gamma pour les supports. Trois outils suffisent largement au début.</w:t>
      </w:r>
    </w:p>
    <w:p>
      <w:pPr>
        <w:spacing w:after="50" w:before="120"/>
      </w:pPr>
      <w:r>
        <w:rPr>
          <w:b/>
          <w:bCs/>
          <w:color w:val="0B1B2B"/>
        </w:rPr>
        <w:t xml:space="preserve">« Faut-il payer ? »</w:t>
      </w:r>
    </w:p>
    <w:p>
      <w:pPr>
        <w:spacing w:after="140" w:line="288"/>
      </w:pPr>
      <w:r>
        <w:t xml:space="preserve">Pas pour commencer : les versions gratuites couvrent l’essentiel. On ne passe à une version payante que lorsqu’un usage régulier le justifie.</w:t>
      </w:r>
    </w:p>
    <w:p>
      <w:pPr>
        <w:spacing w:after="50" w:before="120"/>
      </w:pPr>
      <w:r>
        <w:rPr>
          <w:b/>
          <w:bCs/>
          <w:color w:val="0B1B2B"/>
        </w:rPr>
        <w:t xml:space="preserve">« Et l’impact écologique ? »</w:t>
      </w:r>
    </w:p>
    <w:p>
      <w:pPr>
        <w:spacing w:after="140" w:line="288"/>
      </w:pPr>
      <w:r>
        <w:t xml:space="preserve">Il est réel et mérite d’être pris en compte. Un usage sobre et utile — plutôt que des générations à répétition « pour voir » — fait déjà une différence.</w:t>
      </w:r>
    </w:p>
    <w:p>
      <w:r>
        <w:br w:type="page"/>
      </w:r>
    </w:p>
    <w:p>
      <w:pPr>
        <w:pStyle w:val="Heading1"/>
      </w:pPr>
      <w:r>
        <w:t xml:space="preserve">10. Et après ?</w:t>
      </w:r>
    </w:p>
    <w:p>
      <w:pPr>
        <w:pStyle w:val="Heading3"/>
      </w:pPr>
      <w:r>
        <w:t xml:space="preserve">Votre engagement</w:t>
      </w:r>
    </w:p>
    <w:p>
      <w:pPr>
        <w:spacing w:after="140" w:line="288"/>
      </w:pPr>
      <w:r>
        <w:t xml:space="preserve">Choisissez une seule action, simple et atteignable, pour cette semaine. Une habitude naît d’un petit pas répété, pas d’une révolution.</w:t>
      </w:r>
    </w:p>
    <w:p>
      <w:pPr>
        <w:pStyle w:val="ListParagraph"/>
        <w:numPr>
          <w:ilvl w:val="1"/>
          <w:numId w:val="2"/>
        </w:numPr>
        <w:spacing w:after="70" w:line="276"/>
      </w:pPr>
      <w:r>
        <w:t xml:space="preserve">« Cette semaine, j’utilise l’IA pour ________________________. »</w:t>
      </w:r>
    </w:p>
    <w:p>
      <w:pPr>
        <w:pStyle w:val="ListParagraph"/>
        <w:numPr>
          <w:ilvl w:val="1"/>
          <w:numId w:val="2"/>
        </w:numPr>
        <w:spacing w:after="70" w:line="276"/>
      </w:pPr>
      <w:r>
        <w:t xml:space="preserve">« L’outil que je veux creuser en premier, c’est ________________________. »</w:t>
      </w:r>
    </w:p>
    <w:p>
      <w:pPr>
        <w:pStyle w:val="Heading3"/>
      </w:pPr>
      <w:r>
        <w:t xml:space="preserve">Votre veille permanente</w:t>
      </w:r>
    </w:p>
    <w:p>
      <w:pPr>
        <w:spacing w:after="140" w:line="288"/>
      </w:pPr>
      <w:r>
        <w:t xml:space="preserve">Pour ne rien rater des nouveautés utiles, suivez la veille IA sur Le Mag Tablonoir : l’actu triée pour des enseignants, en clair, sans bruit marketing.</w:t>
      </w:r>
    </w:p>
    <w:p>
      <w:pPr>
        <w:pStyle w:val="Heading3"/>
      </w:pPr>
      <w:r>
        <w:t xml:space="preserve">La suite : Formation 2</w:t>
      </w:r>
    </w:p>
    <w:p>
      <w:pPr>
        <w:spacing w:after="140" w:line="288"/>
      </w:pPr>
      <w:r>
        <w:t xml:space="preserve">« Concevoir avec l’IA » va plus loin : repenser l’évaluation à l’ère de l’IA, transmettre autrement (podcast, vidéo, multimodal), faire de l’IA un partenaire d’idéation, et automatiser le répétitif avec les agents.</w:t>
      </w:r>
    </w:p>
    <w:p>
      <w:pPr>
        <w:pStyle w:val="Heading3"/>
      </w:pPr>
      <w:r>
        <w:t xml:space="preserve">Pour aller plus loin</w:t>
      </w:r>
    </w:p>
    <w:p>
      <w:pPr>
        <w:pStyle w:val="ListParagraph"/>
        <w:numPr>
          <w:ilvl w:val="1"/>
          <w:numId w:val="2"/>
        </w:numPr>
        <w:spacing w:after="70" w:line="276"/>
      </w:pPr>
      <w:r>
        <w:t xml:space="preserve">Rejouez les huit recettes sur vos propres cours.</w:t>
      </w:r>
    </w:p>
    <w:p>
      <w:pPr>
        <w:pStyle w:val="ListParagraph"/>
        <w:numPr>
          <w:ilvl w:val="1"/>
          <w:numId w:val="2"/>
        </w:numPr>
        <w:spacing w:after="70" w:line="276"/>
      </w:pPr>
      <w:r>
        <w:t xml:space="preserve">Testez un nouvel outil par semaine, pas plus.</w:t>
      </w:r>
    </w:p>
    <w:p>
      <w:pPr>
        <w:pStyle w:val="ListParagraph"/>
        <w:numPr>
          <w:ilvl w:val="1"/>
          <w:numId w:val="2"/>
        </w:numPr>
        <w:spacing w:after="70" w:line="276"/>
      </w:pPr>
      <w:r>
        <w:t xml:space="preserve">Échangez vos meilleurs prompts avec vos collègues : c’est le meilleur accélérateur.</w:t>
      </w:r>
    </w:p>
    <w:p>
      <w:pPr>
        <w:spacing w:after="120"/>
      </w:pPr>
    </w:p>
    <w:p>
      <w:pPr>
        <w:pStyle w:val="Heading2"/>
      </w:pPr>
      <w:r>
        <w:t xml:space="preserve">Glossaire</w:t>
      </w:r>
    </w:p>
    <w:p>
      <w:pPr>
        <w:pStyle w:val="ListParagraph"/>
        <w:numPr>
          <w:ilvl w:val="0"/>
          <w:numId w:val="2"/>
        </w:numPr>
        <w:spacing w:after="70" w:line="276"/>
      </w:pPr>
      <w:r>
        <w:rPr>
          <w:b/>
          <w:bCs/>
        </w:rPr>
        <w:t xml:space="preserve">IA générative : </w:t>
      </w:r>
      <w:r>
        <w:t xml:space="preserve">une IA qui produit du contenu (texte, image, audio, vidéo) plutôt que de retrouver de l’existant.</w:t>
      </w:r>
    </w:p>
    <w:p>
      <w:pPr>
        <w:pStyle w:val="ListParagraph"/>
        <w:numPr>
          <w:ilvl w:val="0"/>
          <w:numId w:val="2"/>
        </w:numPr>
        <w:spacing w:after="70" w:line="276"/>
      </w:pPr>
      <w:r>
        <w:rPr>
          <w:b/>
          <w:bCs/>
        </w:rPr>
        <w:t xml:space="preserve">LLM : </w:t>
      </w:r>
      <w:r>
        <w:t xml:space="preserve">« grand modèle de langage », le moteur qui prédit le texte mot après mot.</w:t>
      </w:r>
    </w:p>
    <w:p>
      <w:pPr>
        <w:pStyle w:val="ListParagraph"/>
        <w:numPr>
          <w:ilvl w:val="0"/>
          <w:numId w:val="2"/>
        </w:numPr>
        <w:spacing w:after="70" w:line="276"/>
      </w:pPr>
      <w:r>
        <w:rPr>
          <w:b/>
          <w:bCs/>
        </w:rPr>
        <w:t xml:space="preserve">Prompt : </w:t>
      </w:r>
      <w:r>
        <w:t xml:space="preserve">ce que vous écrivez à l’IA pour lancer et guider la conversation.</w:t>
      </w:r>
    </w:p>
    <w:p>
      <w:pPr>
        <w:pStyle w:val="ListParagraph"/>
        <w:numPr>
          <w:ilvl w:val="0"/>
          <w:numId w:val="2"/>
        </w:numPr>
        <w:spacing w:after="70" w:line="276"/>
      </w:pPr>
      <w:r>
        <w:rPr>
          <w:b/>
          <w:bCs/>
        </w:rPr>
        <w:t xml:space="preserve">Hallucination : </w:t>
      </w:r>
      <w:r>
        <w:t xml:space="preserve">une réponse plausible mais fausse, produite avec assurance.</w:t>
      </w:r>
    </w:p>
    <w:p>
      <w:pPr>
        <w:pStyle w:val="ListParagraph"/>
        <w:numPr>
          <w:ilvl w:val="0"/>
          <w:numId w:val="2"/>
        </w:numPr>
        <w:spacing w:after="70" w:line="276"/>
      </w:pPr>
      <w:r>
        <w:rPr>
          <w:b/>
          <w:bCs/>
        </w:rPr>
        <w:t xml:space="preserve">Fenêtre de contexte : </w:t>
      </w:r>
      <w:r>
        <w:t xml:space="preserve">la « mémoire de travail » du modèle pendant une conversation.</w:t>
      </w:r>
    </w:p>
    <w:p>
      <w:pPr>
        <w:pStyle w:val="ListParagraph"/>
        <w:numPr>
          <w:ilvl w:val="0"/>
          <w:numId w:val="2"/>
        </w:numPr>
        <w:spacing w:after="70" w:line="276"/>
      </w:pPr>
      <w:r>
        <w:rPr>
          <w:b/>
          <w:bCs/>
        </w:rPr>
        <w:t xml:space="preserve">Date de coupure : </w:t>
      </w:r>
      <w:r>
        <w:t xml:space="preserve">la limite temporelle des connaissances d’un modèle.</w:t>
      </w:r>
    </w:p>
    <w:p>
      <w:pPr>
        <w:pStyle w:val="ListParagraph"/>
        <w:numPr>
          <w:ilvl w:val="0"/>
          <w:numId w:val="2"/>
        </w:numPr>
        <w:spacing w:after="70" w:line="276"/>
      </w:pPr>
      <w:r>
        <w:rPr>
          <w:b/>
          <w:bCs/>
        </w:rPr>
        <w:t xml:space="preserve">Agent : </w:t>
      </w:r>
      <w:r>
        <w:t xml:space="preserve">une IA qui exécute des tâches en plusieurs étapes, pas seulement répondre.</w:t>
      </w:r>
    </w:p>
    <w:p>
      <w:pPr>
        <w:pStyle w:val="ListParagraph"/>
        <w:numPr>
          <w:ilvl w:val="0"/>
          <w:numId w:val="2"/>
        </w:numPr>
        <w:spacing w:after="70" w:line="276"/>
      </w:pPr>
      <w:r>
        <w:rPr>
          <w:b/>
          <w:bCs/>
        </w:rPr>
        <w:t xml:space="preserve">Multimodal : </w:t>
      </w:r>
      <w:r>
        <w:t xml:space="preserve">capable de traiter ou produire plusieurs formats (texte, image, son).</w:t>
      </w:r>
    </w:p>
    <w:p>
      <w:pPr>
        <w:pStyle w:val="ListParagraph"/>
        <w:numPr>
          <w:ilvl w:val="0"/>
          <w:numId w:val="2"/>
        </w:numPr>
        <w:spacing w:after="70" w:line="276"/>
      </w:pPr>
      <w:r>
        <w:rPr>
          <w:b/>
          <w:bCs/>
        </w:rPr>
        <w:t xml:space="preserve">No-code : </w:t>
      </w:r>
      <w:r>
        <w:t xml:space="preserve">créer un outil sans écrire de code, en décrivant ce que l’on veut.</w:t>
      </w:r>
    </w:p>
    <w:p>
      <w:r>
        <w:br w:type="pag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F1F8FC" w:sz="2"/>
              <w:left w:val="single" w:color="07202F" w:sz="20"/>
              <w:bottom w:val="single" w:color="F1F8FC" w:sz="2"/>
              <w:right w:val="single" w:color="F1F8FC" w:sz="2"/>
            </w:tcBorders>
            <w:shd w:fill="F1F8FC" w:val="clear"/>
            <w:tcMar>
              <w:top w:type="dxa" w:w="150"/>
              <w:left w:type="dxa" w:w="210"/>
              <w:bottom w:type="dxa" w:w="150"/>
              <w:right w:type="dxa" w:w="210"/>
            </w:tcMar>
          </w:tcPr>
          <w:p>
            <w:pPr>
              <w:spacing w:after="90"/>
            </w:pPr>
            <w:r>
              <w:rPr>
                <w:b/>
                <w:bCs/>
                <w:color w:val="0091C7"/>
                <w:sz w:val="15"/>
                <w:szCs w:val="15"/>
              </w:rPr>
              <w:t xml:space="preserve">POUR ALLER PLUS LOIN</w:t>
            </w:r>
            <w:r>
              <w:rPr>
                <w:b/>
                <w:bCs/>
                <w:color w:val="0B1B2B"/>
                <w:sz w:val="20"/>
                <w:szCs w:val="20"/>
              </w:rPr>
              <w:t xml:space="preserve">   Ressources pour creuser</w:t>
            </w:r>
          </w:p>
          <w:p>
            <w:pPr>
              <w:spacing w:after="70" w:line="276"/>
            </w:pPr>
            <w:r>
              <w:rPr>
                <w:color w:val="33424E"/>
              </w:rPr>
              <w:t xml:space="preserve">Le Référentiel de compétences en IA pour les enseignants de l’UNESCO (2024, version française 2025) : un cadre reconnu, structuré en « Acquérir → Approfondir → Créer » — la progression même de ces deux journées.</w:t>
            </w:r>
          </w:p>
          <w:p>
            <w:pPr>
              <w:spacing w:after="70" w:line="276"/>
            </w:pPr>
            <w:r>
              <w:rPr>
                <w:color w:val="33424E"/>
              </w:rPr>
              <w:t xml:space="preserve">Le cadre AILit (OCDE / Commission européenne, 2025), pour une lecture par domaines : s’engager, créer, gérer et concevoir l’IA.</w:t>
            </w:r>
          </w:p>
          <w:p>
            <w:pPr>
              <w:spacing w:after="0" w:line="276"/>
            </w:pPr>
            <w:r>
              <w:rPr>
                <w:color w:val="33424E"/>
              </w:rPr>
              <w:t xml:space="preserve">Pour le prompt et les outils : le guide « L’IA Générative — Guide Complet » de Christophe Bruneau (2026), dont la philosophie rejoint celle de cette formation.</w:t>
            </w:r>
          </w:p>
        </w:tc>
      </w:tr>
    </w:tbl>
    <w:p>
      <w:pPr>
        <w:pStyle w:val="Heading1"/>
      </w:pPr>
      <w:r>
        <w:t xml:space="preserve">Annexes — à détacher et garder</w:t>
      </w:r>
    </w:p>
    <w:p>
      <w:pPr>
        <w:pStyle w:val="Heading2"/>
      </w:pPr>
      <w:r>
        <w:t xml:space="preserve">A. Gabarit de prompt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CCCCCC" w:sz="1"/>
              <w:left w:val="single" w:color="CCCCCC" w:sz="1"/>
              <w:bottom w:val="single" w:color="CCCCCC" w:sz="1"/>
              <w:right w:val="single" w:color="CCCCCC" w:sz="1"/>
            </w:tcBorders>
            <w:shd w:fill="07202F" w:val="clear"/>
            <w:tcMar>
              <w:top w:type="dxa" w:w="130"/>
              <w:left w:type="dxa" w:w="210"/>
              <w:bottom w:type="dxa" w:w="130"/>
              <w:right w:type="dxa" w:w="210"/>
            </w:tcMar>
          </w:tcPr>
          <w:p>
            <w:pPr>
              <w:spacing w:after="70"/>
            </w:pPr>
            <w:r>
              <w:rPr>
                <w:b/>
                <w:bCs/>
                <w:color w:val="00BFFF"/>
                <w:sz w:val="18"/>
                <w:szCs w:val="18"/>
              </w:rPr>
              <w:t xml:space="preserve">À copier et remplir</w:t>
            </w:r>
          </w:p>
          <w:p>
            <w:pPr>
              <w:spacing w:after="0"/>
            </w:pPr>
            <w:r>
              <w:rPr>
                <w:i/>
                <w:iCs/>
                <w:color w:val="DCE8EE"/>
              </w:rPr>
              <w:t xml:space="preserve">Contexte : je suis [rôle], pour [public], dans le cadre de [cours / durée].
Objectif : [ce que tu dois produire].
Format : [structure, longueur].
Contraintes : [ton, niveau, ce qu’il faut éviter].
Exemple (facultatif) : [coller un modèle].</w:t>
            </w:r>
          </w:p>
        </w:tc>
      </w:tr>
    </w:tbl>
    <w:p>
      <w:pPr>
        <w:pStyle w:val="Heading2"/>
      </w:pPr>
      <w:r>
        <w:t xml:space="preserve">B. Check-list RGPD</w:t>
      </w:r>
    </w:p>
    <w:p>
      <w:pPr>
        <w:pStyle w:val="ListParagraph"/>
        <w:numPr>
          <w:ilvl w:val="1"/>
          <w:numId w:val="2"/>
        </w:numPr>
        <w:spacing w:after="70" w:line="276"/>
      </w:pPr>
      <w:r>
        <w:t xml:space="preserve">Aucun nom, prénom, classe, note ou donnée identifiante dans ma demande.</w:t>
      </w:r>
    </w:p>
    <w:p>
      <w:pPr>
        <w:pStyle w:val="ListParagraph"/>
        <w:numPr>
          <w:ilvl w:val="1"/>
          <w:numId w:val="2"/>
        </w:numPr>
        <w:spacing w:after="70" w:line="276"/>
      </w:pPr>
      <w:r>
        <w:t xml:space="preserve">Données fictives ou anonymisées pour tout cas « réel ».</w:t>
      </w:r>
    </w:p>
    <w:p>
      <w:pPr>
        <w:pStyle w:val="ListParagraph"/>
        <w:numPr>
          <w:ilvl w:val="1"/>
          <w:numId w:val="2"/>
        </w:numPr>
        <w:spacing w:after="70" w:line="276"/>
      </w:pPr>
      <w:r>
        <w:t xml:space="preserve">Contenu non sensible (sinon, je m’abstiens).</w:t>
      </w:r>
    </w:p>
    <w:p>
      <w:pPr>
        <w:pStyle w:val="ListParagraph"/>
        <w:numPr>
          <w:ilvl w:val="1"/>
          <w:numId w:val="2"/>
        </w:numPr>
        <w:spacing w:after="70" w:line="276"/>
      </w:pPr>
      <w:r>
        <w:t xml:space="preserve">Faits à vérifier avant réutilisation.</w:t>
      </w:r>
    </w:p>
    <w:p>
      <w:pPr>
        <w:pStyle w:val="Heading2"/>
      </w:pPr>
      <w:r>
        <w:t xml:space="preserve">C. Grille de relecture d’une production 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800"/>
        <w:gridCol w:w="2220"/>
      </w:tblGrid>
      <w:tr>
        <w:trPr>
          <w:tblHeader/>
        </w:trPr>
        <w:tc>
          <w:tcPr>
            <w:tcW w:type="dxa" w:w="680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Je vérifie…</w:t>
            </w:r>
          </w:p>
        </w:tc>
        <w:tc>
          <w:tcPr>
            <w:tcW w:type="dxa" w:w="2220"/>
            <w:tcBorders>
              <w:top w:val="single" w:color="CCCCCC" w:sz="1"/>
              <w:left w:val="single" w:color="CCCCCC" w:sz="1"/>
              <w:bottom w:val="single" w:color="CCCCCC" w:sz="1"/>
              <w:right w:val="single" w:color="CCCCCC" w:sz="1"/>
            </w:tcBorders>
            <w:shd w:fill="0B1B2B" w:val="clear"/>
            <w:tcMar>
              <w:top w:type="dxa" w:w="80"/>
              <w:left w:type="dxa" w:w="130"/>
              <w:bottom w:type="dxa" w:w="80"/>
              <w:right w:type="dxa" w:w="130"/>
            </w:tcMar>
          </w:tcPr>
          <w:p>
            <w:r>
              <w:rPr>
                <w:b/>
                <w:bCs/>
                <w:color w:val="FFFFFF"/>
              </w:rPr>
              <w:t xml:space="preserve">Oui / Non</w:t>
            </w:r>
          </w:p>
        </w:tc>
      </w:tr>
      <w:tr>
        <w:tc>
          <w:tcPr>
            <w:tcW w:type="dxa" w:w="68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Les faits et chiffres sont exacts</w:t>
            </w:r>
          </w:p>
        </w:tc>
        <w:tc>
          <w:tcPr>
            <w:tcW w:type="dxa" w:w="22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Le niveau correspond à mon public</w:t>
            </w:r>
          </w:p>
        </w:tc>
        <w:tc>
          <w:tcPr>
            <w:tcW w:type="dxa" w:w="22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
            </w:r>
          </w:p>
        </w:tc>
      </w:tr>
      <w:tr>
        <w:tc>
          <w:tcPr>
            <w:tcW w:type="dxa" w:w="68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Aucun biais ou stéréotype</w:t>
            </w:r>
          </w:p>
        </w:tc>
        <w:tc>
          <w:tcPr>
            <w:tcW w:type="dxa" w:w="22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Le ton est conforme à mon intention</w:t>
            </w:r>
          </w:p>
        </w:tc>
        <w:tc>
          <w:tcPr>
            <w:tcW w:type="dxa" w:w="222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spacing w:line="264"/>
            </w:pPr>
            <w:r>
              <w:t xml:space="preserve"/>
            </w:r>
          </w:p>
        </w:tc>
      </w:tr>
      <w:tr>
        <w:tc>
          <w:tcPr>
            <w:tcW w:type="dxa" w:w="680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Je peux assumer ce contenu comme le mien</w:t>
            </w:r>
          </w:p>
        </w:tc>
        <w:tc>
          <w:tcPr>
            <w:tcW w:type="dxa" w:w="2220"/>
            <w:tcBorders>
              <w:top w:val="single" w:color="CCCCCC" w:sz="1"/>
              <w:left w:val="single" w:color="CCCCCC" w:sz="1"/>
              <w:bottom w:val="single" w:color="CCCCCC" w:sz="1"/>
              <w:right w:val="single" w:color="CCCCCC" w:sz="1"/>
            </w:tcBorders>
            <w:shd w:fill="F1F8FC" w:val="clear"/>
            <w:tcMar>
              <w:top w:type="dxa" w:w="70"/>
              <w:left w:type="dxa" w:w="130"/>
              <w:bottom w:type="dxa" w:w="70"/>
              <w:right w:type="dxa" w:w="130"/>
            </w:tcMar>
          </w:tcPr>
          <w:p>
            <w:pPr>
              <w:spacing w:line="264"/>
            </w:pPr>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707E"/>
        <w:sz w:val="16"/>
        <w:szCs w:val="16"/>
      </w:rPr>
      <w:t xml:space="preserve">Niveau 1 · page </w:t>
    </w:r>
    <w:r>
      <w:rPr>
        <w:color w:val="5E70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color w:val="5E707E"/>
        <w:sz w:val="16"/>
        <w:szCs w:val="16"/>
      </w:rPr>
      <w:t xml:space="preserve">Travailler mieux avec l’IA — Manuel participant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ost Grotesk" w:cs="Host Grotesk" w:eastAsia="Host Grotesk" w:hAnsi="Host Grotesk"/>
        <w:color w:val="1C2A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FFF" w:sz="8" w:space="4"/>
      </w:pBdr>
      <w:spacing w:after="200" w:before="300"/>
      <w:outlineLvl w:val="0"/>
    </w:pPr>
    <w:rPr>
      <w:rFonts w:ascii="Host Grotesk" w:cs="Host Grotesk" w:eastAsia="Host Grotesk" w:hAnsi="Host Grotesk"/>
      <w:b/>
      <w:bCs/>
      <w:color w:val="0B1B2B"/>
      <w:sz w:val="34"/>
      <w:szCs w:val="34"/>
    </w:rPr>
  </w:style>
  <w:style w:type="paragraph" w:styleId="Heading2">
    <w:name w:val="Heading 2"/>
    <w:basedOn w:val="Normal"/>
    <w:next w:val="Normal"/>
    <w:qFormat/>
    <w:pPr>
      <w:spacing w:after="120" w:before="260"/>
      <w:outlineLvl w:val="1"/>
    </w:pPr>
    <w:rPr>
      <w:rFonts w:ascii="Host Grotesk" w:cs="Host Grotesk" w:eastAsia="Host Grotesk" w:hAnsi="Host Grotesk"/>
      <w:b/>
      <w:bCs/>
      <w:color w:val="0B1B2B"/>
      <w:sz w:val="27"/>
      <w:szCs w:val="27"/>
    </w:rPr>
  </w:style>
  <w:style w:type="paragraph" w:styleId="Heading3">
    <w:name w:val="Heading 3"/>
    <w:basedOn w:val="Normal"/>
    <w:next w:val="Normal"/>
    <w:qFormat/>
    <w:pPr>
      <w:spacing w:after="80" w:before="200"/>
      <w:outlineLvl w:val="2"/>
    </w:pPr>
    <w:rPr>
      <w:rFonts w:ascii="Host Grotesk" w:cs="Host Grotesk" w:eastAsia="Host Grotesk" w:hAnsi="Host Grotesk"/>
      <w:b/>
      <w:bCs/>
      <w:color w:val="0091C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18e9e535e6bcf758fadfbe8f412d4bfef11c7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Travailler mieux avec l’IA — Manuel participant (Niveau 1)</dc:title>
  <dc:creator>Formation IA</dc:creator>
  <cp:lastModifiedBy>Un-named</cp:lastModifiedBy>
  <cp:revision>1</cp:revision>
  <dcterms:created xsi:type="dcterms:W3CDTF">2026-06-17T11:44:26.374Z</dcterms:created>
  <dcterms:modified xsi:type="dcterms:W3CDTF">2026-06-17T11:44:26.374Z</dcterms:modified>
</cp:coreProperties>
</file>

<file path=docProps/custom.xml><?xml version="1.0" encoding="utf-8"?>
<Properties xmlns="http://schemas.openxmlformats.org/officeDocument/2006/custom-properties" xmlns:vt="http://schemas.openxmlformats.org/officeDocument/2006/docPropsVTypes"/>
</file>