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200"/>
      </w:pPr>
      <w:r>
        <w:drawing>
          <wp:inline distT="0" distB="0" distL="0" distR="0">
            <wp:extent cx="5715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</w:pPr>
      <w:r>
        <w:rPr>
          <w:b/>
          <w:bCs/>
          <w:color w:val="00BFFF"/>
          <w:sz w:val="22"/>
          <w:szCs w:val="22"/>
        </w:rPr>
        <w:t xml:space="preserve">MANUEL DE FORMATION — NIVEAU AVANCÉ</w:t>
      </w:r>
    </w:p>
    <w:p>
      <w:pPr>
        <w:spacing w:before="180"/>
      </w:pPr>
      <w:r>
        <w:rPr>
          <w:b/>
          <w:bCs/>
          <w:color w:val="0B1B2B"/>
          <w:sz w:val="60"/>
          <w:szCs w:val="60"/>
        </w:rPr>
        <w:t xml:space="preserve">Concevoir avec l’IA</w:t>
      </w:r>
    </w:p>
    <w:p>
      <w:pPr>
        <w:spacing w:before="120"/>
      </w:pPr>
      <w:r>
        <w:rPr>
          <w:color w:val="0B1B2B"/>
          <w:sz w:val="28"/>
          <w:szCs w:val="28"/>
        </w:rPr>
        <w:t xml:space="preserve">De l’idée au support : l’IA comme partenaire de conception</w:t>
      </w:r>
    </w:p>
    <w:p>
      <w:pPr>
        <w:spacing w:after="500" w:before="80"/>
      </w:pPr>
      <w:r>
        <w:rPr>
          <w:i/>
          <w:iCs/>
          <w:color w:val="5E707E"/>
          <w:sz w:val="24"/>
          <w:szCs w:val="24"/>
        </w:rPr>
        <w:t xml:space="preserve">Niveau 2 · Enseignants du supérieur tertiaire (BTS → Master) · commerce, gestion, RH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F1F8FC" w:sz="2"/>
              <w:left w:val="single" w:color="00BFFF" w:sz="20"/>
              <w:bottom w:val="single" w:color="F1F8FC" w:sz="2"/>
              <w:right w:val="single" w:color="F1F8FC" w:sz="2"/>
            </w:tcBorders>
            <w:shd w:fill="F1F8FC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0" w:line="276"/>
            </w:pPr>
            <w:r>
              <w:t xml:space="preserve">Ce manuel prolonge la Formation 1. On y passe du « faire plus vite » au « concevoir autrement » : idéer, repenser l’évaluation, transmettre par plusieurs canaux et déléguer le répétitif. Comme le premier, il est conçu pour servir pendant les ateliers et bien après : gardez-le sous la main.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</w:pPr>
      <w:r>
        <w:rPr>
          <w:i/>
          <w:iCs/>
          <w:color w:val="5E707E"/>
          <w:sz w:val="18"/>
          <w:szCs w:val="18"/>
        </w:rPr>
        <w:t xml:space="preserve">(Dans Word : clic droit sur le sommaire › Mettre à jour les champs.)</w:t>
      </w:r>
    </w:p>
    <w:p>
      <w:r>
        <w:br w:type="page"/>
      </w:r>
    </w:p>
    <w:p>
      <w:pPr>
        <w:pStyle w:val="Heading1"/>
      </w:pPr>
      <w:r>
        <w:t xml:space="preserve">1. Bienvenue dans la suite</w:t>
      </w:r>
    </w:p>
    <w:p>
      <w:pPr>
        <w:spacing w:after="140" w:line="288"/>
      </w:pPr>
      <w:r>
        <w:t xml:space="preserve">En Formation 1, vous avez apprivoisé l’IA : comprendre ce qu’elle est, désamorcer les craintes, gagner du temps sur le quotidien. Cette deuxième journée change de posture. On ne se contente plus d’exécuter — on conçoit. L’IA devient un partenaire de travail intellectuel, pas seulement un accélérateur de tâches.</w:t>
      </w:r>
    </w:p>
    <w:p>
      <w:pPr>
        <w:spacing w:after="140" w:line="288"/>
      </w:pPr>
      <w:r>
        <w:t xml:space="preserve">Le fil rouge ne change pas : l’idée d’abord, l’outil ensuite. Mais on l’applique à des chantiers plus ambitieux : la conception de séquences, la refonte de l’évaluation, la transmission multimodale et l’automatisation du répétitif.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Le cap de la journée</w:t>
            </w:r>
          </w:p>
          <w:p>
            <w:pPr>
              <w:spacing w:after="0" w:line="276"/>
            </w:pPr>
            <w:r>
              <w:t xml:space="preserve">Faire de l’IA un partenaire de conception — pour idéer, repenser l’évaluation, transmettre autrement et déléguer le répétitif — sans jamais lâcher l’intention pédagogique.</w:t>
            </w:r>
          </w:p>
        </w:tc>
      </w:tr>
    </w:tbl>
    <w:p>
      <w:pPr>
        <w:pStyle w:val="Heading3"/>
      </w:pPr>
      <w:r>
        <w:t xml:space="preserve">Ce que vous saurez faire à la fin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Utiliser l’IA comme sparring-partner d’idéation, et non comme simple exécutant.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Mener une vraie conversation (prompting avancé) et lui faire critiquer son propre travail.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Concevoir une séquence pédagogique complète, de l’objectif à l’évaluation.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Repenser une évaluation pour qu’elle résiste à un simple copier-coller d’IA.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Construire un parcours multimodal et automatiser une tâche récurrente avec un agent.</w:t>
      </w:r>
    </w:p>
    <w:p>
      <w:pPr>
        <w:pStyle w:val="Heading3"/>
      </w:pPr>
      <w:r>
        <w:t xml:space="preserve">Le programme de la journée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Temps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Séquence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Ce que vous en retirez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Matin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Idéation &amp; postures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faire de l’IA un partenaire de réflexion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Matin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Prompting avancé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mener une conversation, faire critiquer l’IA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Matin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Concevoir une séquence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une séquence conçue de bout en bout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Après-midi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Repenser l’évaluation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des évaluations à l’épreuve de l’IA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Après-midi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Transmettre autrement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un parcours multimodal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Après-midi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Déléguer aux agents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une tâche répétitive automatisée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L’IA, partenaire d’idéation</w:t>
      </w:r>
    </w:p>
    <w:p>
      <w:pPr>
        <w:spacing w:after="140" w:line="288"/>
      </w:pPr>
      <w:r>
        <w:t xml:space="preserve">Le premier réflexe, quand on connaît l’IA, est de lui demander de produire : « fais-moi un cas, rédige un QCM ». C’est utile, mais c’est la petite moitié de sa valeur. L’autre moitié — la plus intéressante — c’est de s’en servir pour penser : pour explorer, confronter, structurer vos idées avant même de produire quoi que ce soit.</w:t>
      </w:r>
    </w:p>
    <w:p>
      <w:pPr>
        <w:spacing w:after="140" w:line="288"/>
      </w:pPr>
      <w:r>
        <w:t xml:space="preserve">L’IA ne pense pas à votre place. Elle fait rebondir votre idée, l’élargit, la met à l’épreuve. Vous gardez la main sur l’intention, le sens et le choix final — et c’est là que votre expertise compte le plus.</w:t>
      </w:r>
    </w:p>
    <w:p>
      <w:pPr>
        <w:pStyle w:val="Heading2"/>
      </w:pPr>
      <w:r>
        <w:t xml:space="preserve">Trois postures d’idéation</w:t>
      </w:r>
    </w:p>
    <w:p>
      <w:pPr>
        <w:pStyle w:val="Heading3"/>
      </w:pPr>
      <w:r>
        <w:t xml:space="preserve">Brainstormer</w:t>
      </w:r>
    </w:p>
    <w:p>
      <w:pPr>
        <w:spacing w:after="140" w:line="288"/>
      </w:pPr>
      <w:r>
        <w:t xml:space="preserve">Demandez beaucoup, triez ensuite. « Propose-moi vingt angles pour aborder la fidélisation client en cours » produit une matière brute où deux ou trois idées vaudront le coup. La quantité d’abord libère la créativité ; la sélection, c’est vous.</w:t>
      </w:r>
    </w:p>
    <w:p>
      <w:pPr>
        <w:pStyle w:val="Heading3"/>
      </w:pPr>
      <w:r>
        <w:t xml:space="preserve">Challenger</w:t>
      </w:r>
    </w:p>
    <w:p>
      <w:pPr>
        <w:spacing w:after="140" w:line="288"/>
      </w:pPr>
      <w:r>
        <w:t xml:space="preserve">Faites-lui jouer l’avocat du diable. « Voici mon idée d’activité ; donne-moi trois raisons pour lesquelles elle pourrait ne pas fonctionner en classe. » Une IDée qui survit à la critique en ressort plus solide ; une idée qui tombe vous a fait gagner une séance ratée.</w:t>
      </w:r>
    </w:p>
    <w:p>
      <w:pPr>
        <w:pStyle w:val="Heading3"/>
      </w:pPr>
      <w:r>
        <w:t xml:space="preserve">Structurer</w:t>
      </w:r>
    </w:p>
    <w:p>
      <w:pPr>
        <w:spacing w:after="140" w:line="288"/>
      </w:pPr>
      <w:r>
        <w:t xml:space="preserve">Donnez-lui un brouillon en vrac — vos notes, vos idées jetées pêle-mêle — et demandez-lui de l’organiser : « range ça en trois parties logiques, signale ce qui manque ». Elle excelle à mettre de l’ordre dans une pensée déjà là.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Le piège à éviter : la complaisance</w:t>
            </w:r>
          </w:p>
          <w:p>
            <w:pPr>
              <w:spacing w:after="0" w:line="276"/>
            </w:pPr>
            <w:r>
              <w:t xml:space="preserve">Par défaut, l’IA cherche à vous faire plaisir : elle valide, elle encourage. Pour qu’elle vous soit utile en idéation, exigez l’inverse : « sois critique », « cherche les failles », « qu’est-ce qui ne marchera pas ? ». Une IA trop gentille ne fait pas avancer.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Prompting avancé : mener une conversation</w:t>
      </w:r>
    </w:p>
    <w:p>
      <w:pPr>
        <w:spacing w:after="140" w:line="288"/>
      </w:pPr>
      <w:r>
        <w:t xml:space="preserve">En Formation 1, on a vu les briques d’un bon prompt. Ici, on monte d’un cran : on passe du prompt unique à la conversation construite. Un échange mené par étapes vaut dix demandes isolées, parce que l’IA garde le contexte et que vous corrigez en route.</w:t>
      </w:r>
    </w:p>
    <w:p>
      <w:pPr>
        <w:spacing w:after="140" w:line="288"/>
      </w:pPr>
      <w:r>
        <w:t xml:space="preserve">L’idée n’est pas d’apprendre des « formules » — elles vieillissent vite et n’apportent rien. L’idée est une posture : conduire l’IA comme on mènerait un entretien, en sachant où l’on va.</w:t>
      </w:r>
    </w:p>
    <w:p>
      <w:pPr>
        <w:pStyle w:val="Heading2"/>
      </w:pPr>
      <w:r>
        <w:t xml:space="preserve">Six leviers pour aller plus loin</w:t>
      </w:r>
    </w:p>
    <w:p>
      <w:pPr>
        <w:pStyle w:val="Heading3"/>
      </w:pPr>
      <w:r>
        <w:t xml:space="preserve">Le rôle (persona)</w:t>
      </w:r>
    </w:p>
    <w:p>
      <w:pPr>
        <w:spacing w:after="140" w:line="288"/>
      </w:pPr>
      <w:r>
        <w:t xml:space="preserve">« Agis comme un examinateur de BTS exigeant » oriente immédiatement le registre, le niveau d’exigence et le vocabulaire. Donner un rôle est souvent le levier le plus puissant.</w:t>
      </w:r>
    </w:p>
    <w:p>
      <w:pPr>
        <w:pStyle w:val="Heading3"/>
      </w:pPr>
      <w:r>
        <w:t xml:space="preserve">Les exemples</w:t>
      </w:r>
    </w:p>
    <w:p>
      <w:pPr>
        <w:spacing w:after="140" w:line="288"/>
      </w:pPr>
      <w:r>
        <w:t xml:space="preserve">Montrez un modèle de ce que vous attendez. Coller un exemple de « bonne copie » ou de « bon cas » cadre la cible bien mieux qu’une description abstraite.</w:t>
      </w:r>
    </w:p>
    <w:p>
      <w:pPr>
        <w:pStyle w:val="Heading3"/>
      </w:pPr>
      <w:r>
        <w:t xml:space="preserve">Les étapes</w:t>
      </w:r>
    </w:p>
    <w:p>
      <w:pPr>
        <w:spacing w:after="140" w:line="288"/>
      </w:pPr>
      <w:r>
        <w:t xml:space="preserve">Découpez les tâches complexes : « d’abord propose un plan, je valide, ensuite tu rédiges ». Vous évitez les longues réponses hors-sujet et gardez le contrôle à chaque palier.</w:t>
      </w:r>
    </w:p>
    <w:p>
      <w:pPr>
        <w:pStyle w:val="Heading3"/>
      </w:pPr>
      <w:r>
        <w:t xml:space="preserve">Faire critiquer</w:t>
      </w:r>
    </w:p>
    <w:p>
      <w:pPr>
        <w:spacing w:after="140" w:line="288"/>
      </w:pPr>
      <w:r>
        <w:t xml:space="preserve">Demandez à l’IA d’évaluer sa propre production : « quelles sont les trois faiblesses de ta réponse ? ». C’est la méthode la plus rentable du prompting avancé (voir ci-dessous).</w:t>
      </w:r>
    </w:p>
    <w:p>
      <w:pPr>
        <w:pStyle w:val="Heading3"/>
      </w:pPr>
      <w:r>
        <w:t xml:space="preserve">Les contraintes</w:t>
      </w:r>
    </w:p>
    <w:p>
      <w:pPr>
        <w:spacing w:after="140" w:line="288"/>
      </w:pPr>
      <w:r>
        <w:t xml:space="preserve">Le ton, la longueur, et surtout ce qu’on veut éviter : « pas de jargon », « ne donne pas la solution, seulement des indices », « reste sous 300 mots ».</w:t>
      </w:r>
    </w:p>
    <w:p>
      <w:pPr>
        <w:pStyle w:val="Heading3"/>
      </w:pPr>
      <w:r>
        <w:t xml:space="preserve">La mémoire</w:t>
      </w:r>
    </w:p>
    <w:p>
      <w:pPr>
        <w:spacing w:after="140" w:line="288"/>
      </w:pPr>
      <w:r>
        <w:t xml:space="preserve">Sur une longue conversation, rappelez le contexte utile (« pour rappel, c’est pour des BTS 1re année »). L’IA « oublie » au fil de l’échange ; un rappel la remet sur les rails.</w:t>
      </w:r>
    </w:p>
    <w:p>
      <w:pPr>
        <w:pStyle w:val="Heading2"/>
      </w:pPr>
      <w:r>
        <w:t xml:space="preserve">La méthode qui change tout : faire critiquer l’IA par l’IA</w:t>
      </w:r>
    </w:p>
    <w:p>
      <w:pPr>
        <w:spacing w:after="140" w:line="288"/>
      </w:pPr>
      <w:r>
        <w:t xml:space="preserve">C’est probablement la technique la plus utile de toute la journée, et elle tient en trois temps.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Obtenez un premier jet (un cas, une consigne, un support).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Demandez-lui de se critiquer : « relis ta réponse et liste trois faiblesses ou angles morts 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Demandez l’amélioration ciblée sur ces trois points — puis tranchez vous-même.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202F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70"/>
            </w:pPr>
            <w:r>
              <w:rPr>
                <w:b/>
                <w:bCs/>
                <w:color w:val="00BFFF"/>
                <w:sz w:val="18"/>
                <w:szCs w:val="18"/>
              </w:rPr>
              <w:t xml:space="preserve">Exemple, en deux messages</w:t>
            </w:r>
          </w:p>
          <w:p>
            <w:pPr>
              <w:spacing w:after="50"/>
            </w:pPr>
            <w:r>
              <w:rPr>
                <w:i/>
                <w:iCs/>
                <w:color w:val="DCE8EE"/>
              </w:rPr>
              <w:t xml:space="preserve">1) Écris une étude de cas sur la gestion d’un conflit d’équipe en point de vente, pour des BTS MCO 2e année.</w:t>
            </w:r>
          </w:p>
          <w:p>
            <w:pPr>
              <w:spacing w:after="0"/>
            </w:pPr>
            <w:r>
              <w:rPr>
                <w:i/>
                <w:iCs/>
                <w:color w:val="DCE8EE"/>
              </w:rPr>
              <w:t xml:space="preserve">2) Maintenant, relis ce cas et liste trois faiblesses (réalisme, clarté des questions, niveau). Puis propose une version améliorée.</w:t>
            </w:r>
          </w:p>
        </w:tc>
      </w:tr>
    </w:tbl>
    <w:p>
      <w:pPr>
        <w:spacing w:after="140" w:line="288"/>
      </w:pPr>
      <w:r>
        <w:rPr>
          <w:i/>
          <w:iCs/>
          <w:color w:val="0091C7"/>
        </w:rPr>
        <w:t xml:space="preserve">Le meilleur correcteur de l’IA, c’est souvent l’IA elle-même — mais c’est vous l’arbitre : toutes les « faiblesses » qu’elle pointe ne sont pas pertinentes.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Ce que l’IA répond à la critique (exemple)</w:t>
            </w:r>
          </w:p>
          <w:p>
            <w:pPr>
              <w:spacing w:after="70" w:line="276"/>
            </w:pPr>
            <w:r>
              <w:t xml:space="preserve">1. Le contexte manque de données chiffrées (CA, effectif, historique).</w:t>
            </w:r>
          </w:p>
          <w:p>
            <w:pPr>
              <w:spacing w:after="70" w:line="276"/>
            </w:pPr>
            <w:r>
              <w:t xml:space="preserve">2. La question est trop ouverte : un seul attendu, pas de progression.</w:t>
            </w:r>
          </w:p>
          <w:p>
            <w:pPr>
              <w:spacing w:after="0" w:line="276"/>
            </w:pPr>
            <w:r>
              <w:t xml:space="preserve">3. Le niveau vise plutôt un BTS1 qu’un BTS2.</w:t>
            </w:r>
          </w:p>
        </w:tc>
      </w:tr>
    </w:tbl>
    <w:p>
      <w:pPr>
        <w:spacing w:after="140" w:line="288"/>
      </w:pPr>
      <w:r>
        <w:t xml:space="preserve">Vous obtenez alors une version 2 chiffrée, à questions progressives et calée sur le bon niveau — toujours sous votre arbitrage.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Les pièges du prompting avancé</w:t>
            </w:r>
          </w:p>
          <w:p>
            <w:pPr>
              <w:spacing w:after="70" w:line="276"/>
            </w:pPr>
            <w:r>
              <w:t xml:space="preserve">Trop en demander d’un coup : préférez les étapes.</w:t>
            </w:r>
          </w:p>
          <w:p>
            <w:pPr>
              <w:spacing w:after="70" w:line="276"/>
            </w:pPr>
            <w:r>
              <w:t xml:space="preserve">Oublier de fixer le format : vous obtenez du « trop long ».</w:t>
            </w:r>
          </w:p>
          <w:p>
            <w:pPr>
              <w:spacing w:after="0" w:line="276"/>
            </w:pPr>
            <w:r>
              <w:t xml:space="preserve">Prendre la première réponse pour argent comptant : c’est un brouillon, pas un verdict.</w:t>
            </w:r>
          </w:p>
        </w:tc>
      </w:tr>
    </w:tbl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F1F8FC" w:sz="2"/>
              <w:left w:val="single" w:color="07202F" w:sz="20"/>
              <w:bottom w:val="single" w:color="F1F8FC" w:sz="2"/>
              <w:right w:val="single" w:color="F1F8FC" w:sz="2"/>
            </w:tcBorders>
            <w:shd w:fill="F1F8FC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90"/>
            </w:pPr>
            <w:r>
              <w:rPr>
                <w:b/>
                <w:bCs/>
                <w:color w:val="0091C7"/>
                <w:sz w:val="15"/>
                <w:szCs w:val="15"/>
              </w:rPr>
              <w:t xml:space="preserve">POUR ALLER PLUS LOIN</w:t>
            </w:r>
            <w:r>
              <w:rPr>
                <w:b/>
                <w:bCs/>
                <w:color w:val="0B1B2B"/>
                <w:sz w:val="20"/>
                <w:szCs w:val="20"/>
              </w:rPr>
              <w:t xml:space="preserve">   Le vocabulaire des techniques</w:t>
            </w:r>
          </w:p>
          <w:p>
            <w:pPr>
              <w:spacing w:after="70" w:line="276"/>
            </w:pPr>
            <w:r>
              <w:rPr>
                <w:color w:val="33424E"/>
              </w:rPr>
              <w:t xml:space="preserve">Les pratiques de ce chapitre portent des noms que vous croiserez ailleurs : raisonnement étape par étape (chain-of-thought), exemples fournis (few-shot), rôle attribué (persona), découpage en étapes (prompt chaining), ancrage sur vos documents (RAG, le principe de NotebookLM).</w:t>
            </w:r>
          </w:p>
          <w:p>
            <w:pPr>
              <w:spacing w:after="0" w:line="276"/>
            </w:pPr>
            <w:r>
              <w:rPr>
                <w:color w:val="33424E"/>
              </w:rPr>
              <w:t xml:space="preserve">Vous n’avez pas à les mémoriser : ce sont des étiquettes posées sur des gestes que vous maîtrisez déjà. Les nommer aide surtout à lire la littérature sans se laisser intimider.</w:t>
            </w:r>
          </w:p>
        </w:tc>
      </w:tr>
    </w:tbl>
    <w:p>
      <w:pPr>
        <w:pStyle w:val="Heading1"/>
      </w:pPr>
      <w:r>
        <w:t xml:space="preserve">4. Concevoir une séquence, de bout en bout</w:t>
      </w:r>
    </w:p>
    <w:p>
      <w:pPr>
        <w:spacing w:after="140" w:line="288"/>
      </w:pPr>
      <w:r>
        <w:t xml:space="preserve">L’IA peut vous accompagner sur toute la chaîne pédagogique, depuis l’objectif jusqu’à l’évaluation. À une condition : garder la main à chaque maillon, car c’est la cohérence d’ensemble — l’alignement — qui fait une bonne séquence.</w:t>
      </w:r>
    </w:p>
    <w:p>
      <w:pPr>
        <w:pStyle w:val="Heading2"/>
      </w:pPr>
      <w:r>
        <w:t xml:space="preserve">Cadrer l’intention d’abord</w:t>
      </w:r>
    </w:p>
    <w:p>
      <w:pPr>
        <w:spacing w:after="140" w:line="288"/>
      </w:pPr>
      <w:r>
        <w:t xml:space="preserve">Avant de demander quoi que ce soit, clarifiez quatre choses pour vous-même. C’est ce cadrage que l’IA ne fera jamais à votre place.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L’intention </w:t>
      </w:r>
      <w:r>
        <w:t xml:space="preserve">— ce que vous voulez vraiment développer chez l’étudiant.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Le public </w:t>
      </w:r>
      <w:r>
        <w:t xml:space="preserve">— niveau, acquis, difficultés connues.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La contrainte </w:t>
      </w:r>
      <w:r>
        <w:t xml:space="preserve">— durée, matériel, format de la séance.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Le critère de réussite </w:t>
      </w:r>
      <w:r>
        <w:t xml:space="preserve">— à quoi vous verrez que c’est réussi.</w:t>
      </w:r>
    </w:p>
    <w:p>
      <w:pPr>
        <w:pStyle w:val="Heading2"/>
      </w:pPr>
      <w:r>
        <w:t xml:space="preserve">La chaîne de conception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12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Ce que vous demandez à l’IA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Ce que vous gardez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Objectif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reformuler un objectif pédagogique clair et évaluable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le choix de la notion et du niveau d’exigence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Activités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proposer plusieurs activités variées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l’adéquation réelle à votre classe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Supports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générer le support (cas, slides, capsule)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la relecture critique avant diffusion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Évaluation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concevoir une évaluation alignée sur l’objectif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le niveau d’exigence et l’équité</w:t>
            </w:r>
          </w:p>
        </w:tc>
      </w:tr>
    </w:tbl>
    <w:p>
      <w:pPr>
        <w:pStyle w:val="Heading2"/>
      </w:pPr>
      <w:r>
        <w:t xml:space="preserve">Un exemple travaillé</w:t>
      </w:r>
    </w:p>
    <w:p>
      <w:pPr>
        <w:spacing w:after="140" w:line="288"/>
      </w:pPr>
      <w:r>
        <w:t xml:space="preserve">Voici une séquence conçue avec l’IA, sur une notion de management commercial. Remarquez l’alignement : l’évaluation mesure bien l’objectif annoncé.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Maillon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Contenu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Objectif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Savoir construire et défendre un argumentaire de vente structuré.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Activité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Jeu de rôle vendeur / client difficile, à partir de personas générés (et vérifiés sans stéréotype).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Support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Fiche méthode + cas, mis en page avec Gamma, distribué avant la séance.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Évaluation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Oral de 5 minutes : défendre son argumentaire en direct, questions comprises.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Atelier</w:t>
            </w:r>
          </w:p>
          <w:p>
            <w:pPr>
              <w:spacing w:after="0" w:line="276"/>
            </w:pPr>
            <w:r>
              <w:t xml:space="preserve">Concevez une séquence complète sur une notion de votre programme. Gardez la trace de tous vos prompts : cette trace, réutilisable et améliorable, c’est votre méthode personnelle.</w:t>
            </w:r>
          </w:p>
        </w:tc>
      </w:tr>
    </w:tbl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F1F8FC" w:sz="2"/>
              <w:left w:val="single" w:color="07202F" w:sz="20"/>
              <w:bottom w:val="single" w:color="F1F8FC" w:sz="2"/>
              <w:right w:val="single" w:color="F1F8FC" w:sz="2"/>
            </w:tcBorders>
            <w:shd w:fill="F1F8FC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90"/>
            </w:pPr>
            <w:r>
              <w:rPr>
                <w:b/>
                <w:bCs/>
                <w:color w:val="0091C7"/>
                <w:sz w:val="15"/>
                <w:szCs w:val="15"/>
              </w:rPr>
              <w:t xml:space="preserve">POUR ALLER PLUS LOIN</w:t>
            </w:r>
            <w:r>
              <w:rPr>
                <w:b/>
                <w:bCs/>
                <w:color w:val="0B1B2B"/>
                <w:sz w:val="20"/>
                <w:szCs w:val="20"/>
              </w:rPr>
              <w:t xml:space="preserve">   Penser en workflow</w:t>
            </w:r>
          </w:p>
          <w:p>
            <w:pPr>
              <w:spacing w:after="70" w:line="276"/>
            </w:pPr>
            <w:r>
              <w:rPr>
                <w:color w:val="33424E"/>
              </w:rPr>
              <w:t xml:space="preserve">Un cran au-dessus de la séquence : le workflow. Au lieu d’enchaîner des gestes isolés, vous bâtissez un processus reproductible — par exemple : idée → cas généré → critiqué par l’IA → mis en page → décliné en quiz et en podcast.</w:t>
            </w:r>
          </w:p>
          <w:p>
            <w:pPr>
              <w:spacing w:after="0" w:line="276"/>
            </w:pPr>
            <w:r>
              <w:rPr>
                <w:color w:val="33424E"/>
              </w:rPr>
              <w:t xml:space="preserve">Une fois ce workflow stabilisé, vous le rejouez à chaque nouveau chapitre. C’est là que le gain de temps cesse d’être ponctuel pour devenir structurel.</w:t>
            </w:r>
          </w:p>
        </w:tc>
      </w:tr>
    </w:tbl>
    <w:p>
      <w:pPr>
        <w:pStyle w:val="Heading1"/>
      </w:pPr>
      <w:r>
        <w:t xml:space="preserve">5. Repenser l’évaluation</w:t>
      </w:r>
    </w:p>
    <w:p>
      <w:pPr>
        <w:spacing w:after="140" w:line="288"/>
      </w:pPr>
      <w:r>
        <w:t xml:space="preserve">C’est le vrai chantier de l’IA à l’école, et la source d’angoisse la plus légitime. La question « si l’IA fait le devoir, qu’est-ce que j’évalue ? » n’appelle pas l’interdiction — illusoire — mais un déplacement de ce qu’on évalue : du produit fini vers le raisonnement, le processus et la défense en direct.</w:t>
      </w:r>
    </w:p>
    <w:p>
      <w:pPr>
        <w:pStyle w:val="Heading2"/>
      </w:pPr>
      <w:r>
        <w:t xml:space="preserve">Cinq pistes concrètes</w:t>
      </w:r>
    </w:p>
    <w:p>
      <w:pPr>
        <w:pStyle w:val="Heading3"/>
      </w:pPr>
      <w:r>
        <w:t xml:space="preserve">L’oral &amp; la soutenance</w:t>
      </w:r>
    </w:p>
    <w:p>
      <w:pPr>
        <w:spacing w:after="140" w:line="288"/>
      </w:pPr>
      <w:r>
        <w:t xml:space="preserve">Ce qui se défend en direct ne se sous-traite pas. Faire présenter, questionner, justifier ses choix à l’oral révèle immédiatement ce que l’étudiant a réellement compris — et c’est aussi une compétence professionnelle majeure dans le tertiaire.</w:t>
      </w:r>
    </w:p>
    <w:p>
      <w:pPr>
        <w:pStyle w:val="Heading3"/>
      </w:pPr>
      <w:r>
        <w:t xml:space="preserve">Évaluer le processus</w:t>
      </w:r>
    </w:p>
    <w:p>
      <w:pPr>
        <w:spacing w:after="140" w:line="288"/>
      </w:pPr>
      <w:r>
        <w:t xml:space="preserve">Plutôt que le seul rendu final, demandez à voir le chemin : brouillons, choix successifs, sources, prompts utilisés. Un étudiant qui sait expliquer comment il a travaillé a appris quelque chose.</w:t>
      </w:r>
    </w:p>
    <w:p>
      <w:pPr>
        <w:pStyle w:val="Heading3"/>
      </w:pPr>
      <w:r>
        <w:t xml:space="preserve">En classe, en direct</w:t>
      </w:r>
    </w:p>
    <w:p>
      <w:pPr>
        <w:spacing w:after="140" w:line="288"/>
      </w:pPr>
      <w:r>
        <w:t xml:space="preserve">Produire devant témoins, sur un temps donné, avec ou sans IA selon la consigne. Le cadre contrôlé garantit que la compétence évaluée est bien celle de l’étudiant.</w:t>
      </w:r>
    </w:p>
    <w:p>
      <w:pPr>
        <w:pStyle w:val="Heading3"/>
      </w:pPr>
      <w:r>
        <w:t xml:space="preserve">Évaluer l’usage de l’IA lui-même</w:t>
      </w:r>
    </w:p>
    <w:p>
      <w:pPr>
        <w:spacing w:after="140" w:line="288"/>
      </w:pPr>
      <w:r>
        <w:t xml:space="preserve">Demandez de montrer et de critiquer ses prompts : « comment as-tu obtenu ça ? qu’as-tu corrigé, et pourquoi ? ». On évalue alors une compétence d’avenir : savoir piloter et juger l’IA.</w:t>
      </w:r>
    </w:p>
    <w:p>
      <w:pPr>
        <w:pStyle w:val="Heading3"/>
      </w:pPr>
      <w:r>
        <w:t xml:space="preserve">Des tâches authentiques</w:t>
      </w:r>
    </w:p>
    <w:p>
      <w:pPr>
        <w:spacing w:after="140" w:line="288"/>
      </w:pPr>
      <w:r>
        <w:t xml:space="preserve">Ancrez l’évaluation dans une situation réelle, locale, contextualisée — difficile à copier-coller. Un cas lié à une entreprise du bassin, à un projet de classe, à des données propres à votre groupe.</w:t>
      </w:r>
    </w:p>
    <w:p>
      <w:pPr>
        <w:pStyle w:val="Heading2"/>
      </w:pPr>
      <w:r>
        <w:t xml:space="preserve">Avant / après : un exemple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Même notion, évaluée autrement</w:t>
            </w:r>
          </w:p>
          <w:p>
            <w:pPr>
              <w:spacing w:after="70" w:line="276"/>
            </w:pPr>
            <w:r>
              <w:rPr>
                <w:b/>
                <w:bCs/>
              </w:rPr>
              <w:t xml:space="preserve">Avant : </w:t>
            </w:r>
            <w:r>
              <w:t xml:space="preserve">« Rédigez une note de synthèse à la maison. » — copiable en trente secondes par une IA.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Après : </w:t>
            </w:r>
            <w:r>
              <w:t xml:space="preserve">« À partir de ce cas, soutenez votre synthèse à l’oral en cinq minutes, questions comprises. » — ce qui se défend en direct ne se sous-traite pas.</w:t>
            </w:r>
          </w:p>
        </w:tc>
      </w:tr>
    </w:tbl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Atelier</w:t>
            </w:r>
          </w:p>
          <w:p>
            <w:pPr>
              <w:spacing w:after="0" w:line="276"/>
            </w:pPr>
            <w:r>
              <w:t xml:space="preserve">Prenez une évaluation que l’IA « casserait » facilement, et redésignez-la avec une de ces pistes pour qu’elle révèle un vrai raisonnement.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Transmettre autrement : le multimodal</w:t>
      </w:r>
    </w:p>
    <w:p>
      <w:pPr>
        <w:spacing w:after="140" w:line="288"/>
      </w:pPr>
      <w:r>
        <w:t xml:space="preserve">Un même contenu peut s’incarner en texte, audio, vidéo ou visuel. Chaque format ouvre une porte d’entrée différente : l’étudiant qui décroche à l’écrit accroche peut-être en écoutant, et la révision devient presque un plaisir. L’IA rend ces déclinaisons rapides — ce qui prenait des heures se fait en une après-midi.</w:t>
      </w:r>
    </w:p>
    <w:p>
      <w:pPr>
        <w:pStyle w:val="Heading2"/>
      </w:pPr>
      <w:r>
        <w:t xml:space="preserve">Quel format pour quelle intention ?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7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Votre intention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Le format adapté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L’outil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Mémoriser en mobilité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un podcast de révision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NotebookLM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Capter l’attention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une courte vidéo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HeyGen / NotebookLM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Clarifier une structure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un schéma, une infographie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Napkin, Gamma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Vérifier les acquis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un quiz interactif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NotebookLM</w:t>
            </w:r>
          </w:p>
        </w:tc>
      </w:tr>
    </w:tbl>
    <w:p>
      <w:pPr>
        <w:spacing w:after="140" w:line="288"/>
      </w:pPr>
      <w:r>
        <w:t xml:space="preserve">Le principe directeur : le format suit l’intention pédagogique, jamais l’inverse. On ne fait pas un podcast « parce que c’est possible », mais parce qu’on veut faire réviser en mobilité.</w:t>
      </w:r>
    </w:p>
    <w:p>
      <w:pPr>
        <w:pStyle w:val="Heading2"/>
      </w:pPr>
      <w:r>
        <w:t xml:space="preserve">Construire un parcours en quatre temps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Partez de votre cours écrit (la source de vérité).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Générez un podcast de révision (NotebookLM).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Créez un support visuel projetable (Gamma).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Ajoutez un quiz d’auto-évaluation — et vérifiez chaque sortie avant diffusion.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À retenir</w:t>
            </w:r>
          </w:p>
          <w:p>
            <w:pPr>
              <w:spacing w:after="0" w:line="276"/>
            </w:pPr>
            <w:r>
              <w:t xml:space="preserve">Le même chapitre, quatre formats. Vous touchez tous les profils sans quadrupler votre temps de préparation — mais vous restez le garant du contenu : une capsule peut simplifier à l’excès.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Déléguer : les agents</w:t>
      </w:r>
    </w:p>
    <w:p>
      <w:pPr>
        <w:spacing w:after="140" w:line="288"/>
      </w:pPr>
      <w:r>
        <w:t xml:space="preserve">Jusqu’ici, l’IA répondait. Un agent, lui, exécute : il enchaîne plusieurs étapes pour mener une tâche à son terme. C’est là que se gagne le temps sur l’administratif répétitif — à condition de bien cadrer la tâche et de valider le résultat.</w:t>
      </w:r>
    </w:p>
    <w:p>
      <w:pPr>
        <w:pStyle w:val="Heading2"/>
      </w:pPr>
      <w:r>
        <w:t xml:space="preserve">Assistant ou agent ?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0"/>
        <w:gridCol w:w="35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Assistant (chat)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Ce qu’il fait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répond à une demande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exécute une tâche en plusieurs étapes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Votre rôle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dialoguer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cadrer, puis valider le résultat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Bon exemple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reformuler une consigne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pré-remplir 30 feedbacks selon votre grille</w:t>
            </w:r>
          </w:p>
        </w:tc>
      </w:tr>
    </w:tbl>
    <w:p>
      <w:pPr>
        <w:pStyle w:val="Heading2"/>
      </w:pPr>
      <w:r>
        <w:t xml:space="preserve">Cowork &amp; les Skills</w:t>
      </w:r>
    </w:p>
    <w:p>
      <w:pPr>
        <w:spacing w:after="140" w:line="288"/>
      </w:pPr>
      <w:r>
        <w:t xml:space="preserve">Claude Cowork est un agent de bureau qui prend en charge des tâches longues. Les « Skills » lui apprennent une fois votre façon de faire, pour la rejouer à l’identique sur de nouveaux cas. C’est l’équivalent d’un mode opératoire que vous lui transmettez une bonne fois.</w:t>
      </w:r>
    </w:p>
    <w:p>
      <w:pPr>
        <w:pStyle w:val="Heading3"/>
      </w:pPr>
      <w:r>
        <w:t xml:space="preserve">Construire une Skill, en trois temps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Décrivez la tâche récurrente, précisément (ex. : pré-remplir une trame de feedback selon votre grille).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Donnez un exemple complet du résultat attendu : c’est lui qui sert de modèle.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Rejouez sur un nouveau cas — et validez avant d’utiliser.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La règle d’or</w:t>
            </w:r>
          </w:p>
          <w:p>
            <w:pPr>
              <w:spacing w:after="0" w:line="276"/>
            </w:pPr>
            <w:r>
              <w:t xml:space="preserve">L’agent exécute, vous validez. La décision finale — et la responsabilité de ce qui est communiqué à un étudiant — restent toujours les vôtres. On ne délègue jamais le jugement.</w:t>
            </w:r>
          </w:p>
        </w:tc>
      </w:tr>
    </w:tbl>
    <w:p>
      <w:pPr>
        <w:pStyle w:val="Heading3"/>
      </w:pPr>
      <w:r>
        <w:t xml:space="preserve">Quelques tâches à déléguer (sans données réelles)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Mettre en forme une trame de feedback à partir d’une grille.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Convertir un lot de cas en un format homogène.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Préparer une synthèse hebdomadaire de veille à partir de sources que vous fournissez.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F1F8FC" w:sz="2"/>
              <w:left w:val="single" w:color="07202F" w:sz="20"/>
              <w:bottom w:val="single" w:color="F1F8FC" w:sz="2"/>
              <w:right w:val="single" w:color="F1F8FC" w:sz="2"/>
            </w:tcBorders>
            <w:shd w:fill="F1F8FC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90"/>
            </w:pPr>
            <w:r>
              <w:rPr>
                <w:b/>
                <w:bCs/>
                <w:color w:val="0091C7"/>
                <w:sz w:val="15"/>
                <w:szCs w:val="15"/>
              </w:rPr>
              <w:t xml:space="preserve">POUR ALLER PLUS LOIN</w:t>
            </w:r>
            <w:r>
              <w:rPr>
                <w:b/>
                <w:bCs/>
                <w:color w:val="0B1B2B"/>
                <w:sz w:val="20"/>
                <w:szCs w:val="20"/>
              </w:rPr>
              <w:t xml:space="preserve">   Vers une bibliothèque d’agents</w:t>
            </w:r>
          </w:p>
          <w:p>
            <w:pPr>
              <w:spacing w:after="70" w:line="276"/>
            </w:pPr>
            <w:r>
              <w:rPr>
                <w:color w:val="33424E"/>
              </w:rPr>
              <w:t xml:space="preserve">À force de créer des Skills, vous constituez une petite bibliothèque d’agents spécialisés : l’un pré-remplit vos feedbacks, un autre met en forme vos cas, un troisième prépare votre veille.</w:t>
            </w:r>
          </w:p>
          <w:p>
            <w:pPr>
              <w:spacing w:after="0" w:line="276"/>
            </w:pPr>
            <w:r>
              <w:rPr>
                <w:color w:val="33424E"/>
              </w:rPr>
              <w:t xml:space="preserve">Chacun apprend une tâche précise et la rejoue à l’identique — toujours sous votre validation. L’horizon de la délégation, ce n’est pas un super-outil unique, mais une équipe d’assistants spécialisés.</w:t>
            </w:r>
          </w:p>
        </w:tc>
      </w:tr>
    </w:tbl>
    <w:p>
      <w:pPr>
        <w:pStyle w:val="Heading1"/>
      </w:pPr>
      <w:r>
        <w:t xml:space="preserve">8. Le cadre, version avancée</w:t>
      </w:r>
    </w:p>
    <w:p>
      <w:pPr>
        <w:spacing w:after="140" w:line="288"/>
      </w:pPr>
      <w:r>
        <w:t xml:space="preserve">Plus on confère d’autonomie à l’IA — conception, agents — plus le cadre compte. Les principes de la Formation 1 restent valables ; en voici l’approfondissement.</w:t>
      </w:r>
    </w:p>
    <w:p>
      <w:pPr>
        <w:pStyle w:val="Heading2"/>
      </w:pPr>
      <w:r>
        <w:t xml:space="preserve">Données, même avec un agent</w:t>
      </w:r>
    </w:p>
    <w:p>
      <w:pPr>
        <w:spacing w:after="140" w:line="288"/>
      </w:pPr>
      <w:r>
        <w:t xml:space="preserve">La règle ne change pas avec les agents : jamais de donnée d’élève réelle dans un outil grand public, même pour « gagner du temps » sur des corrections. On travaille sur des trames et des données fictives, et on réintroduit le réel hors de l’outil.</w:t>
      </w:r>
    </w:p>
    <w:p>
      <w:pPr>
        <w:pStyle w:val="Heading2"/>
      </w:pPr>
      <w:r>
        <w:t xml:space="preserve">Biais &amp; équité</w:t>
      </w:r>
    </w:p>
    <w:p>
      <w:pPr>
        <w:spacing w:after="140" w:line="288"/>
      </w:pPr>
      <w:r>
        <w:t xml:space="preserve">L’IA reproduit les stéréotypes de ses données. C’est particulièrement sensible quand on génère des personas ou des scénarios : sans consigne, elle tombe vite dans les clichés de genre, d’âge ou d’origine.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Un exemple parlant</w:t>
            </w:r>
          </w:p>
          <w:p>
            <w:pPr>
              <w:spacing w:after="70" w:line="276"/>
            </w:pPr>
            <w:r>
              <w:rPr>
                <w:b/>
                <w:bCs/>
              </w:rPr>
              <w:t xml:space="preserve">Sans cadrage : </w:t>
            </w:r>
            <w:r>
              <w:t xml:space="preserve">des personas où l’homme décide des achats techniques et la femme gère le quotidien — un stéréotype recopié.</w:t>
            </w:r>
          </w:p>
          <w:p>
            <w:pPr>
              <w:spacing w:after="0" w:line="276"/>
            </w:pPr>
            <w:r>
              <w:rPr>
                <w:b/>
                <w:bCs/>
              </w:rPr>
              <w:t xml:space="preserve">Avec cadrage : </w:t>
            </w:r>
            <w:r>
              <w:t xml:space="preserve">« propose des personas variés, en évitant tout stéréotype de genre ou d’âge » — et vous relisez.</w:t>
            </w:r>
          </w:p>
        </w:tc>
      </w:tr>
    </w:tbl>
    <w:p>
      <w:pPr>
        <w:pStyle w:val="Heading2"/>
      </w:pPr>
      <w:r>
        <w:t xml:space="preserve">Dépendance &amp; transparence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Dépendance. </w:t>
      </w:r>
      <w:r>
        <w:t xml:space="preserve">Déléguez l’exécution, jamais le jugement ni la décision pédagogique.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Transparence. </w:t>
      </w:r>
      <w:r>
        <w:t xml:space="preserve">Expliquez votre usage de l’IA à vos étudiants ; cela légitime le leur, encadré, et leur apprend un usage responsable.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Responsabilité. </w:t>
      </w:r>
      <w:r>
        <w:t xml:space="preserve">Vous restez l’auteur de ce que vous diffusez — l’agent n’est jamais l’auteur.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EAF3FA" w:sz="2"/>
              <w:left w:val="single" w:color="00BFFF" w:sz="20"/>
              <w:bottom w:val="single" w:color="EAF3FA" w:sz="2"/>
              <w:right w:val="single" w:color="EAF3FA" w:sz="2"/>
            </w:tcBorders>
            <w:shd w:fill="EAF3FA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80"/>
            </w:pPr>
            <w:r>
              <w:rPr>
                <w:b/>
                <w:bCs/>
                <w:color w:val="0B1B2B"/>
              </w:rPr>
              <w:t xml:space="preserve">Votre charte de concepteur</w:t>
            </w:r>
          </w:p>
          <w:p>
            <w:pPr>
              <w:spacing w:after="0" w:line="276"/>
            </w:pPr>
            <w:r>
              <w:t xml:space="preserve">Je conçois avec l’IA, je délègue le répétitif, mais je garde l’intention, le jugement et la responsabilité de ce que je diffuse.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Questions fréquentes</w:t>
      </w:r>
    </w:p>
    <w:p>
      <w:pPr>
        <w:spacing w:after="50" w:before="120"/>
      </w:pPr>
      <w:r>
        <w:rPr>
          <w:b/>
          <w:bCs/>
          <w:color w:val="0B1B2B"/>
        </w:rPr>
        <w:t xml:space="preserve">« Concevoir avec l’IA, est-ce encore mon cours ? »</w:t>
      </w:r>
    </w:p>
    <w:p>
      <w:pPr>
        <w:spacing w:after="140" w:line="288"/>
      </w:pPr>
      <w:r>
        <w:t xml:space="preserve">Oui : l’idée, la structure pensée et les choix restent les vôtres. L’IA accélère la mise en forme et élargit les pistes ; elle ne décide pas du sens.</w:t>
      </w:r>
    </w:p>
    <w:p>
      <w:pPr>
        <w:spacing w:after="50" w:before="120"/>
      </w:pPr>
      <w:r>
        <w:rPr>
          <w:b/>
          <w:bCs/>
          <w:color w:val="0B1B2B"/>
        </w:rPr>
        <w:t xml:space="preserve">« Repenser l’évaluation, n’est-ce pas énorme ? »</w:t>
      </w:r>
    </w:p>
    <w:p>
      <w:pPr>
        <w:spacing w:after="140" w:line="288"/>
      </w:pPr>
      <w:r>
        <w:t xml:space="preserve">On ne refait pas tout d’un coup : on cible les évaluations les plus « cassables » et on les redésigne une par une. Un oral ou une tâche authentique, une fois conçus, se réutilisent chaque année.</w:t>
      </w:r>
    </w:p>
    <w:p>
      <w:pPr>
        <w:spacing w:after="50" w:before="120"/>
      </w:pPr>
      <w:r>
        <w:rPr>
          <w:b/>
          <w:bCs/>
          <w:color w:val="0B1B2B"/>
        </w:rPr>
        <w:t xml:space="preserve">« Les agents, est-ce fiable pour de l’administratif ? »</w:t>
      </w:r>
    </w:p>
    <w:p>
      <w:pPr>
        <w:spacing w:after="140" w:line="288"/>
      </w:pPr>
      <w:r>
        <w:t xml:space="preserve">À condition de valider chaque sortie. Un agent fait gagner du temps sur le répétitif ; il ne remplace pas votre relecture, et ne touche jamais à des données réelles d’élèves.</w:t>
      </w:r>
    </w:p>
    <w:p>
      <w:pPr>
        <w:spacing w:after="50" w:before="120"/>
      </w:pPr>
      <w:r>
        <w:rPr>
          <w:b/>
          <w:bCs/>
          <w:color w:val="0B1B2B"/>
        </w:rPr>
        <w:t xml:space="preserve">« Et le risque de biais ? »</w:t>
      </w:r>
    </w:p>
    <w:p>
      <w:pPr>
        <w:spacing w:after="140" w:line="288"/>
      </w:pPr>
      <w:r>
        <w:t xml:space="preserve">Réel, surtout sur les personas et les scénarios. Demandez explicitement de la diversité, variez les exemples, et relisez avec un œil critique — c’est justement votre valeur ajoutée.</w:t>
      </w:r>
    </w:p>
    <w:p>
      <w:pPr>
        <w:spacing w:after="50" w:before="120"/>
      </w:pPr>
      <w:r>
        <w:rPr>
          <w:b/>
          <w:bCs/>
          <w:color w:val="0B1B2B"/>
        </w:rPr>
        <w:t xml:space="preserve">« Par où commencer en rentrant ? »</w:t>
      </w:r>
    </w:p>
    <w:p>
      <w:pPr>
        <w:spacing w:after="140" w:line="288"/>
      </w:pPr>
      <w:r>
        <w:t xml:space="preserve">Choisissez un seul chantier : redésigner une évaluation, ou créer un parcours multimodal sur un chapitre. Un projet concret vaut mieux que dix bonnes intentions.</w:t>
      </w:r>
    </w:p>
    <w:p>
      <w:r>
        <w:br w:type="page"/>
      </w:r>
    </w:p>
    <w:p>
      <w:pPr>
        <w:pStyle w:val="Heading1"/>
      </w:pPr>
      <w:r>
        <w:t xml:space="preserve">10. Et après ?</w:t>
      </w:r>
    </w:p>
    <w:p>
      <w:pPr>
        <w:spacing w:after="140" w:line="288"/>
      </w:pPr>
      <w:r>
        <w:t xml:space="preserve">Pour que tout cela dure, structurez votre écosystème IA — votre camp de base : gagner en efficacité, capitaliser sur l’expérience, rester cohérent et rester à jour.</w:t>
      </w:r>
    </w:p>
    <w:p>
      <w:pPr>
        <w:pStyle w:val="Heading3"/>
      </w:pPr>
      <w:r>
        <w:t xml:space="preserve">Votre tableau de bord</w:t>
      </w:r>
    </w:p>
    <w:p>
      <w:pPr>
        <w:spacing w:after="140" w:line="288"/>
      </w:pPr>
      <w:r>
        <w:t xml:space="preserve">Un point d’accès unique à vos outils et à vos prompts favoris : un simple document, une page Notion ou une page de liens suffisent. Pas besoin d’un outil sophistiqué pour commencer — l’essentiel est de tout retrouver au même endroit.</w:t>
      </w:r>
    </w:p>
    <w:p>
      <w:pPr>
        <w:pStyle w:val="Heading3"/>
      </w:pPr>
      <w:r>
        <w:t xml:space="preserve">Votre promptothèque structurée</w:t>
      </w:r>
    </w:p>
    <w:p>
      <w:pPr>
        <w:spacing w:after="140" w:line="288"/>
      </w:pPr>
      <w:r>
        <w:t xml:space="preserve">Reprenez celle démarrée au Niveau 1 et rangez-la par usage (cas, QCM, corrigé, séquence…). Enrichie au fil du temps, elle devient un actif qui prend de la valeur — et qui se partage entre collègues.</w:t>
      </w:r>
    </w:p>
    <w:p>
      <w:pPr>
        <w:pStyle w:val="Heading3"/>
      </w:pPr>
      <w:r>
        <w:t xml:space="preserve">Votre posture</w:t>
      </w:r>
    </w:p>
    <w:p>
      <w:pPr>
        <w:spacing w:after="140" w:line="288"/>
      </w:pPr>
      <w:r>
        <w:t xml:space="preserve">Vous n’êtes pas remplacé : vous devenez concepteur. Vous orchestrez, l’IA exécute, et le sens — comme la responsabilité — reste le vôtre. C’est une montée en valeur, pas un effacement.</w:t>
      </w:r>
    </w:p>
    <w:p>
      <w:pPr>
        <w:pStyle w:val="Heading3"/>
      </w:pPr>
      <w:r>
        <w:t xml:space="preserve">Votre projet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« Ce trimestre, je conçois ________________________ avec l’IA. »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« Je délègue ________________________ à un agent. »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« Je redésigne l’évaluation de ________________________. »</w:t>
      </w:r>
    </w:p>
    <w:p>
      <w:pPr>
        <w:pStyle w:val="Heading3"/>
      </w:pPr>
      <w:r>
        <w:t xml:space="preserve">Votre veille</w:t>
      </w:r>
    </w:p>
    <w:p>
      <w:pPr>
        <w:spacing w:after="140" w:line="288"/>
      </w:pPr>
      <w:r>
        <w:t xml:space="preserve">On continue ensemble sur Le Mag Tablonoir : l’actu IA triée pour des enseignants, en clair, sans bruit marketing.</w:t>
      </w:r>
    </w:p>
    <w:p>
      <w:pPr>
        <w:spacing w:after="120"/>
      </w:pPr>
    </w:p>
    <w:p>
      <w:pPr>
        <w:pStyle w:val="Heading2"/>
      </w:pPr>
      <w:r>
        <w:t xml:space="preserve">Glossaire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Idéation : </w:t>
      </w:r>
      <w:r>
        <w:t xml:space="preserve">l’usage de l’IA pour explorer, confronter et structurer des idées, en amont de la production.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Persona : </w:t>
      </w:r>
      <w:r>
        <w:t xml:space="preserve">un profil-type qu’on demande à l’IA d’incarner ou de cibler.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Agent : </w:t>
      </w:r>
      <w:r>
        <w:t xml:space="preserve">une IA qui exécute des tâches en plusieurs étapes, pas seulement répondre.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Skill : </w:t>
      </w:r>
      <w:r>
        <w:t xml:space="preserve">une tâche apprise une fois à l’IA, pour la rejouer à l’identique.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Multimodal : </w:t>
      </w:r>
      <w:r>
        <w:t xml:space="preserve">capable de produire plusieurs formats (texte, audio, vidéo, visuel).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Alignement : </w:t>
      </w:r>
      <w:r>
        <w:t xml:space="preserve">la cohérence d’une séquence — l’évaluation mesure bien l’objectif annoncé.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Tâche authentique : </w:t>
      </w:r>
      <w:r>
        <w:t xml:space="preserve">une évaluation ancrée dans une situation réelle, difficile à sous-traiter.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F1F8FC" w:sz="2"/>
              <w:left w:val="single" w:color="07202F" w:sz="20"/>
              <w:bottom w:val="single" w:color="F1F8FC" w:sz="2"/>
              <w:right w:val="single" w:color="F1F8FC" w:sz="2"/>
            </w:tcBorders>
            <w:shd w:fill="F1F8FC" w:val="clear"/>
            <w:tcMar>
              <w:top w:type="dxa" w:w="150"/>
              <w:left w:type="dxa" w:w="210"/>
              <w:bottom w:type="dxa" w:w="150"/>
              <w:right w:type="dxa" w:w="210"/>
            </w:tcMar>
          </w:tcPr>
          <w:p>
            <w:pPr>
              <w:spacing w:after="90"/>
            </w:pPr>
            <w:r>
              <w:rPr>
                <w:b/>
                <w:bCs/>
                <w:color w:val="0091C7"/>
                <w:sz w:val="15"/>
                <w:szCs w:val="15"/>
              </w:rPr>
              <w:t xml:space="preserve">POUR ALLER PLUS LOIN</w:t>
            </w:r>
            <w:r>
              <w:rPr>
                <w:b/>
                <w:bCs/>
                <w:color w:val="0B1B2B"/>
                <w:sz w:val="20"/>
                <w:szCs w:val="20"/>
              </w:rPr>
              <w:t xml:space="preserve">   Ressources pour creuser</w:t>
            </w:r>
          </w:p>
          <w:p>
            <w:pPr>
              <w:spacing w:after="70" w:line="276"/>
            </w:pPr>
            <w:r>
              <w:rPr>
                <w:color w:val="33424E"/>
              </w:rPr>
              <w:t xml:space="preserve">Le Référentiel de compétences en IA pour les enseignants de l’UNESCO (2024, version française 2025), structuré en « Acquérir → Approfondir → Créer » : cette deuxième journée correspond aux niveaux Approfondir et Créer.</w:t>
            </w:r>
          </w:p>
          <w:p>
            <w:pPr>
              <w:spacing w:after="70" w:line="276"/>
            </w:pPr>
            <w:r>
              <w:rPr>
                <w:color w:val="33424E"/>
              </w:rPr>
              <w:t xml:space="preserve">Le cadre AILit (OCDE / Commission européenne, 2025) : s’engager, créer, gérer et concevoir l’IA.</w:t>
            </w:r>
          </w:p>
          <w:p>
            <w:pPr>
              <w:spacing w:after="0" w:line="276"/>
            </w:pPr>
            <w:r>
              <w:rPr>
                <w:color w:val="33424E"/>
              </w:rPr>
              <w:t xml:space="preserve">Pour aller plus loin sur le prompt, les workflows et les agents : le guide « L’IA Générative — Guide Complet » de Christophe Bruneau (2026).</w:t>
            </w:r>
          </w:p>
        </w:tc>
      </w:tr>
    </w:tbl>
    <w:p>
      <w:pPr>
        <w:pStyle w:val="Heading1"/>
      </w:pPr>
      <w:r>
        <w:t xml:space="preserve">Annexes — à détacher et garder</w:t>
      </w:r>
    </w:p>
    <w:p>
      <w:pPr>
        <w:pStyle w:val="Heading2"/>
      </w:pPr>
      <w:r>
        <w:t xml:space="preserve">A. Gabarit de conversation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7202F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after="70"/>
            </w:pPr>
            <w:r>
              <w:rPr>
                <w:b/>
                <w:bCs/>
                <w:color w:val="00BFFF"/>
                <w:sz w:val="18"/>
                <w:szCs w:val="18"/>
              </w:rPr>
              <w:t xml:space="preserve">À copier et adapter</w:t>
            </w:r>
          </w:p>
          <w:p>
            <w:pPr>
              <w:spacing w:after="0"/>
            </w:pPr>
            <w:r>
              <w:rPr>
                <w:i/>
                <w:iCs/>
                <w:color w:val="DCE8EE"/>
              </w:rPr>
              <w:t xml:space="preserve">1) Rôle : agis comme [rôle], pour [public].
2) Demande étape par étape : commence par un plan, je valide avant que tu rédiges.
3) Critique : relis ta réponse, liste trois faiblesses, propose une amélioration.
4) Format final : [structure, longueur, contraintes].</w:t>
            </w:r>
          </w:p>
        </w:tc>
      </w:tr>
    </w:tbl>
    <w:p>
      <w:pPr>
        <w:pStyle w:val="Heading2"/>
      </w:pPr>
      <w:r>
        <w:t xml:space="preserve">B. Matrice : redésigner une évaluation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Je me demande…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B2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</w:rPr>
              <w:t xml:space="preserve">Ma réponse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Que veux-je vraiment évaluer ?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L’IA peut-elle produire le rendu à la place de l’élève ?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Quelle piste j’active (oral / processus / direct / usage IA / authentique) ?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/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>Comment je vérifie le vrai raisonnement ?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line="264"/>
            </w:pPr>
            <w:r>
              <w:t xml:space="preserve"/>
            </w:r>
          </w:p>
        </w:tc>
      </w:tr>
    </w:tbl>
    <w:p>
      <w:pPr>
        <w:pStyle w:val="Heading2"/>
      </w:pPr>
      <w:r>
        <w:t xml:space="preserve">C. Check-list de relecture d’une production conçue avec l’IA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L’objectif, les activités et l’évaluation sont alignés.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Aucun biais ni stéréotype dans les exemples et personas.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Aucune donnée personnelle réelle utilisée.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Les faits et chiffres ont été vérifiés.</w:t>
      </w:r>
    </w:p>
    <w:p>
      <w:pPr>
        <w:pStyle w:val="ListParagraph"/>
        <w:numPr>
          <w:ilvl w:val="1"/>
          <w:numId w:val="2"/>
        </w:numPr>
        <w:spacing w:after="70" w:line="276"/>
      </w:pPr>
      <w:r>
        <w:t xml:space="preserve">Je peux assumer ce contenu comme le mien.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707E"/>
        <w:sz w:val="16"/>
        <w:szCs w:val="16"/>
      </w:rPr>
      <w:t xml:space="preserve">Niveau 2 · page </w:t>
    </w:r>
    <w:r>
      <w:rPr>
        <w:color w:val="5E70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jc w:val="right"/>
    </w:pPr>
    <w:r>
      <w:rPr>
        <w:color w:val="5E707E"/>
        <w:sz w:val="16"/>
        <w:szCs w:val="16"/>
      </w:rPr>
      <w:t xml:space="preserve">Concevoir avec l’IA — Manuel participant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ost Grotesk" w:cs="Host Grotesk" w:eastAsia="Host Grotesk" w:hAnsi="Host Grotesk"/>
        <w:color w:val="1C2A3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BFFF" w:sz="8" w:space="4"/>
      </w:pBdr>
      <w:spacing w:after="200" w:before="300"/>
      <w:outlineLvl w:val="0"/>
    </w:pPr>
    <w:rPr>
      <w:rFonts w:ascii="Host Grotesk" w:cs="Host Grotesk" w:eastAsia="Host Grotesk" w:hAnsi="Host Grotesk"/>
      <w:b/>
      <w:bCs/>
      <w:color w:val="0B1B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Host Grotesk" w:cs="Host Grotesk" w:eastAsia="Host Grotesk" w:hAnsi="Host Grotesk"/>
      <w:b/>
      <w:bCs/>
      <w:color w:val="0B1B2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Host Grotesk" w:cs="Host Grotesk" w:eastAsia="Host Grotesk" w:hAnsi="Host Grotesk"/>
      <w:b/>
      <w:bCs/>
      <w:color w:val="0091C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2501a8f8cec70588d7ffaed06fe9863150725c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Concevoir avec l’IA — Manuel participant (Niveau 2)</dc:title>
  <dc:creator>Formation IA</dc:creator>
  <cp:lastModifiedBy>Un-named</cp:lastModifiedBy>
  <cp:revision>1</cp:revision>
  <dcterms:created xsi:type="dcterms:W3CDTF">2026-06-17T11:49:55.678Z</dcterms:created>
  <dcterms:modified xsi:type="dcterms:W3CDTF">2026-06-17T11:49:55.678Z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