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b/>
          <w:color w:val="1F4E8C"/>
          <w:sz w:val="20"/>
        </w:rPr>
        <w:t>DOSSIER DE CERTIFICATION — MODÈLE</w:t>
      </w:r>
    </w:p>
    <w:p>
      <w:pPr>
        <w:jc w:val="center"/>
      </w:pPr>
      <w:r>
        <w:rPr>
          <w:b/>
          <w:color w:val="16305B"/>
          <w:sz w:val="52"/>
        </w:rPr>
        <w:t>Construire le mix d'une offre :</w:t>
        <w:br/>
        <w:t>la politique produit</w:t>
      </w:r>
    </w:p>
    <w:p>
      <w:pPr>
        <w:jc w:val="center"/>
      </w:pPr>
      <w:r>
        <w:rPr>
          <w:i/>
          <w:color w:val="444A55"/>
          <w:sz w:val="24"/>
        </w:rPr>
        <w:t>Analyse de pratique d'une séance de marketing opérationnel conduite en Master 1,</w:t>
        <w:br/>
        <w:t>répartie sur deux plages de cours et deux temps d'alternance</w:t>
      </w:r>
    </w:p>
    <w:p>
      <w:pPr>
        <w:spacing w:before="560"/>
        <w:jc w:val="center"/>
      </w:pPr>
      <w:r>
        <w:rPr>
          <w:color w:val="444A55"/>
          <w:sz w:val="21"/>
        </w:rPr>
        <w:t>Certification interne « Former dans un environnement pédagogique multimodal »</w:t>
        <w:br/>
        <w:t>Master 1 — Manager du développement commercial · Marketing opérationnel</w:t>
      </w:r>
    </w:p>
    <w:p>
      <w:pPr>
        <w:spacing w:before="800"/>
        <w:jc w:val="center"/>
      </w:pPr>
      <w:r>
        <w:rPr>
          <w:i/>
          <w:color w:val="444A55"/>
          <w:sz w:val="19"/>
        </w:rPr>
        <w:t>Document modèle — le contenu est construit pour l'exemple.</w:t>
        <w:br/>
        <w:t>Il sert de gabarit : structure, longueur relative des sections,</w:t>
        <w:br/>
        <w:t>style de justification, forme du scénario, ton de l'analyse de pratique.</w:t>
      </w:r>
    </w:p>
    <w:p>
      <w:r>
        <w:br w:type="page"/>
      </w:r>
    </w:p>
    <w:p>
      <w:pPr>
        <w:pStyle w:val="Heading1"/>
      </w:pPr>
      <w:r>
        <w:t>Construire le mix d'une offre : la politique produit</w:t>
      </w:r>
    </w:p>
    <w:p>
      <w:pPr>
        <w:spacing w:after="240"/>
      </w:pPr>
      <w:r>
        <w:rPr>
          <w:b/>
          <w:i w:val="0"/>
          <w:color w:val="16305B"/>
          <w:sz w:val="23"/>
        </w:rPr>
        <w:t>Analyse de pratique d'une séance de marketing opérationnel conduite en Master 1, répartie sur deux plages de cours et deux temps d'alternance.</w:t>
      </w:r>
      <w:r>
        <w:rPr>
          <w:b w:val="0"/>
          <w:i w:val="0"/>
          <w:color w:val="444A55"/>
          <w:sz w:val="23"/>
        </w:rPr>
        <w:t xml:space="preserve"> Dossier présenté au titre de la certification interne « Former dans un environnement pédagogique multimodal ».</w:t>
      </w:r>
      <w:r>
        <w:rPr>
          <w:b/>
          <w:i w:val="0"/>
          <w:color w:val="16305B"/>
          <w:sz w:val="23"/>
        </w:rPr>
        <w:t>21 pages</w:t>
      </w:r>
      <w:r>
        <w:rPr>
          <w:b w:val="0"/>
          <w:i w:val="0"/>
          <w:color w:val="444A55"/>
          <w:sz w:val="23"/>
        </w:rPr>
        <w:t xml:space="preserve"> dans la version Word et PDF téléchargeable, annexes documentaires en sus.</w:t>
      </w:r>
    </w:p>
    <w:p>
      <w:pPr>
        <w:pStyle w:val="Heading1"/>
      </w:pPr>
      <w:r>
        <w:t>1. La session et la classe</w:t>
      </w:r>
    </w:p>
    <w:tbl>
      <w:tblPr>
        <w:tblStyle w:val="TableGrid"/>
        <w:tblW w:type="auto" w:w="0"/>
        <w:tblLook w:firstColumn="1" w:firstRow="1" w:lastColumn="0" w:lastRow="0" w:noHBand="0" w:noVBand="1" w:val="04A0"/>
        <w:tblBorders>
          <w:top w:val="single" w:sz="4" w:space="0" w:color="D6DEE9"/>
          <w:left w:val="single" w:sz="4" w:space="0" w:color="D6DEE9"/>
          <w:bottom w:val="single" w:sz="4" w:space="0" w:color="D6DEE9"/>
          <w:right w:val="single" w:sz="4" w:space="0" w:color="D6DEE9"/>
          <w:insideH w:val="single" w:sz="4" w:space="0" w:color="D6DEE9"/>
          <w:insideV w:val="single" w:sz="4" w:space="0" w:color="D6DEE9"/>
        </w:tblBorders>
      </w:tblPr>
      <w:tblGrid>
        <w:gridCol w:w="4706"/>
        <w:gridCol w:w="4706"/>
      </w:tblGrid>
      <w:tr>
        <w:tc>
          <w:tcPr>
            <w:tcW w:type="dxa" w:w="4706"/>
          </w:tcPr>
          <w:p>
            <w:r>
              <w:rPr>
                <w:b/>
                <w:color w:val="FFFFFF"/>
                <w:sz w:val="17"/>
              </w:rPr>
              <w:t>ÉLÉMENT</w:t>
            </w:r>
          </w:p>
          <w:shd w:val="clear" w:color="auto" w:fill="16305B"/>
        </w:tc>
        <w:tc>
          <w:tcPr>
            <w:tcW w:type="dxa" w:w="4706"/>
          </w:tcPr>
          <w:p>
            <w:r>
              <w:rPr>
                <w:b/>
                <w:color w:val="FFFFFF"/>
                <w:sz w:val="17"/>
              </w:rPr>
              <w:t>DÉTAIL</w:t>
            </w:r>
          </w:p>
          <w:shd w:val="clear" w:color="auto" w:fill="16305B"/>
        </w:tc>
      </w:tr>
      <w:tr>
        <w:tc>
          <w:tcPr>
            <w:tcW w:type="dxa" w:w="4706"/>
          </w:tcPr>
          <w:p>
            <w:pPr>
              <w:spacing w:after="40"/>
            </w:pPr>
            <w:r>
              <w:rPr>
                <w:b/>
                <w:i w:val="0"/>
                <w:color w:val="16305B"/>
                <w:sz w:val="20"/>
              </w:rPr>
              <w:t>Formation</w:t>
            </w:r>
          </w:p>
        </w:tc>
        <w:tc>
          <w:tcPr>
            <w:tcW w:type="dxa" w:w="4706"/>
          </w:tcPr>
          <w:p>
            <w:pPr>
              <w:spacing w:after="40"/>
            </w:pPr>
            <w:r>
              <w:rPr>
                <w:b w:val="0"/>
                <w:i w:val="0"/>
                <w:sz w:val="20"/>
              </w:rPr>
              <w:t>Master 1 — Manager du développement commercial (titre de niveau 7)</w:t>
            </w:r>
          </w:p>
        </w:tc>
      </w:tr>
      <w:tr>
        <w:tc>
          <w:tcPr>
            <w:tcW w:type="dxa" w:w="4706"/>
          </w:tcPr>
          <w:p>
            <w:pPr>
              <w:spacing w:after="40"/>
            </w:pPr>
            <w:r>
              <w:rPr>
                <w:b/>
                <w:i w:val="0"/>
                <w:color w:val="16305B"/>
                <w:sz w:val="20"/>
              </w:rPr>
              <w:t>Classe</w:t>
            </w:r>
          </w:p>
        </w:tc>
        <w:tc>
          <w:tcPr>
            <w:tcW w:type="dxa" w:w="4706"/>
          </w:tcPr>
          <w:p>
            <w:pPr>
              <w:spacing w:after="40"/>
            </w:pPr>
            <w:r>
              <w:rPr>
                <w:b w:val="0"/>
                <w:i w:val="0"/>
                <w:sz w:val="20"/>
              </w:rPr>
              <w:t>MDC 1, promotion en cours — 22 apprenants</w:t>
            </w:r>
          </w:p>
        </w:tc>
      </w:tr>
      <w:tr>
        <w:tc>
          <w:tcPr>
            <w:tcW w:type="dxa" w:w="4706"/>
          </w:tcPr>
          <w:p>
            <w:pPr>
              <w:spacing w:after="40"/>
            </w:pPr>
            <w:r>
              <w:rPr>
                <w:b/>
                <w:i w:val="0"/>
                <w:color w:val="16305B"/>
                <w:sz w:val="20"/>
              </w:rPr>
              <w:t>Rythme</w:t>
            </w:r>
          </w:p>
        </w:tc>
        <w:tc>
          <w:tcPr>
            <w:tcW w:type="dxa" w:w="4706"/>
          </w:tcPr>
          <w:p>
            <w:pPr>
              <w:spacing w:after="40"/>
            </w:pPr>
            <w:r>
              <w:rPr>
                <w:b w:val="0"/>
                <w:i w:val="0"/>
                <w:sz w:val="20"/>
              </w:rPr>
              <w:t>Alternance : une semaine en centre de formation, trois semaines en entreprise</w:t>
            </w:r>
          </w:p>
        </w:tc>
      </w:tr>
      <w:tr>
        <w:tc>
          <w:tcPr>
            <w:tcW w:type="dxa" w:w="4706"/>
          </w:tcPr>
          <w:p>
            <w:pPr>
              <w:spacing w:after="40"/>
            </w:pPr>
            <w:r>
              <w:rPr>
                <w:b/>
                <w:i w:val="0"/>
                <w:color w:val="16305B"/>
                <w:sz w:val="20"/>
              </w:rPr>
              <w:t>Matière</w:t>
            </w:r>
          </w:p>
        </w:tc>
        <w:tc>
          <w:tcPr>
            <w:tcW w:type="dxa" w:w="4706"/>
          </w:tcPr>
          <w:p>
            <w:pPr>
              <w:spacing w:after="40"/>
            </w:pPr>
            <w:r>
              <w:rPr>
                <w:b w:val="0"/>
                <w:i w:val="0"/>
                <w:sz w:val="20"/>
              </w:rPr>
              <w:t>Marketing opérationnel — 21 heures, six plages de 3 h 30</w:t>
            </w:r>
          </w:p>
        </w:tc>
      </w:tr>
      <w:tr>
        <w:tc>
          <w:tcPr>
            <w:tcW w:type="dxa" w:w="4706"/>
          </w:tcPr>
          <w:p>
            <w:pPr>
              <w:spacing w:after="40"/>
            </w:pPr>
            <w:r>
              <w:rPr>
                <w:b/>
                <w:i w:val="0"/>
                <w:color w:val="16305B"/>
                <w:sz w:val="20"/>
              </w:rPr>
              <w:t>Séquence</w:t>
            </w:r>
          </w:p>
        </w:tc>
        <w:tc>
          <w:tcPr>
            <w:tcW w:type="dxa" w:w="4706"/>
          </w:tcPr>
          <w:p>
            <w:pPr>
              <w:spacing w:after="40"/>
            </w:pPr>
            <w:r>
              <w:rPr>
                <w:b w:val="0"/>
                <w:i w:val="0"/>
                <w:sz w:val="20"/>
              </w:rPr>
              <w:t>« Le mix-marketing : 4P, 7P, 10P » — quatre plages</w:t>
            </w:r>
          </w:p>
        </w:tc>
      </w:tr>
      <w:tr>
        <w:tc>
          <w:tcPr>
            <w:tcW w:type="dxa" w:w="4706"/>
          </w:tcPr>
          <w:p>
            <w:pPr>
              <w:spacing w:after="40"/>
            </w:pPr>
            <w:r>
              <w:rPr>
                <w:b/>
                <w:i w:val="0"/>
                <w:color w:val="16305B"/>
                <w:sz w:val="20"/>
              </w:rPr>
              <w:t>Séance présentée</w:t>
            </w:r>
          </w:p>
        </w:tc>
        <w:tc>
          <w:tcPr>
            <w:tcW w:type="dxa" w:w="4706"/>
          </w:tcPr>
          <w:p>
            <w:pPr>
              <w:spacing w:after="40"/>
            </w:pPr>
            <w:r>
              <w:rPr>
                <w:b/>
                <w:i w:val="0"/>
                <w:color w:val="16305B"/>
                <w:sz w:val="20"/>
              </w:rPr>
              <w:t>La politique produit</w:t>
            </w:r>
            <w:r>
              <w:rPr>
                <w:b w:val="0"/>
                <w:i w:val="0"/>
                <w:sz w:val="20"/>
              </w:rPr>
              <w:t xml:space="preserve"> — plages 2 et 3 de la séquence, soit 7 heures de présentiel, séparées de trois semaines, encadrées par trois temps de travail asynchrone</w:t>
            </w:r>
          </w:p>
        </w:tc>
      </w:tr>
      <w:tr>
        <w:tc>
          <w:tcPr>
            <w:tcW w:type="dxa" w:w="4706"/>
          </w:tcPr>
          <w:p>
            <w:pPr>
              <w:spacing w:after="40"/>
            </w:pPr>
            <w:r>
              <w:rPr>
                <w:b/>
                <w:i w:val="0"/>
                <w:color w:val="16305B"/>
                <w:sz w:val="20"/>
              </w:rPr>
              <w:t>Bloc de compétences visé</w:t>
            </w:r>
          </w:p>
        </w:tc>
        <w:tc>
          <w:tcPr>
            <w:tcW w:type="dxa" w:w="4706"/>
          </w:tcPr>
          <w:p>
            <w:pPr>
              <w:spacing w:after="40"/>
            </w:pPr>
            <w:r>
              <w:rPr>
                <w:b w:val="0"/>
                <w:i w:val="0"/>
                <w:sz w:val="20"/>
              </w:rPr>
              <w:t>Élaboration et pilotage de la stratégie commerciale et marketing de l'organisation</w:t>
            </w:r>
          </w:p>
        </w:tc>
      </w:tr>
      <w:tr>
        <w:tc>
          <w:tcPr>
            <w:tcW w:type="dxa" w:w="4706"/>
          </w:tcPr>
          <w:p>
            <w:pPr>
              <w:spacing w:after="40"/>
            </w:pPr>
            <w:r>
              <w:rPr>
                <w:b/>
                <w:i w:val="0"/>
                <w:color w:val="16305B"/>
                <w:sz w:val="20"/>
              </w:rPr>
              <w:t>Période</w:t>
            </w:r>
          </w:p>
        </w:tc>
        <w:tc>
          <w:tcPr>
            <w:tcW w:type="dxa" w:w="4706"/>
          </w:tcPr>
          <w:p>
            <w:pPr>
              <w:spacing w:after="40"/>
            </w:pPr>
            <w:r>
              <w:rPr>
                <w:b w:val="0"/>
                <w:i w:val="0"/>
                <w:sz w:val="20"/>
              </w:rPr>
              <w:t>Deuxième semestre — la séquence intervient après le module de diagnostic stratégique, dont elle réutilise les acquis</w:t>
            </w:r>
          </w:p>
        </w:tc>
      </w:tr>
    </w:tbl>
    <w:p>
      <w:pPr>
        <w:spacing w:after="40"/>
      </w:pPr>
    </w:p>
    <w:p>
      <w:r>
        <w:rPr>
          <w:b w:val="0"/>
          <w:i w:val="0"/>
        </w:rPr>
        <w:t>Le groupe est composé d'alternants issus de parcours hétérogènes : environ un tiers vient d'un BTS commercial, un tiers d'un bachelor, le dernier tiers de licences universitaires généralistes. Cette hétérogénéité de parcours est le fait le plus déterminant de la conception, et j'y reviens plus bas : elle interdit à la fois de traiter le mix comme une découverte et de le traiter comme un acquis.</w:t>
      </w:r>
    </w:p>
    <w:p>
      <w:pPr>
        <w:pStyle w:val="Heading1"/>
      </w:pPr>
      <w:r>
        <w:t>2. Le contexte</w:t>
      </w:r>
    </w:p>
    <w:p>
      <w:pPr>
        <w:pStyle w:val="Heading2"/>
      </w:pPr>
      <w:r>
        <w:t>2.1 La matière et sa place dans le titre</w:t>
      </w:r>
    </w:p>
    <w:p>
      <w:r>
        <w:rPr>
          <w:b w:val="0"/>
          <w:i w:val="0"/>
        </w:rPr>
        <w:t xml:space="preserve">Le marketing opérationnel occupe, dans ce titre, une position charnière. Il vient après le diagnostic stratégique — qui apprend à lire un marché — et avant le pilotage de la performance — qui apprend à mesurer les effets d'une décision. Sa fonction propre est donc celle de la </w:t>
      </w:r>
      <w:r>
        <w:rPr>
          <w:b w:val="0"/>
          <w:i/>
        </w:rPr>
        <w:t>traduction</w:t>
      </w:r>
      <w:r>
        <w:rPr>
          <w:b w:val="0"/>
          <w:i w:val="0"/>
        </w:rPr>
        <w:t xml:space="preserve"> : transformer un positionnement en décisions concrètes sur l'offre, le prix, la distribution et la communication.</w:t>
      </w:r>
    </w:p>
    <w:p>
      <w:r>
        <w:rPr>
          <w:b w:val="0"/>
          <w:i w:val="0"/>
        </w:rPr>
        <w:t xml:space="preserve">La compétence du référentiel à laquelle la séquence contribue directement est formulée avec un verbe qui commande tout le reste : </w:t>
      </w:r>
      <w:r>
        <w:rPr>
          <w:b/>
          <w:i w:val="0"/>
          <w:color w:val="16305B"/>
        </w:rPr>
        <w:t>élaborer</w:t>
      </w:r>
      <w:r>
        <w:rPr>
          <w:b w:val="0"/>
          <w:i w:val="0"/>
        </w:rPr>
        <w:t xml:space="preserve"> un plan d'action commercial et marketing. Ce verbe situe l'attente au niveau 6 de la taxonomie révisée (créer). Une matière conçue et évaluée entre « mémoriser » et « comprendre » ne servirait donc pas la compétence, quelle que soit la qualité de ses contenus. C'est le premier constat que j'ai posé avant de concevoir, et il a déterminé le reste.</w:t>
      </w:r>
    </w:p>
    <w:p>
      <w:r>
        <w:rPr>
          <w:b w:val="0"/>
          <w:i w:val="0"/>
        </w:rPr>
        <w:t xml:space="preserve">La matière sert aussi, indirectement, deux compétences transversales que le référentiel exige et qu'aucune matière ne porte en propre : </w:t>
      </w:r>
      <w:r>
        <w:rPr>
          <w:b/>
          <w:i w:val="0"/>
          <w:color w:val="16305B"/>
        </w:rPr>
        <w:t>argumenter une recommandation devant un décideur</w:t>
      </w:r>
      <w:r>
        <w:rPr>
          <w:b w:val="0"/>
          <w:i w:val="0"/>
        </w:rPr>
        <w:t xml:space="preserve"> et </w:t>
      </w:r>
      <w:r>
        <w:rPr>
          <w:b/>
          <w:i w:val="0"/>
          <w:color w:val="16305B"/>
        </w:rPr>
        <w:t>exploiter des données pour décider</w:t>
      </w:r>
      <w:r>
        <w:rPr>
          <w:b w:val="0"/>
          <w:i w:val="0"/>
        </w:rPr>
        <w:t>. J'ai choisi de les travailler explicitement plutôt que de supposer qu'un collègue s'en chargeait — d'où l'oral noté et le cas à données surabondantes que l'on trouvera dans le scénario.</w:t>
      </w:r>
    </w:p>
    <w:p>
      <w:pPr>
        <w:pStyle w:val="Heading2"/>
      </w:pPr>
      <w:r>
        <w:t>2.2 Le thème et les raisons de ce choix</w:t>
      </w:r>
    </w:p>
    <w:p>
      <w:r>
        <w:rPr>
          <w:b w:val="0"/>
          <w:i w:val="0"/>
        </w:rPr>
        <w:t xml:space="preserve">J'ai retenu la </w:t>
      </w:r>
      <w:r>
        <w:rPr>
          <w:b/>
          <w:i w:val="0"/>
          <w:color w:val="16305B"/>
        </w:rPr>
        <w:t>politique produit</w:t>
      </w:r>
      <w:r>
        <w:rPr>
          <w:b w:val="0"/>
          <w:i w:val="0"/>
        </w:rPr>
        <w:t xml:space="preserve"> plutôt qu'une autre composante du mix, et j'ai retenu le mix plutôt qu'un autre thème de la matière. Trois raisons, dans l'ordre où elles ont pesé.</w:t>
      </w:r>
    </w:p>
    <w:p>
      <w:r>
        <w:rPr>
          <w:b/>
          <w:i w:val="0"/>
          <w:color w:val="16305B"/>
        </w:rPr>
        <w:t>Première raison : c'est le thème où l'écart entre le niveau réel et le niveau attendu est le plus grand.</w:t>
      </w:r>
      <w:r>
        <w:rPr>
          <w:b w:val="0"/>
          <w:i w:val="0"/>
        </w:rPr>
        <w:t xml:space="preserve"> Les apprenants « connaissent les 4P » — ils l'affirment tous en début d'année, et c'est vrai au niveau 1 de la taxonomie : ils savent les citer. Mais dans les dossiers de bloc de la promotion précédente, aucun n'a su justifier une décision de gamme au regard d'un positionnement. Ils disposaient du vocabulaire et pas de la compétence. C'est exactement la configuration où un cours descendant est inutile — il redit ce qu'ils savent déjà — et où un cours qui présuppose la compétence est trop haut.</w:t>
      </w:r>
    </w:p>
    <w:p>
      <w:r>
        <w:rPr>
          <w:b/>
          <w:i w:val="0"/>
          <w:color w:val="16305B"/>
        </w:rPr>
        <w:t>Deuxième raison : le thème se prête à l'alternance.</w:t>
      </w:r>
      <w:r>
        <w:rPr>
          <w:b w:val="0"/>
          <w:i w:val="0"/>
        </w:rPr>
        <w:t xml:space="preserve"> Chacun de ces apprenants travaille dans une entreprise qui vend quelque chose. La politique produit est donc le seul thème de la matière où chaque apprenant dispose, sans effort de ma part, d'un cas réel, personnel et vérifiable. Cette ressource-là est trop rare pour ne pas être exploitée : elle donne au thème une valeur perçue immédiate, ce qui est le premier levier de motivation.</w:t>
      </w:r>
    </w:p>
    <w:p>
      <w:r>
        <w:rPr>
          <w:b/>
          <w:i w:val="0"/>
          <w:color w:val="16305B"/>
        </w:rPr>
        <w:t>Troisième raison : c'est un thème qui supporte la contradiction.</w:t>
      </w:r>
      <w:r>
        <w:rPr>
          <w:b w:val="0"/>
          <w:i w:val="0"/>
        </w:rPr>
        <w:t xml:space="preserve"> Une décision de gamme n'a jamais une seule bonne réponse : elle arbitre entre marge, volume, risque de cannibalisation et cohérence de marque. C'est une propriété rare et précieuse, parce qu'elle permet de construire des activités où l'apprenant doit </w:t>
      </w:r>
      <w:r>
        <w:rPr>
          <w:b w:val="0"/>
          <w:i/>
        </w:rPr>
        <w:t>trancher et justifier</w:t>
      </w:r>
      <w:r>
        <w:rPr>
          <w:b w:val="0"/>
          <w:i w:val="0"/>
        </w:rPr>
        <w:t xml:space="preserve"> — c'est-à-dire travailler aux niveaux 4 et 5 — plutôt que d'appliquer une procédure.</w:t>
      </w:r>
    </w:p>
    <w:tbl>
      <w:tblPr>
        <w:tblW w:type="auto" w:w="0"/>
        <w:jc w:val="center"/>
        <w:tblLook w:firstColumn="1" w:firstRow="1" w:lastColumn="0" w:lastRow="0" w:noHBand="0" w:noVBand="1" w:val="04A0"/>
        <w:tblBorders>
          <w:top w:val="single" w:sz="4" w:space="0" w:color="C9D6E8"/>
          <w:left w:val="single" w:sz="4" w:space="0" w:color="C9D6E8"/>
          <w:bottom w:val="single" w:sz="4" w:space="0" w:color="C9D6E8"/>
          <w:right w:val="single" w:sz="4" w:space="0" w:color="C9D6E8"/>
          <w:insideH w:val="single" w:sz="4" w:space="0" w:color="C9D6E8"/>
          <w:insideV w:val="single" w:sz="4" w:space="0" w:color="C9D6E8"/>
        </w:tblBorders>
      </w:tblPr>
      <w:tblGrid>
        <w:gridCol w:w="9412"/>
      </w:tblGrid>
      <w:tr>
        <w:tc>
          <w:tcPr>
            <w:tcW w:type="dxa" w:w="9412"/>
          </w:tcPr>
          <w:p>
            <w:pPr>
              <w:spacing w:before="80" w:after="80"/>
            </w:pPr>
            <w:r>
              <w:rPr>
                <w:b/>
                <w:i w:val="0"/>
                <w:color w:val="16305B"/>
              </w:rPr>
              <w:t>Ce que je n'ai pas retenu, et pourquoi.</w:t>
            </w:r>
            <w:r>
              <w:rPr>
                <w:b w:val="0"/>
                <w:i w:val="0"/>
              </w:rPr>
              <w:t xml:space="preserve"> J'avais d'abord envisagé de traiter la politique de prix, qui est plus technique et plus facile à évaluer. Je l'ai écartée : elle se prête mal au travail en entreprise (les alternants n'ont pas accès aux structures de coûts) et elle produit des activités de calcul, donc du niveau 3. Le prix sera traité à la séance suivante, en s'appuyant sur ce que la politique produit aura installé.</w:t>
            </w:r>
          </w:p>
          <w:shd w:val="clear" w:color="auto" w:fill="EEF3FA"/>
        </w:tc>
      </w:tr>
    </w:tbl>
    <w:p>
      <w:pPr>
        <w:spacing w:after="40"/>
      </w:pPr>
    </w:p>
    <w:p>
      <w:pPr>
        <w:pStyle w:val="Heading2"/>
      </w:pPr>
      <w:r>
        <w:t>2.3 Le public : ce que je sais d'eux, et comment je le sais</w:t>
      </w:r>
    </w:p>
    <w:p>
      <w:r>
        <w:rPr>
          <w:b w:val="0"/>
          <w:i w:val="0"/>
        </w:rPr>
        <w:t>Trois éléments ont structuré mes choix, et je précise pour chacun sur quoi je m'appuie.</w:t>
      </w:r>
    </w:p>
    <w:p>
      <w:pPr>
        <w:pStyle w:val="ListBullet"/>
        <w:spacing w:after="60"/>
      </w:pPr>
      <w:r>
        <w:rPr>
          <w:b/>
          <w:i w:val="0"/>
          <w:color w:val="16305B"/>
        </w:rPr>
        <w:t>L'hétérogénéité des acquis.</w:t>
      </w:r>
      <w:r>
        <w:rPr>
          <w:b w:val="0"/>
          <w:i w:val="0"/>
        </w:rPr>
        <w:t xml:space="preserve"> Un quiz de positionnement en début d'année, portant sur cinq notions de marketing, avait montré un écart considérable : quatre apprenants répondaient juste aux cinq questions, six à moins de deux. L'écart ne recoupait pas les diplômes d'origine — ce qui m'a évité de différencier sur un critère faux.</w:t>
      </w:r>
    </w:p>
    <w:p>
      <w:pPr>
        <w:pStyle w:val="ListBullet"/>
        <w:spacing w:after="60"/>
      </w:pPr>
      <w:r>
        <w:rPr>
          <w:b/>
          <w:i w:val="0"/>
          <w:color w:val="16305B"/>
        </w:rPr>
        <w:t>La fatigue du retour d'alternance.</w:t>
      </w:r>
      <w:r>
        <w:rPr>
          <w:b w:val="0"/>
          <w:i w:val="0"/>
        </w:rPr>
        <w:t xml:space="preserve"> Les plages du lundi matin, en début de semaine de centre, sont les plus difficiles. Ce n'est pas une impression : sur la première période, le taux de participation orale y était nettement plus faible que le jeudi. J'ai obtenu que cette séance soit placée en milieu de semaine.</w:t>
      </w:r>
    </w:p>
    <w:p>
      <w:pPr>
        <w:pStyle w:val="ListBullet"/>
        <w:spacing w:after="60"/>
      </w:pPr>
      <w:r>
        <w:rPr>
          <w:b/>
          <w:i w:val="0"/>
          <w:color w:val="16305B"/>
        </w:rPr>
        <w:t>Le rapport au travail personnel.</w:t>
      </w:r>
      <w:r>
        <w:rPr>
          <w:b w:val="0"/>
          <w:i w:val="0"/>
        </w:rPr>
        <w:t xml:space="preserve"> Les premiers travaux demandés entre deux semaines de centre avaient été rendus par moins de la moitié du groupe. En interrogeant, la cause n'était pas le désintérêt mais la charge en entreprise et l'absence de moment identifiable pour le faire. J'en ai tiré deux conséquences de conception : borner strictement la durée du travail asynchrone, et garantir qu'il est faisable depuis un téléphone.</w:t>
      </w:r>
    </w:p>
    <w:p>
      <w:pPr>
        <w:pStyle w:val="Heading2"/>
      </w:pPr>
      <w:r>
        <w:t>2.4 Les six questions préalables</w:t>
      </w:r>
    </w:p>
    <w:tbl>
      <w:tblPr>
        <w:tblStyle w:val="TableGrid"/>
        <w:tblW w:type="auto" w:w="0"/>
        <w:tblLook w:firstColumn="1" w:firstRow="1" w:lastColumn="0" w:lastRow="0" w:noHBand="0" w:noVBand="1" w:val="04A0"/>
        <w:tblBorders>
          <w:top w:val="single" w:sz="4" w:space="0" w:color="D6DEE9"/>
          <w:left w:val="single" w:sz="4" w:space="0" w:color="D6DEE9"/>
          <w:bottom w:val="single" w:sz="4" w:space="0" w:color="D6DEE9"/>
          <w:right w:val="single" w:sz="4" w:space="0" w:color="D6DEE9"/>
          <w:insideH w:val="single" w:sz="4" w:space="0" w:color="D6DEE9"/>
          <w:insideV w:val="single" w:sz="4" w:space="0" w:color="D6DEE9"/>
        </w:tblBorders>
      </w:tblPr>
      <w:tblGrid>
        <w:gridCol w:w="4706"/>
        <w:gridCol w:w="4706"/>
      </w:tblGrid>
      <w:tr>
        <w:tc>
          <w:tcPr>
            <w:tcW w:type="dxa" w:w="4706"/>
          </w:tcPr>
          <w:p>
            <w:r>
              <w:rPr>
                <w:b/>
                <w:color w:val="FFFFFF"/>
                <w:sz w:val="17"/>
              </w:rPr>
              <w:t>QUESTION</w:t>
            </w:r>
          </w:p>
          <w:shd w:val="clear" w:color="auto" w:fill="16305B"/>
        </w:tc>
        <w:tc>
          <w:tcPr>
            <w:tcW w:type="dxa" w:w="4706"/>
          </w:tcPr>
          <w:p>
            <w:r>
              <w:rPr>
                <w:b/>
                <w:color w:val="FFFFFF"/>
                <w:sz w:val="17"/>
              </w:rPr>
              <w:t>RÉPONSE RETENUE</w:t>
            </w:r>
          </w:p>
          <w:shd w:val="clear" w:color="auto" w:fill="16305B"/>
        </w:tc>
      </w:tr>
      <w:tr>
        <w:tc>
          <w:tcPr>
            <w:tcW w:type="dxa" w:w="4706"/>
          </w:tcPr>
          <w:p>
            <w:pPr>
              <w:spacing w:after="40"/>
            </w:pPr>
            <w:r>
              <w:rPr>
                <w:b/>
                <w:i w:val="0"/>
                <w:color w:val="16305B"/>
                <w:sz w:val="20"/>
              </w:rPr>
              <w:t>Ce thème a-t-il été traité antérieurement, et par qui ?</w:t>
            </w:r>
          </w:p>
        </w:tc>
        <w:tc>
          <w:tcPr>
            <w:tcW w:type="dxa" w:w="4706"/>
          </w:tcPr>
          <w:p>
            <w:pPr>
              <w:spacing w:after="40"/>
            </w:pPr>
            <w:r>
              <w:rPr>
                <w:b w:val="0"/>
                <w:i w:val="0"/>
                <w:sz w:val="20"/>
              </w:rPr>
              <w:t>Oui, dans les cursus antérieurs des apprenants, de façon inégale, et jamais au niveau « analyser ». Pas dans cette formation avant cette séquence</w:t>
            </w:r>
          </w:p>
        </w:tc>
      </w:tr>
      <w:tr>
        <w:tc>
          <w:tcPr>
            <w:tcW w:type="dxa" w:w="4706"/>
          </w:tcPr>
          <w:p>
            <w:pPr>
              <w:spacing w:after="40"/>
            </w:pPr>
            <w:r>
              <w:rPr>
                <w:b/>
                <w:i w:val="0"/>
                <w:color w:val="16305B"/>
                <w:sz w:val="20"/>
              </w:rPr>
              <w:t>Quelles connaissances ont-ils déjà ?</w:t>
            </w:r>
          </w:p>
        </w:tc>
        <w:tc>
          <w:tcPr>
            <w:tcW w:type="dxa" w:w="4706"/>
          </w:tcPr>
          <w:p>
            <w:pPr>
              <w:spacing w:after="40"/>
            </w:pPr>
            <w:r>
              <w:rPr>
                <w:b w:val="0"/>
                <w:i w:val="0"/>
                <w:sz w:val="20"/>
              </w:rPr>
              <w:t>Le vocabulaire du mix, de façon fiable ; les niveaux du produit et les dimensions de gamme, de façon très inégale ; la notion de cannibalisation, presque jamais</w:t>
            </w:r>
          </w:p>
        </w:tc>
      </w:tr>
      <w:tr>
        <w:tc>
          <w:tcPr>
            <w:tcW w:type="dxa" w:w="4706"/>
          </w:tcPr>
          <w:p>
            <w:pPr>
              <w:spacing w:after="40"/>
            </w:pPr>
            <w:r>
              <w:rPr>
                <w:b/>
                <w:i w:val="0"/>
                <w:color w:val="16305B"/>
                <w:sz w:val="20"/>
              </w:rPr>
              <w:t>Quels prérequis minimaux ?</w:t>
            </w:r>
          </w:p>
        </w:tc>
        <w:tc>
          <w:tcPr>
            <w:tcW w:type="dxa" w:w="4706"/>
          </w:tcPr>
          <w:p>
            <w:pPr>
              <w:spacing w:after="40"/>
            </w:pPr>
            <w:r>
              <w:rPr>
                <w:b w:val="0"/>
                <w:i w:val="0"/>
                <w:sz w:val="20"/>
              </w:rPr>
              <w:t>Savoir lire un catalogue et un tableau de ventes ; connaître la notion de positionnement, acquise au module de diagnostic</w:t>
            </w:r>
          </w:p>
        </w:tc>
      </w:tr>
      <w:tr>
        <w:tc>
          <w:tcPr>
            <w:tcW w:type="dxa" w:w="4706"/>
          </w:tcPr>
          <w:p>
            <w:pPr>
              <w:spacing w:after="40"/>
            </w:pPr>
            <w:r>
              <w:rPr>
                <w:b/>
                <w:i w:val="0"/>
                <w:color w:val="16305B"/>
                <w:sz w:val="20"/>
              </w:rPr>
              <w:t>Quels savoirs nouveaux vais-je apporter ?</w:t>
            </w:r>
          </w:p>
        </w:tc>
        <w:tc>
          <w:tcPr>
            <w:tcW w:type="dxa" w:w="4706"/>
          </w:tcPr>
          <w:p>
            <w:pPr>
              <w:spacing w:after="40"/>
            </w:pPr>
            <w:r>
              <w:rPr>
                <w:b w:val="0"/>
                <w:i w:val="0"/>
                <w:sz w:val="20"/>
              </w:rPr>
              <w:t>Les cinq niveaux du produit ; les dimensions de gamme et leur calcul ; les mécanismes d'extension et le risque de cannibalisation ; l'analyse de portefeuille ; les limites du modèle du mix</w:t>
            </w:r>
          </w:p>
        </w:tc>
      </w:tr>
      <w:tr>
        <w:tc>
          <w:tcPr>
            <w:tcW w:type="dxa" w:w="4706"/>
          </w:tcPr>
          <w:p>
            <w:pPr>
              <w:spacing w:after="40"/>
            </w:pPr>
            <w:r>
              <w:rPr>
                <w:b/>
                <w:i w:val="0"/>
                <w:color w:val="16305B"/>
                <w:sz w:val="20"/>
              </w:rPr>
              <w:t>L'objectif est-il à leur portée ?</w:t>
            </w:r>
          </w:p>
        </w:tc>
        <w:tc>
          <w:tcPr>
            <w:tcW w:type="dxa" w:w="4706"/>
          </w:tcPr>
          <w:p>
            <w:pPr>
              <w:spacing w:after="40"/>
            </w:pPr>
            <w:r>
              <w:rPr>
                <w:b w:val="0"/>
                <w:i w:val="0"/>
                <w:sz w:val="20"/>
              </w:rPr>
              <w:t>Oui, à condition de le construire en deux plages avec un travail intermédiaire. En une seule plage de 3 h 30, l'objectif de niveau 5 n'est pas atteignable pour la moitié du groupe</w:t>
            </w:r>
          </w:p>
        </w:tc>
      </w:tr>
      <w:tr>
        <w:tc>
          <w:tcPr>
            <w:tcW w:type="dxa" w:w="4706"/>
          </w:tcPr>
          <w:p>
            <w:pPr>
              <w:spacing w:after="40"/>
            </w:pPr>
            <w:r>
              <w:rPr>
                <w:b/>
                <w:i w:val="0"/>
                <w:color w:val="16305B"/>
                <w:sz w:val="20"/>
              </w:rPr>
              <w:t>Que doivent-ils retenir, et comment le vérifier ?</w:t>
            </w:r>
          </w:p>
        </w:tc>
        <w:tc>
          <w:tcPr>
            <w:tcW w:type="dxa" w:w="4706"/>
          </w:tcPr>
          <w:p>
            <w:pPr>
              <w:spacing w:after="40"/>
            </w:pPr>
            <w:r>
              <w:rPr>
                <w:b w:val="0"/>
                <w:i w:val="0"/>
                <w:sz w:val="20"/>
              </w:rPr>
              <w:t>Qu'une décision de gamme se justifie au regard du positionnement et de données, jamais par principe. Vérifié par un oral argumenté et par un cas individuel inédit</w:t>
            </w:r>
          </w:p>
        </w:tc>
      </w:tr>
    </w:tbl>
    <w:p>
      <w:pPr>
        <w:spacing w:after="40"/>
      </w:pPr>
    </w:p>
    <w:p>
      <w:pPr>
        <w:pStyle w:val="Heading2"/>
      </w:pPr>
      <w:r>
        <w:t>2.5 Les choix pédagogiques opérés</w:t>
      </w:r>
    </w:p>
    <w:p>
      <w:r>
        <w:rPr>
          <w:b w:val="0"/>
          <w:i w:val="0"/>
        </w:rPr>
        <w:t>Sept choix structurent cette séance. Je les expose ici avec leur justification, parce que c'est de leur cohérence que dépend tout le scénario.</w:t>
      </w:r>
    </w:p>
    <w:p>
      <w:r>
        <w:rPr>
          <w:b/>
          <w:i w:val="0"/>
          <w:color w:val="16305B"/>
        </w:rPr>
        <w:t>Choix 1 — Entrer par un cas, pas par la théorie.</w:t>
      </w:r>
      <w:r>
        <w:rPr>
          <w:b w:val="0"/>
          <w:i w:val="0"/>
        </w:rPr>
        <w:t xml:space="preserve"> La plage A ne commence pas par un apport mais par une étude de cas, et l'apport structurant n'intervient qu'après. J'ai fait ce choix parce que ces apprenants ont déjà rencontré la notion : ouvrir par un exposé aurait produit un sentiment de répétition et démobilisé la moitié du groupe dès les premières minutes. L'entrée inductive permet en outre de </w:t>
      </w:r>
      <w:r>
        <w:rPr>
          <w:b w:val="0"/>
          <w:i/>
        </w:rPr>
        <w:t>mesurer</w:t>
      </w:r>
      <w:r>
        <w:rPr>
          <w:b w:val="0"/>
          <w:i w:val="0"/>
        </w:rPr>
        <w:t xml:space="preserve"> ce qui reste acquis et de faire apparaître les représentations fausses avant de les traiter. Je sais que cette entrée n'est pas toujours la bonne : pour une notion entièrement nouvelle, la recherche sur le guidage montre qu'un apprenant novice tire davantage d'un enseignement explicite. Ici, le groupe n'est pas novice, et c'est ce qui rend le choix défendable.</w:t>
      </w:r>
    </w:p>
    <w:p>
      <w:r>
        <w:rPr>
          <w:b/>
          <w:i w:val="0"/>
          <w:color w:val="16305B"/>
        </w:rPr>
        <w:t>Choix 2 — Répartir sur deux plages séparées de trois semaines, et exploiter cet écart.</w:t>
      </w:r>
      <w:r>
        <w:rPr>
          <w:b w:val="0"/>
          <w:i w:val="0"/>
        </w:rPr>
        <w:t xml:space="preserve"> Le découpage m'était imposé par le calendrier ; j'ai décidé d'en faire un levier plutôt qu'une contrainte. L'intersession permet un travail sur un produit réel, en entreprise, et l'écart de trois semaines produit un effet d'espacement : la plage B s'ouvre sur une reprise active de ce qui a été traité trois semaines plus tôt, ce qui consolide mieux qu'un enchaînement massé. Le coût de ce choix est réel — il faut relancer, dépouiller, et le groupe revient avec des acquis partiellement effacés. Je l'ai accepté en connaissance de cause.</w:t>
      </w:r>
    </w:p>
    <w:p>
      <w:r>
        <w:rPr>
          <w:b/>
          <w:i w:val="0"/>
          <w:color w:val="16305B"/>
        </w:rPr>
        <w:t>Choix 3 — Ancrer sur le produit de leur entreprise.</w:t>
      </w:r>
      <w:r>
        <w:rPr>
          <w:b w:val="0"/>
          <w:i w:val="0"/>
        </w:rPr>
        <w:t xml:space="preserve"> Chaque apprenant travaille, en A0 puis en A7 puis en B0, sur un produit ou une prestation de son entreprise d'accueil. Ce choix sert la valeur perçue — ils voient à quoi cela sert — et il produit un matériau que je n'aurais pas pu fabriquer. Il a un défaut que j'ai dû traiter : environ un quart du groupe travaille dans des entreprises de service, où la notion de « profondeur de gamme » ne s'applique pas telle quelle. J'ai prévu de les orienter vers les 7P plutôt que de forcer la grille produit — ce qui, incidemment, donne du sens à l'extension services du modèle.</w:t>
      </w:r>
    </w:p>
    <w:p>
      <w:r>
        <w:rPr>
          <w:b/>
          <w:i w:val="0"/>
          <w:color w:val="16305B"/>
        </w:rPr>
        <w:t>Choix 4 — Alterner cinq méthodes.</w:t>
      </w:r>
      <w:r>
        <w:rPr>
          <w:b w:val="0"/>
          <w:i w:val="0"/>
        </w:rPr>
        <w:t xml:space="preserve"> Sur sept heures, la séance mobilise successivement l'affirmative, la démonstrative, l'interrogative, l'expérimentale et l'active. Ce n'est pas de la variété pour la variété : chaque méthode est choisie pour l'objectif du temps concerné. L'apport structurant est démonstratif parce qu'il transmet une structure ; les cas sont actifs parce qu'ils visent le niveau 4 ; l'atelier individuel est expérimental parce qu'il fait manipuler ; les restitutions sont interrogatives parce que le savoir est alors dans la salle. Le contrôle que je me suis imposé est simple : aucune méthode n'occupe deux temps consécutifs.</w:t>
      </w:r>
    </w:p>
    <w:p>
      <w:r>
        <w:rPr>
          <w:b/>
          <w:i w:val="0"/>
          <w:color w:val="16305B"/>
        </w:rPr>
        <w:t>Choix 5 — Cinq évaluations, de cinq statuts différents.</w:t>
      </w:r>
      <w:r>
        <w:rPr>
          <w:b w:val="0"/>
          <w:i w:val="0"/>
        </w:rPr>
        <w:t xml:space="preserve"> Une évaluation diagnostique en amont (non notée), plusieurs évaluations formatives en cours de séance, une évaluation par les pairs pendant l'intersession, et deux évaluations sommatives — un oral collectif à part individuelle et un écrit individuel sur cas inédit. Ce dispositif répond à une exigence précise : la compétence visée est de niveau 5 à 6, or un écrit fermé ne mesure pas un arbitrage argumenté. Il fallait un oral. Mais un oral de groupe seul ne mesure rien d'individuel : d'où le tirage au sort du porte-parole et l'écrit individuel qui suit.</w:t>
      </w:r>
    </w:p>
    <w:p>
      <w:r>
        <w:rPr>
          <w:b/>
          <w:i w:val="0"/>
          <w:color w:val="16305B"/>
        </w:rPr>
        <w:t>Choix 6 — Distribuer la grille d'évaluation trois semaines avant l'épreuve.</w:t>
      </w:r>
      <w:r>
        <w:rPr>
          <w:b w:val="0"/>
          <w:i w:val="0"/>
        </w:rPr>
        <w:t xml:space="preserve"> La grille de la soutenance est remise en A1, c'est-à-dire au tout début de la première plage, pour une épreuve qui a lieu en fin de seconde plage. Ce choix vise directement la perception de contrôlabilité : un apprenant qui sait sur quoi il sera jugé peut agir sur son résultat. C'est aussi ce qui rend la correction défendable en cas de contestation.</w:t>
      </w:r>
    </w:p>
    <w:p>
      <w:r>
        <w:rPr>
          <w:b/>
          <w:i w:val="0"/>
          <w:color w:val="16305B"/>
        </w:rPr>
        <w:t>Choix 7 — Un seul outil numérique, choisi pour ce qu'il rend possible.</w:t>
      </w:r>
      <w:r>
        <w:rPr>
          <w:b w:val="0"/>
          <w:i w:val="0"/>
        </w:rPr>
        <w:t xml:space="preserve"> Le dispositif mobilise l'espace de classe pour les dépôts et un outil de vote pour un temps précis de la plage A. Je n'en ai pas ajouté davantage, alors que la tentation existait. La règle que je me suis donnée : un outil n'a sa place que s'il rend possible une activité qui, sans lui, ne le serait pas. Le vote en direct fait répondre </w:t>
      </w:r>
      <w:r>
        <w:rPr>
          <w:b w:val="0"/>
          <w:i/>
        </w:rPr>
        <w:t>tout</w:t>
      </w:r>
      <w:r>
        <w:rPr>
          <w:b w:val="0"/>
          <w:i w:val="0"/>
        </w:rPr>
        <w:t xml:space="preserve"> le groupe en même temps et affiche la distribution des réponses : c'est impossible à main levée sans que chacun voie ce que votent les autres. Le reste — les dépôts, la relecture par les pairs — aurait pu se faire sur papier ; l'espace numérique n'y apporte que du confort de gestion, et je ne le présente pas autrement.</w:t>
      </w:r>
    </w:p>
    <w:p>
      <w:pPr>
        <w:pStyle w:val="Heading1"/>
      </w:pPr>
      <w:r>
        <w:t>3. Les objectifs</w:t>
      </w:r>
    </w:p>
    <w:p>
      <w:pPr>
        <w:pStyle w:val="Heading2"/>
      </w:pPr>
      <w:r>
        <w:t>3.1 L'objectif de formation</w:t>
      </w:r>
    </w:p>
    <w:p>
      <w:r>
        <w:rPr>
          <w:b w:val="0"/>
          <w:i w:val="0"/>
        </w:rPr>
        <w:t>À l'issue de la matière, l'apprenant sera capable d'</w:t>
      </w:r>
      <w:r>
        <w:rPr>
          <w:b/>
          <w:i w:val="0"/>
          <w:color w:val="16305B"/>
        </w:rPr>
        <w:t>élaborer le plan d'action marketing opérationnel d'une offre</w:t>
      </w:r>
      <w:r>
        <w:rPr>
          <w:b w:val="0"/>
          <w:i w:val="0"/>
        </w:rPr>
        <w:t xml:space="preserve"> et d'en justifier chaque composante au regard du positionnement retenu et de données de marché.</w:t>
      </w:r>
    </w:p>
    <w:p>
      <w:pPr>
        <w:pStyle w:val="Heading2"/>
      </w:pPr>
      <w:r>
        <w:t>3.2 Les objectifs pédagogiques opérationnels de la séance</w:t>
      </w:r>
    </w:p>
    <w:p>
      <w:r>
        <w:rPr>
          <w:b w:val="0"/>
          <w:i w:val="0"/>
        </w:rPr>
        <w:t>Sept objectifs, situés dans la taxonomie révisée d'Anderson et Krathwohl. Le tableau indique le processus cognitif, le type de connaissance mobilisé, le moment où l'objectif se travaille et le format qui le mesure.</w:t>
      </w:r>
    </w:p>
    <w:tbl>
      <w:tblPr>
        <w:tblStyle w:val="TableGrid"/>
        <w:tblW w:type="auto" w:w="0"/>
        <w:tblLook w:firstColumn="1" w:firstRow="1" w:lastColumn="0" w:lastRow="0" w:noHBand="0" w:noVBand="1" w:val="04A0"/>
        <w:tblBorders>
          <w:top w:val="single" w:sz="4" w:space="0" w:color="D6DEE9"/>
          <w:left w:val="single" w:sz="4" w:space="0" w:color="D6DEE9"/>
          <w:bottom w:val="single" w:sz="4" w:space="0" w:color="D6DEE9"/>
          <w:right w:val="single" w:sz="4" w:space="0" w:color="D6DEE9"/>
          <w:insideH w:val="single" w:sz="4" w:space="0" w:color="D6DEE9"/>
          <w:insideV w:val="single" w:sz="4" w:space="0" w:color="D6DEE9"/>
        </w:tblBorders>
      </w:tblPr>
      <w:tblGrid>
        <w:gridCol w:w="1882"/>
        <w:gridCol w:w="1882"/>
        <w:gridCol w:w="1882"/>
        <w:gridCol w:w="1882"/>
        <w:gridCol w:w="1882"/>
      </w:tblGrid>
      <w:tr>
        <w:tc>
          <w:tcPr>
            <w:tcW w:type="dxa" w:w="1882"/>
          </w:tcPr>
          <w:p>
            <w:r>
              <w:rPr>
                <w:b/>
                <w:color w:val="FFFFFF"/>
                <w:sz w:val="17"/>
              </w:rPr>
              <w:t>OBJECTIF OPÉRATIONNEL</w:t>
            </w:r>
          </w:p>
          <w:shd w:val="clear" w:color="auto" w:fill="16305B"/>
        </w:tc>
        <w:tc>
          <w:tcPr>
            <w:tcW w:type="dxa" w:w="1882"/>
          </w:tcPr>
          <w:p>
            <w:r>
              <w:rPr>
                <w:b/>
                <w:color w:val="FFFFFF"/>
                <w:sz w:val="17"/>
              </w:rPr>
              <w:t>PROCESSUS</w:t>
            </w:r>
          </w:p>
          <w:shd w:val="clear" w:color="auto" w:fill="16305B"/>
        </w:tc>
        <w:tc>
          <w:tcPr>
            <w:tcW w:type="dxa" w:w="1882"/>
          </w:tcPr>
          <w:p>
            <w:r>
              <w:rPr>
                <w:b/>
                <w:color w:val="FFFFFF"/>
                <w:sz w:val="17"/>
              </w:rPr>
              <w:t>CONNAISSANCE</w:t>
            </w:r>
          </w:p>
          <w:shd w:val="clear" w:color="auto" w:fill="16305B"/>
        </w:tc>
        <w:tc>
          <w:tcPr>
            <w:tcW w:type="dxa" w:w="1882"/>
          </w:tcPr>
          <w:p>
            <w:r>
              <w:rPr>
                <w:b/>
                <w:color w:val="FFFFFF"/>
                <w:sz w:val="17"/>
              </w:rPr>
              <w:t>TRAVAILLÉ EN</w:t>
            </w:r>
          </w:p>
          <w:shd w:val="clear" w:color="auto" w:fill="16305B"/>
        </w:tc>
        <w:tc>
          <w:tcPr>
            <w:tcW w:type="dxa" w:w="1882"/>
          </w:tcPr>
          <w:p>
            <w:r>
              <w:rPr>
                <w:b/>
                <w:color w:val="FFFFFF"/>
                <w:sz w:val="17"/>
              </w:rPr>
              <w:t>ÉVALUÉ PAR</w:t>
            </w:r>
          </w:p>
          <w:shd w:val="clear" w:color="auto" w:fill="16305B"/>
        </w:tc>
      </w:tr>
      <w:tr>
        <w:tc>
          <w:tcPr>
            <w:tcW w:type="dxa" w:w="1882"/>
          </w:tcPr>
          <w:p>
            <w:pPr>
              <w:spacing w:after="40"/>
            </w:pPr>
            <w:r>
              <w:rPr>
                <w:b w:val="0"/>
                <w:i w:val="0"/>
                <w:sz w:val="20"/>
              </w:rPr>
              <w:t>Distinguer les composantes du mix et situer les extensions 7P et 10P</w:t>
            </w:r>
          </w:p>
        </w:tc>
        <w:tc>
          <w:tcPr>
            <w:tcW w:type="dxa" w:w="1882"/>
          </w:tcPr>
          <w:p>
            <w:pPr>
              <w:spacing w:after="40"/>
            </w:pPr>
            <w:r>
              <w:rPr>
                <w:b w:val="0"/>
                <w:i w:val="0"/>
                <w:sz w:val="20"/>
              </w:rPr>
              <w:t xml:space="preserve">2 — Comprendre </w:t>
            </w:r>
            <w:r>
              <w:rPr>
                <w:b w:val="0"/>
                <w:i/>
                <w:sz w:val="20"/>
              </w:rPr>
              <w:t>(classer)</w:t>
            </w:r>
          </w:p>
        </w:tc>
        <w:tc>
          <w:tcPr>
            <w:tcW w:type="dxa" w:w="1882"/>
          </w:tcPr>
          <w:p>
            <w:pPr>
              <w:spacing w:after="40"/>
            </w:pPr>
            <w:r>
              <w:rPr>
                <w:b w:val="0"/>
                <w:i w:val="0"/>
                <w:sz w:val="20"/>
              </w:rPr>
              <w:t>Factuelle</w:t>
            </w:r>
          </w:p>
        </w:tc>
        <w:tc>
          <w:tcPr>
            <w:tcW w:type="dxa" w:w="1882"/>
          </w:tcPr>
          <w:p>
            <w:pPr>
              <w:spacing w:after="40"/>
            </w:pPr>
            <w:r>
              <w:rPr>
                <w:b w:val="0"/>
                <w:i w:val="0"/>
                <w:sz w:val="20"/>
              </w:rPr>
              <w:t>A0, A2</w:t>
            </w:r>
          </w:p>
        </w:tc>
        <w:tc>
          <w:tcPr>
            <w:tcW w:type="dxa" w:w="1882"/>
          </w:tcPr>
          <w:p>
            <w:pPr>
              <w:spacing w:after="40"/>
            </w:pPr>
            <w:r>
              <w:rPr>
                <w:b w:val="0"/>
                <w:i w:val="0"/>
                <w:sz w:val="20"/>
              </w:rPr>
              <w:t>Quiz diagnostique, non noté</w:t>
            </w:r>
          </w:p>
        </w:tc>
      </w:tr>
      <w:tr>
        <w:tc>
          <w:tcPr>
            <w:tcW w:type="dxa" w:w="1882"/>
          </w:tcPr>
          <w:p>
            <w:pPr>
              <w:spacing w:after="40"/>
            </w:pPr>
            <w:r>
              <w:rPr>
                <w:b w:val="0"/>
                <w:i w:val="0"/>
                <w:sz w:val="20"/>
              </w:rPr>
              <w:t>Calculer largeur, longueur et profondeur d'une gamme à partir d'un catalogue réel</w:t>
            </w:r>
          </w:p>
        </w:tc>
        <w:tc>
          <w:tcPr>
            <w:tcW w:type="dxa" w:w="1882"/>
          </w:tcPr>
          <w:p>
            <w:pPr>
              <w:spacing w:after="40"/>
            </w:pPr>
            <w:r>
              <w:rPr>
                <w:b w:val="0"/>
                <w:i w:val="0"/>
                <w:sz w:val="20"/>
              </w:rPr>
              <w:t xml:space="preserve">3 — Appliquer </w:t>
            </w:r>
            <w:r>
              <w:rPr>
                <w:b w:val="0"/>
                <w:i/>
                <w:sz w:val="20"/>
              </w:rPr>
              <w:t>(exécuter)</w:t>
            </w:r>
          </w:p>
        </w:tc>
        <w:tc>
          <w:tcPr>
            <w:tcW w:type="dxa" w:w="1882"/>
          </w:tcPr>
          <w:p>
            <w:pPr>
              <w:spacing w:after="40"/>
            </w:pPr>
            <w:r>
              <w:rPr>
                <w:b w:val="0"/>
                <w:i w:val="0"/>
                <w:sz w:val="20"/>
              </w:rPr>
              <w:t>Procédurale</w:t>
            </w:r>
          </w:p>
        </w:tc>
        <w:tc>
          <w:tcPr>
            <w:tcW w:type="dxa" w:w="1882"/>
          </w:tcPr>
          <w:p>
            <w:pPr>
              <w:spacing w:after="40"/>
            </w:pPr>
            <w:r>
              <w:rPr>
                <w:b w:val="0"/>
                <w:i w:val="0"/>
                <w:sz w:val="20"/>
              </w:rPr>
              <w:t>A5, A7</w:t>
            </w:r>
          </w:p>
        </w:tc>
        <w:tc>
          <w:tcPr>
            <w:tcW w:type="dxa" w:w="1882"/>
          </w:tcPr>
          <w:p>
            <w:pPr>
              <w:spacing w:after="40"/>
            </w:pPr>
            <w:r>
              <w:rPr>
                <w:b w:val="0"/>
                <w:i w:val="0"/>
                <w:sz w:val="20"/>
              </w:rPr>
              <w:t>Production individuelle, formative</w:t>
            </w:r>
          </w:p>
        </w:tc>
      </w:tr>
      <w:tr>
        <w:tc>
          <w:tcPr>
            <w:tcW w:type="dxa" w:w="1882"/>
          </w:tcPr>
          <w:p>
            <w:pPr>
              <w:spacing w:after="40"/>
            </w:pPr>
            <w:r>
              <w:rPr>
                <w:b w:val="0"/>
                <w:i w:val="0"/>
                <w:sz w:val="20"/>
              </w:rPr>
              <w:t>Analyser la cohérence entre le positionnement revendiqué d'une marque et sa politique produit</w:t>
            </w:r>
          </w:p>
        </w:tc>
        <w:tc>
          <w:tcPr>
            <w:tcW w:type="dxa" w:w="1882"/>
          </w:tcPr>
          <w:p>
            <w:pPr>
              <w:spacing w:after="40"/>
            </w:pPr>
            <w:r>
              <w:rPr>
                <w:b w:val="0"/>
                <w:i w:val="0"/>
                <w:sz w:val="20"/>
              </w:rPr>
              <w:t xml:space="preserve">4 — Analyser </w:t>
            </w:r>
            <w:r>
              <w:rPr>
                <w:b w:val="0"/>
                <w:i/>
                <w:sz w:val="20"/>
              </w:rPr>
              <w:t>(organiser)</w:t>
            </w:r>
          </w:p>
        </w:tc>
        <w:tc>
          <w:tcPr>
            <w:tcW w:type="dxa" w:w="1882"/>
          </w:tcPr>
          <w:p>
            <w:pPr>
              <w:spacing w:after="40"/>
            </w:pPr>
            <w:r>
              <w:rPr>
                <w:b w:val="0"/>
                <w:i w:val="0"/>
                <w:sz w:val="20"/>
              </w:rPr>
              <w:t>Conceptuelle</w:t>
            </w:r>
          </w:p>
        </w:tc>
        <w:tc>
          <w:tcPr>
            <w:tcW w:type="dxa" w:w="1882"/>
          </w:tcPr>
          <w:p>
            <w:pPr>
              <w:spacing w:after="40"/>
            </w:pPr>
            <w:r>
              <w:rPr>
                <w:b w:val="0"/>
                <w:i w:val="0"/>
                <w:sz w:val="20"/>
              </w:rPr>
              <w:t>A3, A4</w:t>
            </w:r>
          </w:p>
        </w:tc>
        <w:tc>
          <w:tcPr>
            <w:tcW w:type="dxa" w:w="1882"/>
          </w:tcPr>
          <w:p>
            <w:pPr>
              <w:spacing w:after="40"/>
            </w:pPr>
            <w:r>
              <w:rPr>
                <w:b w:val="0"/>
                <w:i w:val="0"/>
                <w:sz w:val="20"/>
              </w:rPr>
              <w:t>Fiche de groupe, formative</w:t>
            </w:r>
          </w:p>
        </w:tc>
      </w:tr>
      <w:tr>
        <w:tc>
          <w:tcPr>
            <w:tcW w:type="dxa" w:w="1882"/>
          </w:tcPr>
          <w:p>
            <w:pPr>
              <w:spacing w:after="40"/>
            </w:pPr>
            <w:r>
              <w:rPr>
                <w:b w:val="0"/>
                <w:i w:val="0"/>
                <w:sz w:val="20"/>
              </w:rPr>
              <w:t>Repérer l'origine d'une donnée et ce qu'elle omet</w:t>
            </w:r>
          </w:p>
        </w:tc>
        <w:tc>
          <w:tcPr>
            <w:tcW w:type="dxa" w:w="1882"/>
          </w:tcPr>
          <w:p>
            <w:pPr>
              <w:spacing w:after="40"/>
            </w:pPr>
            <w:r>
              <w:rPr>
                <w:b w:val="0"/>
                <w:i w:val="0"/>
                <w:sz w:val="20"/>
              </w:rPr>
              <w:t xml:space="preserve">4 — Analyser </w:t>
            </w:r>
            <w:r>
              <w:rPr>
                <w:b w:val="0"/>
                <w:i/>
                <w:sz w:val="20"/>
              </w:rPr>
              <w:t>(attribuer)</w:t>
            </w:r>
          </w:p>
        </w:tc>
        <w:tc>
          <w:tcPr>
            <w:tcW w:type="dxa" w:w="1882"/>
          </w:tcPr>
          <w:p>
            <w:pPr>
              <w:spacing w:after="40"/>
            </w:pPr>
            <w:r>
              <w:rPr>
                <w:b w:val="0"/>
                <w:i w:val="0"/>
                <w:sz w:val="20"/>
              </w:rPr>
              <w:t>Factuelle et conceptuelle</w:t>
            </w:r>
          </w:p>
        </w:tc>
        <w:tc>
          <w:tcPr>
            <w:tcW w:type="dxa" w:w="1882"/>
          </w:tcPr>
          <w:p>
            <w:pPr>
              <w:spacing w:after="40"/>
            </w:pPr>
            <w:r>
              <w:rPr>
                <w:b w:val="0"/>
                <w:i w:val="0"/>
                <w:sz w:val="20"/>
              </w:rPr>
              <w:t>B3</w:t>
            </w:r>
          </w:p>
        </w:tc>
        <w:tc>
          <w:tcPr>
            <w:tcW w:type="dxa" w:w="1882"/>
          </w:tcPr>
          <w:p>
            <w:pPr>
              <w:spacing w:after="40"/>
            </w:pPr>
            <w:r>
              <w:rPr>
                <w:b w:val="0"/>
                <w:i w:val="0"/>
                <w:sz w:val="20"/>
              </w:rPr>
              <w:t>Critère explicite de la grille de soutenance</w:t>
            </w:r>
          </w:p>
        </w:tc>
      </w:tr>
      <w:tr>
        <w:tc>
          <w:tcPr>
            <w:tcW w:type="dxa" w:w="1882"/>
          </w:tcPr>
          <w:p>
            <w:pPr>
              <w:spacing w:after="40"/>
            </w:pPr>
            <w:r>
              <w:rPr>
                <w:b w:val="0"/>
                <w:i w:val="0"/>
                <w:sz w:val="20"/>
              </w:rPr>
              <w:t>Choisir entre deux options d'évolution de gamme et défendre ce choix</w:t>
            </w:r>
          </w:p>
        </w:tc>
        <w:tc>
          <w:tcPr>
            <w:tcW w:type="dxa" w:w="1882"/>
          </w:tcPr>
          <w:p>
            <w:pPr>
              <w:spacing w:after="40"/>
            </w:pPr>
            <w:r>
              <w:rPr>
                <w:b w:val="0"/>
                <w:i w:val="0"/>
                <w:sz w:val="20"/>
              </w:rPr>
              <w:t xml:space="preserve">5 — Évaluer </w:t>
            </w:r>
            <w:r>
              <w:rPr>
                <w:b w:val="0"/>
                <w:i/>
                <w:sz w:val="20"/>
              </w:rPr>
              <w:t>(critiquer)</w:t>
            </w:r>
          </w:p>
        </w:tc>
        <w:tc>
          <w:tcPr>
            <w:tcW w:type="dxa" w:w="1882"/>
          </w:tcPr>
          <w:p>
            <w:pPr>
              <w:spacing w:after="40"/>
            </w:pPr>
            <w:r>
              <w:rPr>
                <w:b w:val="0"/>
                <w:i w:val="0"/>
                <w:sz w:val="20"/>
              </w:rPr>
              <w:t>Procédurale</w:t>
            </w:r>
          </w:p>
        </w:tc>
        <w:tc>
          <w:tcPr>
            <w:tcW w:type="dxa" w:w="1882"/>
          </w:tcPr>
          <w:p>
            <w:pPr>
              <w:spacing w:after="40"/>
            </w:pPr>
            <w:r>
              <w:rPr>
                <w:b w:val="0"/>
                <w:i w:val="0"/>
                <w:sz w:val="20"/>
              </w:rPr>
              <w:t>B3, B4</w:t>
            </w:r>
          </w:p>
        </w:tc>
        <w:tc>
          <w:tcPr>
            <w:tcW w:type="dxa" w:w="1882"/>
          </w:tcPr>
          <w:p>
            <w:pPr>
              <w:spacing w:after="40"/>
            </w:pPr>
            <w:r>
              <w:rPr>
                <w:b/>
                <w:i w:val="0"/>
                <w:color w:val="16305B"/>
                <w:sz w:val="20"/>
              </w:rPr>
              <w:t>Oral noté</w:t>
            </w:r>
            <w:r>
              <w:rPr>
                <w:b w:val="0"/>
                <w:i w:val="0"/>
                <w:sz w:val="20"/>
              </w:rPr>
              <w:t>, grille critériée</w:t>
            </w:r>
          </w:p>
        </w:tc>
      </w:tr>
      <w:tr>
        <w:tc>
          <w:tcPr>
            <w:tcW w:type="dxa" w:w="1882"/>
          </w:tcPr>
          <w:p>
            <w:pPr>
              <w:spacing w:after="40"/>
            </w:pPr>
            <w:r>
              <w:rPr>
                <w:b w:val="0"/>
                <w:i w:val="0"/>
                <w:sz w:val="20"/>
              </w:rPr>
              <w:t>Élaborer la fiche produit et la recommandation associée pour son entreprise</w:t>
            </w:r>
          </w:p>
        </w:tc>
        <w:tc>
          <w:tcPr>
            <w:tcW w:type="dxa" w:w="1882"/>
          </w:tcPr>
          <w:p>
            <w:pPr>
              <w:spacing w:after="40"/>
            </w:pPr>
            <w:r>
              <w:rPr>
                <w:b w:val="0"/>
                <w:i w:val="0"/>
                <w:sz w:val="20"/>
              </w:rPr>
              <w:t xml:space="preserve">6 — Créer </w:t>
            </w:r>
            <w:r>
              <w:rPr>
                <w:b w:val="0"/>
                <w:i/>
                <w:sz w:val="20"/>
              </w:rPr>
              <w:t>(produire)</w:t>
            </w:r>
          </w:p>
        </w:tc>
        <w:tc>
          <w:tcPr>
            <w:tcW w:type="dxa" w:w="1882"/>
          </w:tcPr>
          <w:p>
            <w:pPr>
              <w:spacing w:after="40"/>
            </w:pPr>
            <w:r>
              <w:rPr>
                <w:b w:val="0"/>
                <w:i w:val="0"/>
                <w:sz w:val="20"/>
              </w:rPr>
              <w:t>Conceptuelle et procédurale</w:t>
            </w:r>
          </w:p>
        </w:tc>
        <w:tc>
          <w:tcPr>
            <w:tcW w:type="dxa" w:w="1882"/>
          </w:tcPr>
          <w:p>
            <w:pPr>
              <w:spacing w:after="40"/>
            </w:pPr>
            <w:r>
              <w:rPr>
                <w:b w:val="0"/>
                <w:i w:val="0"/>
                <w:sz w:val="20"/>
              </w:rPr>
              <w:t>B0</w:t>
            </w:r>
          </w:p>
        </w:tc>
        <w:tc>
          <w:tcPr>
            <w:tcW w:type="dxa" w:w="1882"/>
          </w:tcPr>
          <w:p>
            <w:pPr>
              <w:spacing w:after="40"/>
            </w:pPr>
            <w:r>
              <w:rPr>
                <w:b w:val="0"/>
                <w:i w:val="0"/>
                <w:sz w:val="20"/>
              </w:rPr>
              <w:t>Production individuelle + relecture par un pair</w:t>
            </w:r>
          </w:p>
        </w:tc>
      </w:tr>
      <w:tr>
        <w:tc>
          <w:tcPr>
            <w:tcW w:type="dxa" w:w="1882"/>
          </w:tcPr>
          <w:p>
            <w:pPr>
              <w:spacing w:after="40"/>
            </w:pPr>
            <w:r>
              <w:rPr>
                <w:b w:val="0"/>
                <w:i w:val="0"/>
                <w:sz w:val="20"/>
              </w:rPr>
              <w:t>Repérer le type d'erreur qui revient dans ses propres analyses</w:t>
            </w:r>
          </w:p>
        </w:tc>
        <w:tc>
          <w:tcPr>
            <w:tcW w:type="dxa" w:w="1882"/>
          </w:tcPr>
          <w:p>
            <w:pPr>
              <w:spacing w:after="40"/>
            </w:pPr>
            <w:r>
              <w:rPr>
                <w:b w:val="0"/>
                <w:i w:val="0"/>
                <w:sz w:val="20"/>
              </w:rPr>
              <w:t xml:space="preserve">4 — Analyser </w:t>
            </w:r>
            <w:r>
              <w:rPr>
                <w:b w:val="0"/>
                <w:i/>
                <w:sz w:val="20"/>
              </w:rPr>
              <w:t>(sur soi)</w:t>
            </w:r>
          </w:p>
        </w:tc>
        <w:tc>
          <w:tcPr>
            <w:tcW w:type="dxa" w:w="1882"/>
          </w:tcPr>
          <w:p>
            <w:pPr>
              <w:spacing w:after="40"/>
            </w:pPr>
            <w:r>
              <w:rPr>
                <w:b/>
                <w:i w:val="0"/>
                <w:color w:val="16305B"/>
                <w:sz w:val="20"/>
              </w:rPr>
              <w:t>Métacognitive</w:t>
            </w:r>
          </w:p>
        </w:tc>
        <w:tc>
          <w:tcPr>
            <w:tcW w:type="dxa" w:w="1882"/>
          </w:tcPr>
          <w:p>
            <w:pPr>
              <w:spacing w:after="40"/>
            </w:pPr>
            <w:r>
              <w:rPr>
                <w:b w:val="0"/>
                <w:i w:val="0"/>
                <w:sz w:val="20"/>
              </w:rPr>
              <w:t>B7, B8</w:t>
            </w:r>
          </w:p>
        </w:tc>
        <w:tc>
          <w:tcPr>
            <w:tcW w:type="dxa" w:w="1882"/>
          </w:tcPr>
          <w:p>
            <w:pPr>
              <w:spacing w:after="40"/>
            </w:pPr>
            <w:r>
              <w:rPr>
                <w:b w:val="0"/>
                <w:i w:val="0"/>
                <w:sz w:val="20"/>
              </w:rPr>
              <w:t>Billet de sortie, non noté</w:t>
            </w:r>
          </w:p>
        </w:tc>
      </w:tr>
    </w:tbl>
    <w:p>
      <w:pPr>
        <w:spacing w:after="40"/>
      </w:pPr>
    </w:p>
    <w:p>
      <w:r>
        <w:rPr>
          <w:b w:val="0"/>
          <w:i w:val="0"/>
        </w:rPr>
        <w:t>Deux remarques sur ce tableau, qui expliquent des choix que le jury pourrait interroger.</w:t>
      </w:r>
    </w:p>
    <w:p>
      <w:r>
        <w:rPr>
          <w:b w:val="0"/>
          <w:i w:val="0"/>
        </w:rPr>
        <w:t xml:space="preserve">D'abord, </w:t>
      </w:r>
      <w:r>
        <w:rPr>
          <w:b/>
          <w:i w:val="0"/>
          <w:color w:val="16305B"/>
        </w:rPr>
        <w:t>l'objectif métacognitif</w:t>
      </w:r>
      <w:r>
        <w:rPr>
          <w:b w:val="0"/>
          <w:i w:val="0"/>
        </w:rPr>
        <w:t>. Il n'est pas décoratif : les copies de la promotion précédente montraient un même type d'erreur répété — conclure avant d'avoir croisé les données. Nommer cette erreur, la faire repérer par l'apprenant lui-même et la reprendre à trois semaines d'intervalle est la seule manière que j'aie trouvée d'agir dessus. Il n'est pas noté, parce que le noter le transformerait en performance et détruirait sa fonction.</w:t>
      </w:r>
    </w:p>
    <w:p>
      <w:r>
        <w:rPr>
          <w:b w:val="0"/>
          <w:i w:val="0"/>
        </w:rPr>
        <w:t xml:space="preserve">Ensuite, </w:t>
      </w:r>
      <w:r>
        <w:rPr>
          <w:b/>
          <w:i w:val="0"/>
          <w:color w:val="16305B"/>
        </w:rPr>
        <w:t>l'absence d'objectif de niveau 1</w:t>
      </w:r>
      <w:r>
        <w:rPr>
          <w:b w:val="0"/>
          <w:i w:val="0"/>
        </w:rPr>
        <w:t>. Je n'ai volontairement inscrit aucun objectif de mémorisation. Non que la mémorisation soit inutile — elle est nécessaire —, mais elle est ici un moyen, pas une fin : elle est servie par le rappel actif de A2 et par le quiz espacé de B8, sans figurer comme objectif propre. Le référentiel n'attend pas d'eux qu'ils récitent les 4P.</w:t>
      </w:r>
    </w:p>
    <w:p>
      <w:pPr>
        <w:pStyle w:val="Heading1"/>
      </w:pPr>
      <w:r>
        <w:t>4. Le scénario pédagogique</w:t>
      </w:r>
    </w:p>
    <w:p>
      <w:r>
        <w:rPr>
          <w:b w:val="0"/>
          <w:i w:val="0"/>
        </w:rPr>
        <w:t xml:space="preserve">Le scénario est présenté ici sous forme rédigée, temps par temps, selon cinq entrées : </w:t>
      </w:r>
      <w:r>
        <w:rPr>
          <w:b w:val="0"/>
          <w:i/>
        </w:rPr>
        <w:t>contenu</w:t>
      </w:r>
      <w:r>
        <w:rPr>
          <w:b w:val="0"/>
          <w:i w:val="0"/>
        </w:rPr>
        <w:t xml:space="preserve">, </w:t>
      </w:r>
      <w:r>
        <w:rPr>
          <w:b w:val="0"/>
          <w:i/>
        </w:rPr>
        <w:t>intention</w:t>
      </w:r>
      <w:r>
        <w:rPr>
          <w:b w:val="0"/>
          <w:i w:val="0"/>
        </w:rPr>
        <w:t xml:space="preserve">, </w:t>
      </w:r>
      <w:r>
        <w:rPr>
          <w:b w:val="0"/>
          <w:i/>
        </w:rPr>
        <w:t>déroulement</w:t>
      </w:r>
      <w:r>
        <w:rPr>
          <w:b w:val="0"/>
          <w:i w:val="0"/>
        </w:rPr>
        <w:t xml:space="preserve">, </w:t>
      </w:r>
      <w:r>
        <w:rPr>
          <w:b w:val="0"/>
          <w:i/>
        </w:rPr>
        <w:t>apprenants</w:t>
      </w:r>
      <w:r>
        <w:rPr>
          <w:b w:val="0"/>
          <w:i w:val="0"/>
        </w:rPr>
        <w:t xml:space="preserve">, </w:t>
      </w:r>
      <w:r>
        <w:rPr>
          <w:b w:val="0"/>
          <w:i/>
        </w:rPr>
        <w:t>durée</w:t>
      </w:r>
      <w:r>
        <w:rPr>
          <w:b w:val="0"/>
          <w:i w:val="0"/>
        </w:rPr>
        <w:t>. La trame à neuf colonnes qui a servi à le concevoir figure en annexe 1. J'ai choisi de rédiger plutôt que de tabuler parce qu'un tableau, seul, ne laisse aucune place à la justification des choix — et que c'est elle qui fait l'objet de ce dossier.</w:t>
      </w:r>
    </w:p>
    <w:p>
      <w:r>
        <w:rPr>
          <w:b/>
          <w:i w:val="0"/>
          <w:color w:val="16305B"/>
        </w:rPr>
        <w:t>Architecture d'ensemble</w:t>
      </w:r>
      <w:r>
        <w:rPr>
          <w:b w:val="0"/>
          <w:i w:val="0"/>
        </w:rPr>
        <w:t xml:space="preserve"> : un travail asynchrone amont (25 min), une première plage en présentiel (3 h 30), un travail asynchrone d'intersession (1 h), une seconde plage en présentiel (3 h 30) et une reprise asynchrone espacée (20 min). Soit 7 heures de présentiel et 1 h 45 de distanciel.</w:t>
      </w:r>
    </w:p>
    <w:p>
      <w:pPr>
        <w:pStyle w:val="Heading2"/>
      </w:pPr>
      <w:r>
        <w:t>4.1 Amont — A0 · Capsule, quiz de positionnement et dépôt (25 min, asynchrone)</w:t>
      </w:r>
    </w:p>
    <w:p>
      <w:r>
        <w:rPr>
          <w:b/>
          <w:i w:val="0"/>
          <w:color w:val="16305B"/>
        </w:rPr>
        <w:t>Contenu.</w:t>
      </w:r>
      <w:r>
        <w:rPr>
          <w:b w:val="0"/>
          <w:i w:val="0"/>
        </w:rPr>
        <w:t xml:space="preserve"> Le mix de McCarthy, l'extension services de Booms et Bitner, les versions élargies dites « 10P ». Quiz de positionnement. Dépôt d'un produit personnel.</w:t>
      </w:r>
    </w:p>
    <w:p>
      <w:r>
        <w:rPr>
          <w:b/>
          <w:i w:val="0"/>
          <w:color w:val="16305B"/>
        </w:rPr>
        <w:t>Intention.</w:t>
      </w:r>
      <w:r>
        <w:rPr>
          <w:b w:val="0"/>
          <w:i w:val="0"/>
        </w:rPr>
        <w:t xml:space="preserve"> Trois intentions distinctes. Situer le vocabulaire commun, de façon que la plage A ne commence pas par une définition. </w:t>
      </w:r>
      <w:r>
        <w:rPr>
          <w:b w:val="0"/>
          <w:i/>
        </w:rPr>
        <w:t>Mesurer</w:t>
      </w:r>
      <w:r>
        <w:rPr>
          <w:b w:val="0"/>
          <w:i w:val="0"/>
        </w:rPr>
        <w:t xml:space="preserve"> l'hétérogénéité réelle du groupe sur ce thème précis, plutôt que la supposer. Et faire produire, avant la séance, le matériau personnel qui sera exploité en A7 et en B0 : demander à chacun de choisir un produit de son entreprise oblige à un premier acte de sélection, qui est déjà du travail.</w:t>
      </w:r>
    </w:p>
    <w:p>
      <w:r>
        <w:rPr>
          <w:b/>
          <w:i w:val="0"/>
          <w:color w:val="16305B"/>
        </w:rPr>
        <w:t>Déroulement.</w:t>
      </w:r>
      <w:r>
        <w:rPr>
          <w:b w:val="0"/>
          <w:i w:val="0"/>
        </w:rPr>
        <w:t xml:space="preserve"> Une capsule de neuf minutes, segmentée en trois chapitres pour que l'apprenant puisse s'arrêter et reprendre, sous-titrée — le travail se fait souvent dans les transports, sans son. Suivent six questions à correction immédiate, non notées, et le dépôt d'une photo et d'une description en cinq lignes du produit choisi. L'ensemble est calibré à vingt-cinq minutes ; la durée est annoncée, et je m'y tiens, parce qu'une annonce à vingt-cinq minutes suivie d'un travail d'une heure détruit la confiance pour le reste de l'année.</w:t>
      </w:r>
    </w:p>
    <w:p>
      <w:r>
        <w:rPr>
          <w:b/>
          <w:i w:val="0"/>
          <w:color w:val="16305B"/>
        </w:rPr>
        <w:t>Apprenants.</w:t>
      </w:r>
      <w:r>
        <w:rPr>
          <w:b w:val="0"/>
          <w:i w:val="0"/>
        </w:rPr>
        <w:t xml:space="preserve"> Ils visionnent, répondent, déposent. Le quiz leur donne un retour immédiat sur ce qu'ils croyaient savoir — plusieurs découvrent qu'ils confondent largeur et profondeur de gamme.</w:t>
      </w:r>
    </w:p>
    <w:p>
      <w:r>
        <w:rPr>
          <w:b/>
          <w:i w:val="0"/>
          <w:color w:val="16305B"/>
        </w:rPr>
        <w:t>Durée.</w:t>
      </w:r>
      <w:r>
        <w:rPr>
          <w:b w:val="0"/>
          <w:i w:val="0"/>
        </w:rPr>
        <w:t xml:space="preserve"> 25 minutes, à faire dans la semaine précédant la plage A.</w:t>
      </w:r>
    </w:p>
    <w:p>
      <w:pPr>
        <w:pStyle w:val="Heading2"/>
      </w:pPr>
      <w:r>
        <w:t>4.2 Plage A — A1 · Ouverture et contrat (10 min)</w:t>
      </w:r>
    </w:p>
    <w:p>
      <w:r>
        <w:rPr>
          <w:b/>
          <w:i w:val="0"/>
          <w:color w:val="16305B"/>
        </w:rPr>
        <w:t>Contenu.</w:t>
      </w:r>
      <w:r>
        <w:rPr>
          <w:b w:val="0"/>
          <w:i w:val="0"/>
        </w:rPr>
        <w:t xml:space="preserve"> Objectifs de la séance, déroulé des deux plages, statut et calendrier des cinq évaluations.</w:t>
      </w:r>
    </w:p>
    <w:p>
      <w:r>
        <w:rPr>
          <w:b/>
          <w:i w:val="0"/>
          <w:color w:val="16305B"/>
        </w:rPr>
        <w:t>Intention.</w:t>
      </w:r>
      <w:r>
        <w:rPr>
          <w:b w:val="0"/>
          <w:i w:val="0"/>
        </w:rPr>
        <w:t xml:space="preserve"> Poser le cadre et, surtout, remettre la grille d'évaluation de la soutenance orale — trois semaines avant l'épreuve. C'est le levier de contrôlabilité : un apprenant qui sait sur quoi il sera jugé peut agir. Annoncer aussi que le quiz de reprise de B8 existe et qu'il n'est pas noté, faute de quoi il sera vécu comme un contrôle déguisé et perdra sa fonction.</w:t>
      </w:r>
    </w:p>
    <w:p>
      <w:r>
        <w:rPr>
          <w:b/>
          <w:i w:val="0"/>
          <w:color w:val="16305B"/>
        </w:rPr>
        <w:t>Déroulement.</w:t>
      </w:r>
      <w:r>
        <w:rPr>
          <w:b w:val="0"/>
          <w:i w:val="0"/>
        </w:rPr>
        <w:t xml:space="preserve"> Méthode affirmative, en collectif. L'objectif est annoncé en termes de ce qu'ils sauront faire, pas en termes de contenu traité. Le déroulé reste affiché pendant toute la séance : un apprenant qui décroche doit pouvoir se resituer sans demander.</w:t>
      </w:r>
    </w:p>
    <w:p>
      <w:r>
        <w:rPr>
          <w:b/>
          <w:i w:val="0"/>
          <w:color w:val="16305B"/>
        </w:rPr>
        <w:t>Apprenants.</w:t>
      </w:r>
      <w:r>
        <w:rPr>
          <w:b w:val="0"/>
          <w:i w:val="0"/>
        </w:rPr>
        <w:t xml:space="preserve"> Ils écoutent et notent les échéances. Le risque est connu : les critères d'évaluation ne sont pas retenus s'ils sont seulement annoncés — d'où la remise écrite de la grille.</w:t>
      </w:r>
    </w:p>
    <w:p>
      <w:r>
        <w:rPr>
          <w:b/>
          <w:i w:val="0"/>
          <w:color w:val="16305B"/>
        </w:rPr>
        <w:t>Durée.</w:t>
      </w:r>
      <w:r>
        <w:rPr>
          <w:b w:val="0"/>
          <w:i w:val="0"/>
        </w:rPr>
        <w:t xml:space="preserve"> 10 minutes.</w:t>
      </w:r>
    </w:p>
    <w:p>
      <w:pPr>
        <w:pStyle w:val="Heading2"/>
      </w:pPr>
      <w:r>
        <w:t>4.3 Plage A — A2 · Rappel actif et exploitation du diagnostic (20 min)</w:t>
      </w:r>
    </w:p>
    <w:p>
      <w:r>
        <w:rPr>
          <w:b/>
          <w:i w:val="0"/>
          <w:color w:val="16305B"/>
        </w:rPr>
        <w:t>Contenu.</w:t>
      </w:r>
      <w:r>
        <w:rPr>
          <w:b w:val="0"/>
          <w:i w:val="0"/>
        </w:rPr>
        <w:t xml:space="preserve"> Les composantes du mix ; ce que les trois ajouts des services recouvrent.</w:t>
      </w:r>
    </w:p>
    <w:p>
      <w:r>
        <w:rPr>
          <w:b/>
          <w:i w:val="0"/>
          <w:color w:val="16305B"/>
        </w:rPr>
        <w:t>Intention.</w:t>
      </w:r>
      <w:r>
        <w:rPr>
          <w:b w:val="0"/>
          <w:i w:val="0"/>
        </w:rPr>
        <w:t xml:space="preserve"> Faire ressortir de mémoire plutôt que récapituler. Se rappeler activement une information est plus efficace pour la mémoriser que la relire ou l'entendre redire — c'est l'un des résultats les mieux établis de la recherche sur l'apprentissage, et il coûte ici vingt minutes qui servent en même temps de diagnostic collectif.</w:t>
      </w:r>
    </w:p>
    <w:p>
      <w:r>
        <w:rPr>
          <w:b/>
          <w:i w:val="0"/>
          <w:color w:val="16305B"/>
        </w:rPr>
        <w:t>Déroulement.</w:t>
      </w:r>
      <w:r>
        <w:rPr>
          <w:b w:val="0"/>
          <w:i w:val="0"/>
        </w:rPr>
        <w:t xml:space="preserve"> Méthode interrogative. Trois questions au tableau ; quatre minutes de réponse écrite </w:t>
      </w:r>
      <w:r>
        <w:rPr>
          <w:b w:val="0"/>
          <w:i/>
        </w:rPr>
        <w:t>individuelle</w:t>
      </w:r>
      <w:r>
        <w:rPr>
          <w:b w:val="0"/>
          <w:i w:val="0"/>
        </w:rPr>
        <w:t>, en silence ; quatre minutes de confrontation par binômes ; mise en commun. Le dispositif écrire-confronter-partager n'est pas cosmétique : il fait que chacun a quelque chose sur sa feuille avant qu'on ne demande à voix haute, ce qui abaisse le coût de la prise de parole et permet d'interroger n'importe qui sans le mettre en difficulté. Je projette ensuite la distribution du quiz amont et je nomme trois constats — sans nommer personne.</w:t>
      </w:r>
    </w:p>
    <w:p>
      <w:r>
        <w:rPr>
          <w:b/>
          <w:i w:val="0"/>
          <w:color w:val="16305B"/>
        </w:rPr>
        <w:t>Apprenants.</w:t>
      </w:r>
      <w:r>
        <w:rPr>
          <w:b w:val="0"/>
          <w:i w:val="0"/>
        </w:rPr>
        <w:t xml:space="preserve"> Ils écrivent seuls, confrontent, puis répondent. Ceux qui n'ont pas fait A0 raccrochent par le binôme ; je compose les binômes de façon qu'aucun ne réunisse deux non-préparés.</w:t>
      </w:r>
    </w:p>
    <w:p>
      <w:r>
        <w:rPr>
          <w:b/>
          <w:i w:val="0"/>
          <w:color w:val="16305B"/>
        </w:rPr>
        <w:t>Durée.</w:t>
      </w:r>
      <w:r>
        <w:rPr>
          <w:b w:val="0"/>
          <w:i w:val="0"/>
        </w:rPr>
        <w:t xml:space="preserve"> 20 minutes.</w:t>
      </w:r>
    </w:p>
    <w:p>
      <w:pPr>
        <w:pStyle w:val="Heading2"/>
      </w:pPr>
      <w:r>
        <w:t>4.4 Plage A — A3 · Étude de cas d'entrée (45 min)</w:t>
      </w:r>
    </w:p>
    <w:p>
      <w:r>
        <w:rPr>
          <w:b/>
          <w:i w:val="0"/>
          <w:color w:val="16305B"/>
        </w:rPr>
        <w:t>Contenu.</w:t>
      </w:r>
      <w:r>
        <w:rPr>
          <w:b w:val="0"/>
          <w:i w:val="0"/>
        </w:rPr>
        <w:t xml:space="preserve"> Positionnement ; largeur, longueur et profondeur de gamme ; cohérence de l'offre.</w:t>
      </w:r>
    </w:p>
    <w:p>
      <w:r>
        <w:rPr>
          <w:b/>
          <w:i w:val="0"/>
          <w:color w:val="16305B"/>
        </w:rPr>
        <w:t>Intention.</w:t>
      </w:r>
      <w:r>
        <w:rPr>
          <w:b w:val="0"/>
          <w:i w:val="0"/>
        </w:rPr>
        <w:t xml:space="preserve"> C'est le cœur inductif de la plage. L'objectif visé est d'</w:t>
      </w:r>
      <w:r>
        <w:rPr>
          <w:b w:val="0"/>
          <w:i/>
        </w:rPr>
        <w:t>analyser</w:t>
      </w:r>
      <w:r>
        <w:rPr>
          <w:b w:val="0"/>
          <w:i w:val="0"/>
        </w:rPr>
        <w:t xml:space="preserve"> la cohérence entre un positionnement revendiqué et une politique produit — niveau 4. Je place ce temps </w:t>
      </w:r>
      <w:r>
        <w:rPr>
          <w:b w:val="0"/>
          <w:i/>
        </w:rPr>
        <w:t>avant</w:t>
      </w:r>
      <w:r>
        <w:rPr>
          <w:b w:val="0"/>
          <w:i w:val="0"/>
        </w:rPr>
        <w:t xml:space="preserve"> l'apport théorique, pour deux raisons : le groupe n'est pas novice sur le vocabulaire, et une notion rencontrée dans un problème avant d'être nommée s'installe mieux qu'une notion nommée puis illustrée.</w:t>
      </w:r>
    </w:p>
    <w:p>
      <w:r>
        <w:rPr>
          <w:b/>
          <w:i w:val="0"/>
          <w:color w:val="16305B"/>
        </w:rPr>
        <w:t>Déroulement.</w:t>
      </w:r>
      <w:r>
        <w:rPr>
          <w:b w:val="0"/>
          <w:i w:val="0"/>
        </w:rPr>
        <w:t xml:space="preserve"> Méthode active, sous-groupes de quatre. Un dossier de quatre pages présente deux enseignes concurrentes ; il comporte volontairement </w:t>
      </w:r>
      <w:r>
        <w:rPr>
          <w:b/>
          <w:i w:val="0"/>
          <w:color w:val="16305B"/>
        </w:rPr>
        <w:t>deux données contradictoires</w:t>
      </w:r>
      <w:r>
        <w:rPr>
          <w:b w:val="0"/>
          <w:i w:val="0"/>
        </w:rPr>
        <w:t>, de sorte qu'aucune réponse ne se déduise mécaniquement. Les rôles sont distribués : gardien du temps, secrétaire, gardien de la consigne, porte-parole — ce dernier désigné seulement à la fin, ce qui oblige les quatre à suivre. La consigne est écrite et projetée, avec ses six éléments : le but, la tâche, le livrable (une fiche de cinq lignes), le temps, les ressources et le critère de réussite (chaque affirmation appuyée sur une donnée du dossier). Je passe dans chaque groupe à dix minutes pour vérifier que la contradiction a été repérée ; si ce n'est pas le cas, je relance par une question préparée, jamais par la réponse. Pendant le travail, je repère deux fiches défendant des positions opposées, qui serviront à la restitution.</w:t>
      </w:r>
    </w:p>
    <w:p>
      <w:r>
        <w:rPr>
          <w:b/>
          <w:i w:val="0"/>
          <w:color w:val="16305B"/>
        </w:rPr>
        <w:t>Apprenants.</w:t>
      </w:r>
      <w:r>
        <w:rPr>
          <w:b w:val="0"/>
          <w:i w:val="0"/>
        </w:rPr>
        <w:t xml:space="preserve"> Ils lisent, se répartissent les rôles, confrontent leurs lectures, produisent une fiche courte et argumentée. Les risques anticipés sont trois : conclure avant d'avoir croisé les données — l'erreur récurrente du groupe —, ne pas repérer la contradiction, et terminer en vingt-cinq minutes. Pour ce dernier cas, j'ai une extension prête : une troisième enseigne, en une page.</w:t>
      </w:r>
    </w:p>
    <w:p>
      <w:r>
        <w:rPr>
          <w:b/>
          <w:i w:val="0"/>
          <w:color w:val="16305B"/>
        </w:rPr>
        <w:t>Durée.</w:t>
      </w:r>
      <w:r>
        <w:rPr>
          <w:b w:val="0"/>
          <w:i w:val="0"/>
        </w:rPr>
        <w:t xml:space="preserve"> 45 minutes.</w:t>
      </w:r>
    </w:p>
    <w:p>
      <w:pPr>
        <w:pStyle w:val="Heading2"/>
      </w:pPr>
      <w:r>
        <w:t>4.5 Plage A — A4 · Restitution contradictoire (25 min)</w:t>
      </w:r>
    </w:p>
    <w:p>
      <w:r>
        <w:rPr>
          <w:b/>
          <w:i w:val="0"/>
          <w:color w:val="16305B"/>
        </w:rPr>
        <w:t>Contenu.</w:t>
      </w:r>
      <w:r>
        <w:rPr>
          <w:b w:val="0"/>
          <w:i w:val="0"/>
        </w:rPr>
        <w:t xml:space="preserve"> Critères de cohérence entre positionnement et offre.</w:t>
      </w:r>
    </w:p>
    <w:p>
      <w:r>
        <w:rPr>
          <w:b/>
          <w:i w:val="0"/>
          <w:color w:val="16305B"/>
        </w:rPr>
        <w:t>Intention.</w:t>
      </w:r>
      <w:r>
        <w:rPr>
          <w:b w:val="0"/>
          <w:i w:val="0"/>
        </w:rPr>
        <w:t xml:space="preserve"> Faire passer le groupe du niveau 4 au niveau 5 — juger et justifier — en le mettant devant deux analyses incompatibles. C'est le moment le plus productif de la plage, et il tient à une décision de conception : ne pas faire présenter les cinq groupes. Cinq restitutions successives et semblables produisent de l'ennui et aucun apprentissage supplémentaire.</w:t>
      </w:r>
    </w:p>
    <w:p>
      <w:r>
        <w:rPr>
          <w:b/>
          <w:i w:val="0"/>
          <w:color w:val="16305B"/>
        </w:rPr>
        <w:t>Déroulement.</w:t>
      </w:r>
      <w:r>
        <w:rPr>
          <w:b w:val="0"/>
          <w:i w:val="0"/>
        </w:rPr>
        <w:t xml:space="preserve"> Méthode interrogative. Seuls les deux groupes repérés présentent, cinq minutes chacun, chronomètre visible. Le reste du groupe arbitre : vote à main levée, puis argumentation. Ma vigilance principale est de maintenir la discussion sur la </w:t>
      </w:r>
      <w:r>
        <w:rPr>
          <w:b w:val="0"/>
          <w:i/>
        </w:rPr>
        <w:t>tâche</w:t>
      </w:r>
      <w:r>
        <w:rPr>
          <w:b w:val="0"/>
          <w:i w:val="0"/>
        </w:rPr>
        <w:t xml:space="preserve"> et non sur les personnes — dès qu'une formulation glisse vers « tu dis n'importe quoi », je ramène aux données. Je clos en nommant moi-même le principe : un temps inductif qui ne se termine pas par un apport structurant laisse le groupe avec ses intuitions, dont certaines sont fausses.</w:t>
      </w:r>
    </w:p>
    <w:p>
      <w:r>
        <w:rPr>
          <w:b/>
          <w:i w:val="0"/>
          <w:color w:val="16305B"/>
        </w:rPr>
        <w:t>Apprenants.</w:t>
      </w:r>
      <w:r>
        <w:rPr>
          <w:b w:val="0"/>
          <w:i w:val="0"/>
        </w:rPr>
        <w:t xml:space="preserve"> Deux groupes présentent, les autres arbitrent et justifient leur vote.</w:t>
      </w:r>
    </w:p>
    <w:p>
      <w:r>
        <w:rPr>
          <w:b/>
          <w:i w:val="0"/>
          <w:color w:val="16305B"/>
        </w:rPr>
        <w:t>Durée.</w:t>
      </w:r>
      <w:r>
        <w:rPr>
          <w:b w:val="0"/>
          <w:i w:val="0"/>
        </w:rPr>
        <w:t xml:space="preserve"> 25 minutes.</w:t>
      </w:r>
    </w:p>
    <w:p>
      <w:pPr>
        <w:pStyle w:val="Heading2"/>
      </w:pPr>
      <w:r>
        <w:t>4.6 Plage A — A5 · Apport structurant (30 min, après la pause)</w:t>
      </w:r>
    </w:p>
    <w:p>
      <w:r>
        <w:rPr>
          <w:b/>
          <w:i w:val="0"/>
          <w:color w:val="16305B"/>
        </w:rPr>
        <w:t>Contenu.</w:t>
      </w:r>
      <w:r>
        <w:rPr>
          <w:b w:val="0"/>
          <w:i w:val="0"/>
        </w:rPr>
        <w:t xml:space="preserve"> Les cinq niveaux du produit ; largeur, longueur, profondeur et cohérence de gamme ; le cycle de vie du produit et ses limites.</w:t>
      </w:r>
    </w:p>
    <w:p>
      <w:r>
        <w:rPr>
          <w:b/>
          <w:i w:val="0"/>
          <w:color w:val="16305B"/>
        </w:rPr>
        <w:t>Intention.</w:t>
      </w:r>
      <w:r>
        <w:rPr>
          <w:b w:val="0"/>
          <w:i w:val="0"/>
        </w:rPr>
        <w:t xml:space="preserve"> Nommer et structurer ce que le cas a fait apparaître. L'apport arrive ici en </w:t>
      </w:r>
      <w:r>
        <w:rPr>
          <w:b w:val="0"/>
          <w:i/>
        </w:rPr>
        <w:t>troisième</w:t>
      </w:r>
      <w:r>
        <w:rPr>
          <w:b w:val="0"/>
          <w:i w:val="0"/>
        </w:rPr>
        <w:t xml:space="preserve"> position parce que le groupe a désormais un problème en tête auquel les notions répondent — ce qui n'était pas vrai trente minutes plus tôt.</w:t>
      </w:r>
    </w:p>
    <w:p>
      <w:r>
        <w:rPr>
          <w:b/>
          <w:i w:val="0"/>
          <w:color w:val="16305B"/>
        </w:rPr>
        <w:t>Déroulement.</w:t>
      </w:r>
      <w:r>
        <w:rPr>
          <w:b w:val="0"/>
          <w:i w:val="0"/>
        </w:rPr>
        <w:t xml:space="preserve"> Méthode démonstrative. Je m'appuie sur le cas qui vient d'être traité plutôt que sur des exemples neufs. Le support est dépouillé : un schéma et quelques mots clés, pas de texte à lire — commenter oralement un texte affiché fait entrer les deux canaux en concurrence et dégrade la compréhension. Le calcul des dimensions de gamme est traité comme un </w:t>
      </w:r>
      <w:r>
        <w:rPr>
          <w:b w:val="0"/>
          <w:i/>
        </w:rPr>
        <w:t>exemple travaillé</w:t>
      </w:r>
      <w:r>
        <w:rPr>
          <w:b w:val="0"/>
          <w:i w:val="0"/>
        </w:rPr>
        <w:t xml:space="preserve"> : je le fais au tableau pour l'enseigne A en verbalisant chaque étape, puis le groupe le fait pour l'enseigne B. Je coupe l'apport en deux par une question à quinze minutes. Je précise enfin que le cycle de vie est un modèle descriptif, pas une loi : toutes les références ne le suivent pas, et certaines n'ont jamais de phase de croissance.</w:t>
      </w:r>
    </w:p>
    <w:p>
      <w:r>
        <w:rPr>
          <w:b/>
          <w:i w:val="0"/>
          <w:color w:val="16305B"/>
        </w:rPr>
        <w:t>Apprenants.</w:t>
      </w:r>
      <w:r>
        <w:rPr>
          <w:b w:val="0"/>
          <w:i w:val="0"/>
        </w:rPr>
        <w:t xml:space="preserve"> Ils suivent, refont le calcul, questionnent.</w:t>
      </w:r>
    </w:p>
    <w:p>
      <w:r>
        <w:rPr>
          <w:b/>
          <w:i w:val="0"/>
          <w:color w:val="16305B"/>
        </w:rPr>
        <w:t>Durée.</w:t>
      </w:r>
      <w:r>
        <w:rPr>
          <w:b w:val="0"/>
          <w:i w:val="0"/>
        </w:rPr>
        <w:t xml:space="preserve"> 30 minutes.</w:t>
      </w:r>
    </w:p>
    <w:p>
      <w:pPr>
        <w:pStyle w:val="Heading2"/>
      </w:pPr>
      <w:r>
        <w:t>4.7 Plage A — A6 · Vote, discussion, revote (15 min)</w:t>
      </w:r>
    </w:p>
    <w:p>
      <w:r>
        <w:rPr>
          <w:b/>
          <w:i w:val="0"/>
          <w:color w:val="16305B"/>
        </w:rPr>
        <w:t>Contenu.</w:t>
      </w:r>
      <w:r>
        <w:rPr>
          <w:b w:val="0"/>
          <w:i w:val="0"/>
        </w:rPr>
        <w:t xml:space="preserve"> Niveaux du produit, dimensions de gamme, cycle de vie — vérification.</w:t>
      </w:r>
    </w:p>
    <w:p>
      <w:r>
        <w:rPr>
          <w:b/>
          <w:i w:val="0"/>
          <w:color w:val="16305B"/>
        </w:rPr>
        <w:t>Intention.</w:t>
      </w:r>
      <w:r>
        <w:rPr>
          <w:b w:val="0"/>
          <w:i w:val="0"/>
        </w:rPr>
        <w:t xml:space="preserve"> Vérifier immédiatement ce qui vient d'être apporté, et surtout faire travailler l'erreur. Ce temps est aussi celui que j'ai choisi de faire filmer pour la certification, pour une raison précise : c'est le seul moment où un outil numérique rend possible quelque chose qui ne le serait pas autrement — faire répondre les vingt-deux en même temps et afficher la distribution sans que chacun voie ce que votent les autres.</w:t>
      </w:r>
    </w:p>
    <w:p>
      <w:r>
        <w:rPr>
          <w:b/>
          <w:i w:val="0"/>
          <w:color w:val="16305B"/>
        </w:rPr>
        <w:t>Déroulement.</w:t>
      </w:r>
      <w:r>
        <w:rPr>
          <w:b w:val="0"/>
          <w:i w:val="0"/>
        </w:rPr>
        <w:t xml:space="preserve"> Quatre questions à choix multiple portant sur des cas piégeux. J'affiche la distribution </w:t>
      </w:r>
      <w:r>
        <w:rPr>
          <w:b/>
          <w:i w:val="0"/>
          <w:color w:val="16305B"/>
        </w:rPr>
        <w:t>sans donner la réponse</w:t>
      </w:r>
      <w:r>
        <w:rPr>
          <w:b w:val="0"/>
          <w:i w:val="0"/>
        </w:rPr>
        <w:t>. Deux minutes de discussion entre voisins. Nouveau vote. Le déplacement des réponses entre les deux votes est le moment d'apprentissage, et je le commente. Je reprends ensuite les deux questions où la distribution est restée dispersée. Ce dernier point est le plus important : un vote dont on n'exploite pas le résultat transforme l'activité en divertissement.</w:t>
      </w:r>
    </w:p>
    <w:p>
      <w:r>
        <w:rPr>
          <w:b/>
          <w:i w:val="0"/>
          <w:color w:val="16305B"/>
        </w:rPr>
        <w:t>Apprenants.</w:t>
      </w:r>
      <w:r>
        <w:rPr>
          <w:b w:val="0"/>
          <w:i w:val="0"/>
        </w:rPr>
        <w:t xml:space="preserve"> Ils votent, argumentent entre voisins, revotent.</w:t>
      </w:r>
    </w:p>
    <w:p>
      <w:r>
        <w:rPr>
          <w:b/>
          <w:i w:val="0"/>
          <w:color w:val="16305B"/>
        </w:rPr>
        <w:t>Durée.</w:t>
      </w:r>
      <w:r>
        <w:rPr>
          <w:b w:val="0"/>
          <w:i w:val="0"/>
        </w:rPr>
        <w:t xml:space="preserve"> 15 minutes.</w:t>
      </w:r>
    </w:p>
    <w:p>
      <w:pPr>
        <w:pStyle w:val="Heading2"/>
      </w:pPr>
      <w:r>
        <w:t>4.8 Plage A — A7 · Atelier individuel sur son produit (35 min)</w:t>
      </w:r>
    </w:p>
    <w:p>
      <w:r>
        <w:rPr>
          <w:b/>
          <w:i w:val="0"/>
          <w:color w:val="16305B"/>
        </w:rPr>
        <w:t>Contenu.</w:t>
      </w:r>
      <w:r>
        <w:rPr>
          <w:b w:val="0"/>
          <w:i w:val="0"/>
        </w:rPr>
        <w:t xml:space="preserve"> Transfert des notions apportées à un produit réel.</w:t>
      </w:r>
    </w:p>
    <w:p>
      <w:r>
        <w:rPr>
          <w:b/>
          <w:i w:val="0"/>
          <w:color w:val="16305B"/>
        </w:rPr>
        <w:t>Intention.</w:t>
      </w:r>
      <w:r>
        <w:rPr>
          <w:b w:val="0"/>
          <w:i w:val="0"/>
        </w:rPr>
        <w:t xml:space="preserve"> Faire manipuler individuellement, sur un cas dont l'apprenant est le seul expert. C'est le temps qui produit le sentiment d'être capable — non par encouragement, mais par réussite effective sur une tâche calibrée.</w:t>
      </w:r>
    </w:p>
    <w:p>
      <w:r>
        <w:rPr>
          <w:b/>
          <w:i w:val="0"/>
          <w:color w:val="16305B"/>
        </w:rPr>
        <w:t>Déroulement.</w:t>
      </w:r>
      <w:r>
        <w:rPr>
          <w:b w:val="0"/>
          <w:i w:val="0"/>
        </w:rPr>
        <w:t xml:space="preserve"> Méthode expérimentale, en individuel, avec circulation du formateur. Chacun applique une grille à cinq entrées au produit qu'il a déposé en A0. L'entraide est autorisée et organisée. Je passe voir </w:t>
      </w:r>
      <w:r>
        <w:rPr>
          <w:b w:val="0"/>
          <w:i/>
        </w:rPr>
        <w:t>en priorité ceux qui n'ont rien écrit</w:t>
      </w:r>
      <w:r>
        <w:rPr>
          <w:b w:val="0"/>
          <w:i w:val="0"/>
        </w:rPr>
        <w:t xml:space="preserve"> à dix minutes — pas ceux qui lèvent la main. Pour les apprenants dont l'entreprise vend des services, j'oriente vers les 7P plutôt que de forcer la grille produit : cela donne du sens à l'extension de Booms et Bitner, qui n'est plus une liste à retenir mais une réponse à un problème qu'ils rencontrent.</w:t>
      </w:r>
    </w:p>
    <w:p>
      <w:r>
        <w:rPr>
          <w:b/>
          <w:i w:val="0"/>
          <w:color w:val="16305B"/>
        </w:rPr>
        <w:t>Apprenants.</w:t>
      </w:r>
      <w:r>
        <w:rPr>
          <w:b w:val="0"/>
          <w:i w:val="0"/>
        </w:rPr>
        <w:t xml:space="preserve"> Ils produisent seuls, sollicitent, comparent. Les écarts de rythme sont importants et assumés : ceux qui avancent vite passent à une seconde référence.</w:t>
      </w:r>
    </w:p>
    <w:p>
      <w:r>
        <w:rPr>
          <w:b/>
          <w:i w:val="0"/>
          <w:color w:val="16305B"/>
        </w:rPr>
        <w:t>Durée.</w:t>
      </w:r>
      <w:r>
        <w:rPr>
          <w:b w:val="0"/>
          <w:i w:val="0"/>
        </w:rPr>
        <w:t xml:space="preserve"> 35 minutes.</w:t>
      </w:r>
    </w:p>
    <w:p>
      <w:pPr>
        <w:pStyle w:val="Heading2"/>
      </w:pPr>
      <w:r>
        <w:t>4.9 Plage A — A8 · Clôture et consigne d'intersession (15 min)</w:t>
      </w:r>
    </w:p>
    <w:p>
      <w:r>
        <w:rPr>
          <w:b/>
          <w:i w:val="0"/>
          <w:color w:val="16305B"/>
        </w:rPr>
        <w:t>Contenu.</w:t>
      </w:r>
      <w:r>
        <w:rPr>
          <w:b w:val="0"/>
          <w:i w:val="0"/>
        </w:rPr>
        <w:t xml:space="preserve"> Synthèse de la plage ; consigne du travail d'intersession.</w:t>
      </w:r>
    </w:p>
    <w:p>
      <w:r>
        <w:rPr>
          <w:b/>
          <w:i w:val="0"/>
          <w:color w:val="16305B"/>
        </w:rPr>
        <w:t>Intention.</w:t>
      </w:r>
      <w:r>
        <w:rPr>
          <w:b w:val="0"/>
          <w:i w:val="0"/>
        </w:rPr>
        <w:t xml:space="preserve"> Faire formuler par eux ce qui a été appris — et non le récapituler moi-même, ce qui entretiendrait l'illusion de savoir. Recueillir ce qui reste flou pour piloter l'ouverture de la plage B. Et donner la consigne d'intersession dans des conditions où elle sera retenue.</w:t>
      </w:r>
    </w:p>
    <w:p>
      <w:r>
        <w:rPr>
          <w:b/>
          <w:i w:val="0"/>
          <w:color w:val="16305B"/>
        </w:rPr>
        <w:t>Déroulement.</w:t>
      </w:r>
      <w:r>
        <w:rPr>
          <w:b w:val="0"/>
          <w:i w:val="0"/>
        </w:rPr>
        <w:t xml:space="preserve"> Deux minutes d'écriture individuelle : « ce que je retiens », « ce qui reste flou ». Trois volontaires lisent. Je synthétise. Puis j'annonce le travail d'intersession </w:t>
      </w:r>
      <w:r>
        <w:rPr>
          <w:b/>
          <w:i w:val="0"/>
          <w:color w:val="16305B"/>
        </w:rPr>
        <w:t>à l'écrit et à l'oral</w:t>
      </w:r>
      <w:r>
        <w:rPr>
          <w:b w:val="0"/>
          <w:i w:val="0"/>
        </w:rPr>
        <w:t>, avec sa durée (quarante-cinq minutes plus quinze), son livrable, sa date et — le point décisif — le moment exact où il sera utilisé en plage B. Une consigne donnée uniquement à l'oral en fin de séance n'est pas retenue.</w:t>
      </w:r>
    </w:p>
    <w:p>
      <w:r>
        <w:rPr>
          <w:b/>
          <w:i w:val="0"/>
          <w:color w:val="16305B"/>
        </w:rPr>
        <w:t>Apprenants.</w:t>
      </w:r>
      <w:r>
        <w:rPr>
          <w:b w:val="0"/>
          <w:i w:val="0"/>
        </w:rPr>
        <w:t xml:space="preserve"> Ils écrivent, écoutent, notent les dates.</w:t>
      </w:r>
    </w:p>
    <w:p>
      <w:r>
        <w:rPr>
          <w:b/>
          <w:i w:val="0"/>
          <w:color w:val="16305B"/>
        </w:rPr>
        <w:t>Durée.</w:t>
      </w:r>
      <w:r>
        <w:rPr>
          <w:b w:val="0"/>
          <w:i w:val="0"/>
        </w:rPr>
        <w:t xml:space="preserve"> 15 minutes.</w:t>
      </w:r>
    </w:p>
    <w:p>
      <w:pPr>
        <w:pStyle w:val="Heading2"/>
      </w:pPr>
      <w:r>
        <w:t>4.10 Intersession — B0 · Production et relecture par un pair (1 h, asynchrone)</w:t>
      </w:r>
    </w:p>
    <w:p>
      <w:r>
        <w:rPr>
          <w:b/>
          <w:i w:val="0"/>
          <w:color w:val="16305B"/>
        </w:rPr>
        <w:t>Contenu.</w:t>
      </w:r>
      <w:r>
        <w:rPr>
          <w:b w:val="0"/>
          <w:i w:val="0"/>
        </w:rPr>
        <w:t xml:space="preserve"> Application intégrée : niveaux du produit, gamme, cycle de vie, cohérence avec le positionnement.</w:t>
      </w:r>
    </w:p>
    <w:p>
      <w:r>
        <w:rPr>
          <w:b/>
          <w:i w:val="0"/>
          <w:color w:val="16305B"/>
        </w:rPr>
        <w:t>Intention.</w:t>
      </w:r>
      <w:r>
        <w:rPr>
          <w:b w:val="0"/>
          <w:i w:val="0"/>
        </w:rPr>
        <w:t xml:space="preserve"> C'est ici que se travaille l'objectif de niveau 6 — produire. Le format asynchrone est choisi et non subi : la tâche demande du temps, l'accès à des informations de l'entreprise, et elle gagne à être faite au rythme de chacun. La relecture par un pair ajoute un objectif de niveau 5 pour le relecteur, qui doit juger selon des critères.</w:t>
      </w:r>
    </w:p>
    <w:p>
      <w:r>
        <w:rPr>
          <w:b/>
          <w:i w:val="0"/>
          <w:color w:val="16305B"/>
        </w:rPr>
        <w:t>Déroulement.</w:t>
      </w:r>
      <w:r>
        <w:rPr>
          <w:b w:val="0"/>
          <w:i w:val="0"/>
        </w:rPr>
        <w:t xml:space="preserve"> Une fiche produit argumentée d'une page, sur le produit de son entreprise, déposée à J+10. Puis, à J+14, le commentaire de la fiche d'un pair selon </w:t>
      </w:r>
      <w:r>
        <w:rPr>
          <w:b/>
          <w:i w:val="0"/>
          <w:color w:val="16305B"/>
        </w:rPr>
        <w:t>deux critères seulement</w:t>
      </w:r>
      <w:r>
        <w:rPr>
          <w:b w:val="0"/>
          <w:i w:val="0"/>
        </w:rPr>
        <w:t xml:space="preserve"> : l'affirmation est-elle étayée par une donnée ? la conclusion suit-elle des données ? Deux critères et pas six, parce qu'une grille de relecture entre pairs qui en comporte davantage n'est pas utilisée. J'attribue moi-même les binômes de relecture, jamais par affinité. Je relance individuellement au </w:t>
      </w:r>
      <w:r>
        <w:rPr>
          <w:b w:val="0"/>
          <w:i/>
        </w:rPr>
        <w:t>premier</w:t>
      </w:r>
      <w:r>
        <w:rPr>
          <w:b w:val="0"/>
          <w:i w:val="0"/>
        </w:rPr>
        <w:t xml:space="preserve"> non-rendu, pas au second : le coût d'une relance est de deux minutes, celui d'un décrochage installé est un semestre.</w:t>
      </w:r>
    </w:p>
    <w:p>
      <w:r>
        <w:rPr>
          <w:b/>
          <w:i w:val="0"/>
          <w:color w:val="16305B"/>
        </w:rPr>
        <w:t>Apprenants.</w:t>
      </w:r>
      <w:r>
        <w:rPr>
          <w:b w:val="0"/>
          <w:i w:val="0"/>
        </w:rPr>
        <w:t xml:space="preserve"> Ils produisent, puis relisent. Le risque principal est le commentaire de complaisance ; les deux critères, très concrets, le limitent.</w:t>
      </w:r>
    </w:p>
    <w:p>
      <w:r>
        <w:rPr>
          <w:b/>
          <w:i w:val="0"/>
          <w:color w:val="16305B"/>
        </w:rPr>
        <w:t>Durée.</w:t>
      </w:r>
      <w:r>
        <w:rPr>
          <w:b w:val="0"/>
          <w:i w:val="0"/>
        </w:rPr>
        <w:t xml:space="preserve"> 45 minutes de production, 15 minutes de relecture.</w:t>
      </w:r>
    </w:p>
    <w:p>
      <w:pPr>
        <w:pStyle w:val="Heading2"/>
      </w:pPr>
      <w:r>
        <w:t>4.11 Plage B — B1 · Reprise active des productions (20 min)</w:t>
      </w:r>
    </w:p>
    <w:p>
      <w:r>
        <w:rPr>
          <w:b/>
          <w:i w:val="0"/>
          <w:color w:val="16305B"/>
        </w:rPr>
        <w:t>Contenu.</w:t>
      </w:r>
      <w:r>
        <w:rPr>
          <w:b w:val="0"/>
          <w:i w:val="0"/>
        </w:rPr>
        <w:t xml:space="preserve"> Les deux critères de la relecture ; les erreurs récurrentes du groupe.</w:t>
      </w:r>
    </w:p>
    <w:p>
      <w:r>
        <w:rPr>
          <w:b/>
          <w:i w:val="0"/>
          <w:color w:val="16305B"/>
        </w:rPr>
        <w:t>Intention.</w:t>
      </w:r>
      <w:r>
        <w:rPr>
          <w:b w:val="0"/>
          <w:i w:val="0"/>
        </w:rPr>
        <w:t xml:space="preserve"> Rendre le travail d'intersession utile </w:t>
      </w:r>
      <w:r>
        <w:rPr>
          <w:b w:val="0"/>
          <w:i/>
        </w:rPr>
        <w:t>dans les dix premières minutes</w:t>
      </w:r>
      <w:r>
        <w:rPr>
          <w:b w:val="0"/>
          <w:i w:val="0"/>
        </w:rPr>
        <w:t xml:space="preserve"> de la plage. Si la production n'est pas mobilisée d'emblée, les apprenants concluent qu'elle était facultative, et le dispositif s'effondre à la séquence suivante.</w:t>
      </w:r>
    </w:p>
    <w:p>
      <w:r>
        <w:rPr>
          <w:b/>
          <w:i w:val="0"/>
          <w:color w:val="16305B"/>
        </w:rPr>
        <w:t>Déroulement.</w:t>
      </w:r>
      <w:r>
        <w:rPr>
          <w:b w:val="0"/>
          <w:i w:val="0"/>
        </w:rPr>
        <w:t xml:space="preserve"> J'ai dépouillé les vingt-deux fiches avant la séance et préparé trois constats. Je les écris au tableau. Puis je projette </w:t>
      </w:r>
      <w:r>
        <w:rPr>
          <w:b w:val="0"/>
          <w:i/>
        </w:rPr>
        <w:t>une production anonymisée</w:t>
      </w:r>
      <w:r>
        <w:rPr>
          <w:b w:val="0"/>
          <w:i w:val="0"/>
        </w:rPr>
        <w:t xml:space="preserve"> — une production moyenne, jamais la plus faible — et le groupe l'améliore en direct, critère par critère. Dix minutes de reprise collective valent trente annotations individuelles, et personne n'est exposé.</w:t>
      </w:r>
    </w:p>
    <w:p>
      <w:r>
        <w:rPr>
          <w:b/>
          <w:i w:val="0"/>
          <w:color w:val="16305B"/>
        </w:rPr>
        <w:t>Apprenants.</w:t>
      </w:r>
      <w:r>
        <w:rPr>
          <w:b w:val="0"/>
          <w:i w:val="0"/>
        </w:rPr>
        <w:t xml:space="preserve"> Ils analysent et proposent des améliorations.</w:t>
      </w:r>
    </w:p>
    <w:p>
      <w:r>
        <w:rPr>
          <w:b/>
          <w:i w:val="0"/>
          <w:color w:val="16305B"/>
        </w:rPr>
        <w:t>Durée.</w:t>
      </w:r>
      <w:r>
        <w:rPr>
          <w:b w:val="0"/>
          <w:i w:val="0"/>
        </w:rPr>
        <w:t xml:space="preserve"> 20 minutes.</w:t>
      </w:r>
    </w:p>
    <w:p>
      <w:pPr>
        <w:pStyle w:val="Heading2"/>
      </w:pPr>
      <w:r>
        <w:t>4.12 Plage B — B2 · Apport sur les arbitrages de gamme (25 min)</w:t>
      </w:r>
    </w:p>
    <w:p>
      <w:r>
        <w:rPr>
          <w:b/>
          <w:i w:val="0"/>
          <w:color w:val="16305B"/>
        </w:rPr>
        <w:t>Contenu.</w:t>
      </w:r>
      <w:r>
        <w:rPr>
          <w:b w:val="0"/>
          <w:i w:val="0"/>
        </w:rPr>
        <w:t xml:space="preserve"> Extension vers le haut, vers le bas, bilatérale ; extension de ligne et extension de marque ; cannibalisation ; analyse de portefeuille.</w:t>
      </w:r>
    </w:p>
    <w:p>
      <w:r>
        <w:rPr>
          <w:b/>
          <w:i w:val="0"/>
          <w:color w:val="16305B"/>
        </w:rPr>
        <w:t>Intention.</w:t>
      </w:r>
      <w:r>
        <w:rPr>
          <w:b w:val="0"/>
          <w:i w:val="0"/>
        </w:rPr>
        <w:t xml:space="preserve"> Apporter ce qui manque pour traiter le cas d'arbitrage qui suit. L'apport est ici placé </w:t>
      </w:r>
      <w:r>
        <w:rPr>
          <w:b w:val="0"/>
          <w:i/>
        </w:rPr>
        <w:t>avant</w:t>
      </w:r>
      <w:r>
        <w:rPr>
          <w:b w:val="0"/>
          <w:i w:val="0"/>
        </w:rPr>
        <w:t xml:space="preserve"> l'activité, contrairement à la plage A : la notion de cannibalisation est nouvelle pour la quasi-totalité du groupe, et faire découvrir seul un mécanisme entièrement nouveau produit surtout des théories fausses qu'il faudra ensuite défaire.</w:t>
      </w:r>
    </w:p>
    <w:p>
      <w:r>
        <w:rPr>
          <w:b/>
          <w:i w:val="0"/>
          <w:color w:val="16305B"/>
        </w:rPr>
        <w:t>Déroulement.</w:t>
      </w:r>
      <w:r>
        <w:rPr>
          <w:b w:val="0"/>
          <w:i w:val="0"/>
        </w:rPr>
        <w:t xml:space="preserve"> Méthode démonstrative, avec deux exemples contrastés : une extension vers le bas réussie et une qui a dégradé le positionnement. Je construis le schéma progressivement au tableau plutôt que de projeter un schéma fini — le tracé en direct tient l'attention et impose le rythme de la compréhension. Je signale explicitement la limite des matrices de portefeuille : elles classent, elles ne décident pas.</w:t>
      </w:r>
    </w:p>
    <w:p>
      <w:r>
        <w:rPr>
          <w:b/>
          <w:i w:val="0"/>
          <w:color w:val="16305B"/>
        </w:rPr>
        <w:t>Apprenants.</w:t>
      </w:r>
      <w:r>
        <w:rPr>
          <w:b w:val="0"/>
          <w:i w:val="0"/>
        </w:rPr>
        <w:t xml:space="preserve"> Ils suivent, questionnent, prennent le schéma.</w:t>
      </w:r>
    </w:p>
    <w:p>
      <w:r>
        <w:rPr>
          <w:b/>
          <w:i w:val="0"/>
          <w:color w:val="16305B"/>
        </w:rPr>
        <w:t>Durée.</w:t>
      </w:r>
      <w:r>
        <w:rPr>
          <w:b w:val="0"/>
          <w:i w:val="0"/>
        </w:rPr>
        <w:t xml:space="preserve"> 25 minutes.</w:t>
      </w:r>
    </w:p>
    <w:p>
      <w:pPr>
        <w:pStyle w:val="Heading2"/>
      </w:pPr>
      <w:r>
        <w:t>4.13 Plage B — B3 · Cas d'arbitrage (55 min)</w:t>
      </w:r>
    </w:p>
    <w:p>
      <w:r>
        <w:rPr>
          <w:b/>
          <w:i w:val="0"/>
          <w:color w:val="16305B"/>
        </w:rPr>
        <w:t>Contenu.</w:t>
      </w:r>
      <w:r>
        <w:rPr>
          <w:b w:val="0"/>
          <w:i w:val="0"/>
        </w:rPr>
        <w:t xml:space="preserve"> Arbitrage de gamme ; marge, volume, risque de cannibalisation, cohérence de marque.</w:t>
      </w:r>
    </w:p>
    <w:p>
      <w:r>
        <w:rPr>
          <w:b/>
          <w:i w:val="0"/>
          <w:color w:val="16305B"/>
        </w:rPr>
        <w:t>Intention.</w:t>
      </w:r>
      <w:r>
        <w:rPr>
          <w:b w:val="0"/>
          <w:i w:val="0"/>
        </w:rPr>
        <w:t xml:space="preserve"> Préparer la soutenance, et faire travailler deux objectifs simultanément : choisir et justifier (niveau 5), et repérer l'origine d'une donnée (niveau 4, sous-processus </w:t>
      </w:r>
      <w:r>
        <w:rPr>
          <w:b w:val="0"/>
          <w:i/>
        </w:rPr>
        <w:t>attribuer</w:t>
      </w:r>
      <w:r>
        <w:rPr>
          <w:b w:val="0"/>
          <w:i w:val="0"/>
        </w:rPr>
        <w:t>). Ce second objectif est celui que je travaille le plus délibérément : c'est une compétence transversale du référentiel que personne ne porte en propre.</w:t>
      </w:r>
    </w:p>
    <w:p>
      <w:r>
        <w:rPr>
          <w:b/>
          <w:i w:val="0"/>
          <w:color w:val="16305B"/>
        </w:rPr>
        <w:t>Déroulement.</w:t>
      </w:r>
      <w:r>
        <w:rPr>
          <w:b w:val="0"/>
          <w:i w:val="0"/>
        </w:rPr>
        <w:t xml:space="preserve"> Méthode active, sous-groupes de quatre. Le dossier fait six pages et comporte des </w:t>
      </w:r>
      <w:r>
        <w:rPr>
          <w:b/>
          <w:i w:val="0"/>
          <w:color w:val="16305B"/>
        </w:rPr>
        <w:t>données surabondantes</w:t>
      </w:r>
      <w:r>
        <w:rPr>
          <w:b w:val="0"/>
          <w:i w:val="0"/>
        </w:rPr>
        <w:t xml:space="preserve">, dont plusieurs sans pertinence, ainsi qu'une étude dont il est précisé qu'elle a été commanditée par le fournisseur concerné. Le livrable est cadré : une recommandation, trois arguments chiffrés, un risque nommé et sa parade. Je rappelle à quinze minutes qu'il y a des données inutiles — sans dire lesquelles. À quarante-cinq minutes, j'annonce que </w:t>
      </w:r>
      <w:r>
        <w:rPr>
          <w:b/>
          <w:i w:val="0"/>
          <w:color w:val="16305B"/>
        </w:rPr>
        <w:t>le porte-parole sera tiré au sort</w:t>
      </w:r>
      <w:r>
        <w:rPr>
          <w:b w:val="0"/>
          <w:i w:val="0"/>
        </w:rPr>
        <w:t xml:space="preserve"> : c'est ce qui garantit que les quatre ont suivi, et c'est aussi ce qui rend l'évaluation de groupe équitable.</w:t>
      </w:r>
    </w:p>
    <w:p>
      <w:r>
        <w:rPr>
          <w:b/>
          <w:i w:val="0"/>
          <w:color w:val="16305B"/>
        </w:rPr>
        <w:t>Apprenants.</w:t>
      </w:r>
      <w:r>
        <w:rPr>
          <w:b w:val="0"/>
          <w:i w:val="0"/>
        </w:rPr>
        <w:t xml:space="preserve"> Ils trient, calculent, arbitrent, préparent leur oral. Deux groupes sur cinq, en général, ne questionnent pas l'origine de l'étude commanditée : c'est précisément l'objet de la question que je poserai en soutenance.</w:t>
      </w:r>
    </w:p>
    <w:p>
      <w:r>
        <w:rPr>
          <w:b/>
          <w:i w:val="0"/>
          <w:color w:val="16305B"/>
        </w:rPr>
        <w:t>Durée.</w:t>
      </w:r>
      <w:r>
        <w:rPr>
          <w:b w:val="0"/>
          <w:i w:val="0"/>
        </w:rPr>
        <w:t xml:space="preserve"> 55 minutes.</w:t>
      </w:r>
    </w:p>
    <w:p>
      <w:pPr>
        <w:pStyle w:val="Heading2"/>
      </w:pPr>
      <w:r>
        <w:t>4.14 Plage B — B4 · Soutenance orale notée (40 min, après la pause)</w:t>
      </w:r>
    </w:p>
    <w:p>
      <w:r>
        <w:rPr>
          <w:b/>
          <w:i w:val="0"/>
          <w:color w:val="16305B"/>
        </w:rPr>
        <w:t>Contenu.</w:t>
      </w:r>
      <w:r>
        <w:rPr>
          <w:b w:val="0"/>
          <w:i w:val="0"/>
        </w:rPr>
        <w:t xml:space="preserve"> Argumentation d'une décision commerciale devant un tiers.</w:t>
      </w:r>
    </w:p>
    <w:p>
      <w:r>
        <w:rPr>
          <w:b/>
          <w:i w:val="0"/>
          <w:color w:val="16305B"/>
        </w:rPr>
        <w:t>Intention.</w:t>
      </w:r>
      <w:r>
        <w:rPr>
          <w:b w:val="0"/>
          <w:i w:val="0"/>
        </w:rPr>
        <w:t xml:space="preserve"> Mesurer l'objectif de niveau 5 par le seul format qui le mesure réellement : un oral où l'on doit répondre à une objection. Un écrit fermé n'aurait mesuré que la restitution.</w:t>
      </w:r>
    </w:p>
    <w:p>
      <w:r>
        <w:rPr>
          <w:b/>
          <w:i w:val="0"/>
          <w:color w:val="16305B"/>
        </w:rPr>
        <w:t>Déroulement.</w:t>
      </w:r>
      <w:r>
        <w:rPr>
          <w:b w:val="0"/>
          <w:i w:val="0"/>
        </w:rPr>
        <w:t xml:space="preserve"> Cinq groupes, cinq minutes de présentation et trois minutes de questions chacun. Le porte-parole est tiré au sort au moment de passer. Notation sur grille critériée à quatre critères et quatre niveaux descriptifs — grille remise trois semaines plus tôt. Je pose deux questions par groupe, dont une objection préparée à l'avance et adaptée au cas. Je coupe à cinq minutes sans exception, ce qui est annoncé et tenu dès le premier groupe, faute de quoi le cinquième groupe est lésé. Pour un apprenant visiblement en difficulté au tirage au sort, je pose d'abord une question fermée réussissable avant l'objection : l'épreuve mesure une compétence, pas une résistance au stress.</w:t>
      </w:r>
    </w:p>
    <w:p>
      <w:r>
        <w:rPr>
          <w:b/>
          <w:i w:val="0"/>
          <w:color w:val="16305B"/>
        </w:rPr>
        <w:t>Apprenants.</w:t>
      </w:r>
      <w:r>
        <w:rPr>
          <w:b w:val="0"/>
          <w:i w:val="0"/>
        </w:rPr>
        <w:t xml:space="preserve"> Ils présentent, répondent, écoutent les autres groupes.</w:t>
      </w:r>
    </w:p>
    <w:p>
      <w:r>
        <w:rPr>
          <w:b/>
          <w:i w:val="0"/>
          <w:color w:val="16305B"/>
        </w:rPr>
        <w:t>Durée.</w:t>
      </w:r>
      <w:r>
        <w:rPr>
          <w:b w:val="0"/>
          <w:i w:val="0"/>
        </w:rPr>
        <w:t xml:space="preserve"> 40 minutes.</w:t>
      </w:r>
    </w:p>
    <w:p>
      <w:pPr>
        <w:pStyle w:val="Heading2"/>
      </w:pPr>
      <w:r>
        <w:t>4.15 Plage B — B5 · Les limites du modèle (15 min)</w:t>
      </w:r>
    </w:p>
    <w:p>
      <w:r>
        <w:rPr>
          <w:b/>
          <w:i w:val="0"/>
          <w:color w:val="16305B"/>
        </w:rPr>
        <w:t>Contenu.</w:t>
      </w:r>
      <w:r>
        <w:rPr>
          <w:b w:val="0"/>
          <w:i w:val="0"/>
        </w:rPr>
        <w:t xml:space="preserve"> Critique du mix comme modèle orienté offre ; les 4C de Lauterborn ; le modèle SAVE ; ce que les 7P ajoutent réellement.</w:t>
      </w:r>
    </w:p>
    <w:p>
      <w:r>
        <w:rPr>
          <w:b/>
          <w:i w:val="0"/>
          <w:color w:val="16305B"/>
        </w:rPr>
        <w:t>Intention.</w:t>
      </w:r>
      <w:r>
        <w:rPr>
          <w:b w:val="0"/>
          <w:i w:val="0"/>
        </w:rPr>
        <w:t xml:space="preserve"> Fermer la séquence par la limite plutôt que par la récapitulation. Un modèle enseigné sans ses limites est enseigné comme une vérité, ce qui est exactement le contraire de ce que le niveau 7 attend.</w:t>
      </w:r>
    </w:p>
    <w:p>
      <w:r>
        <w:rPr>
          <w:b/>
          <w:i w:val="0"/>
          <w:color w:val="16305B"/>
        </w:rPr>
        <w:t>Déroulement.</w:t>
      </w:r>
      <w:r>
        <w:rPr>
          <w:b w:val="0"/>
          <w:i w:val="0"/>
        </w:rPr>
        <w:t xml:space="preserve"> Méthode affirmative, brève. Mise en regard des 4P et des 4C sur le cas qui vient d'être traité. Je précise honnêtement le statut des modèles : les 4P sont un cadre d'action robuste et toujours opérant ; </w:t>
      </w:r>
      <w:r>
        <w:rPr>
          <w:b/>
          <w:i w:val="0"/>
          <w:color w:val="16305B"/>
        </w:rPr>
        <w:t>les « 10P » ne constituent pas un modèle canonique</w:t>
      </w:r>
      <w:r>
        <w:rPr>
          <w:b w:val="0"/>
          <w:i w:val="0"/>
        </w:rPr>
        <w:t xml:space="preserve"> — plusieurs versions circulent, d'auteurs et d'intentions différents. Le dire plutôt que présenter une liste comme une référence établie fait partie de ce que j'enseigne : d'où vient un modèle, et que vaut-il ?</w:t>
      </w:r>
    </w:p>
    <w:p>
      <w:r>
        <w:rPr>
          <w:b/>
          <w:i w:val="0"/>
          <w:color w:val="16305B"/>
        </w:rPr>
        <w:t>Apprenants.</w:t>
      </w:r>
      <w:r>
        <w:rPr>
          <w:b w:val="0"/>
          <w:i w:val="0"/>
        </w:rPr>
        <w:t xml:space="preserve"> Ils écoutent, réagissent. Le risque est qu'ils concluent que « le mix est dépassé » ; je le traite explicitement.</w:t>
      </w:r>
    </w:p>
    <w:p>
      <w:r>
        <w:rPr>
          <w:b/>
          <w:i w:val="0"/>
          <w:color w:val="16305B"/>
        </w:rPr>
        <w:t>Durée.</w:t>
      </w:r>
      <w:r>
        <w:rPr>
          <w:b w:val="0"/>
          <w:i w:val="0"/>
        </w:rPr>
        <w:t xml:space="preserve"> 15 minutes.</w:t>
      </w:r>
    </w:p>
    <w:p>
      <w:pPr>
        <w:pStyle w:val="Heading2"/>
      </w:pPr>
      <w:r>
        <w:t>4.16 Plage B — B6 · Évaluation individuelle sur cas inédit (25 min)</w:t>
      </w:r>
    </w:p>
    <w:p>
      <w:r>
        <w:rPr>
          <w:b/>
          <w:i w:val="0"/>
          <w:color w:val="16305B"/>
        </w:rPr>
        <w:t>Contenu.</w:t>
      </w:r>
      <w:r>
        <w:rPr>
          <w:b w:val="0"/>
          <w:i w:val="0"/>
        </w:rPr>
        <w:t xml:space="preserve"> Transfert sur une situation nouvelle.</w:t>
      </w:r>
    </w:p>
    <w:p>
      <w:r>
        <w:rPr>
          <w:b/>
          <w:i w:val="0"/>
          <w:color w:val="16305B"/>
        </w:rPr>
        <w:t>Intention.</w:t>
      </w:r>
      <w:r>
        <w:rPr>
          <w:b w:val="0"/>
          <w:i w:val="0"/>
        </w:rPr>
        <w:t xml:space="preserve"> Mesurer individuellement. La soutenance mesure un travail collectif avec une part individuelle ; elle ne suffit pas à attester ce que chacun sait faire seul.</w:t>
      </w:r>
    </w:p>
    <w:p>
      <w:r>
        <w:rPr>
          <w:b/>
          <w:i w:val="0"/>
          <w:color w:val="16305B"/>
        </w:rPr>
        <w:t>Déroulement.</w:t>
      </w:r>
      <w:r>
        <w:rPr>
          <w:b w:val="0"/>
          <w:i w:val="0"/>
        </w:rPr>
        <w:t xml:space="preserve"> Un mini-cas inédit d'une page, sans documents, avec trois questions étagées : une de niveau 3 (calcul des dimensions d'une gamme), une de niveau 4 (analyse de cohérence), une de niveau 5 (arbitrage justifié). La répartition des points est annoncée — la question de niveau 5 pèse la moitié —, ce qui oriente l'effort là où l'objectif se situe. Je corrige </w:t>
      </w:r>
      <w:r>
        <w:rPr>
          <w:b/>
          <w:i w:val="0"/>
          <w:color w:val="16305B"/>
        </w:rPr>
        <w:t>critère par critère sur l'ensemble des copies</w:t>
      </w:r>
      <w:r>
        <w:rPr>
          <w:b w:val="0"/>
          <w:i w:val="0"/>
        </w:rPr>
        <w:t>, et non copie par copie, pour neutraliser l'effet de halo.</w:t>
      </w:r>
    </w:p>
    <w:p>
      <w:r>
        <w:rPr>
          <w:b/>
          <w:i w:val="0"/>
          <w:color w:val="16305B"/>
        </w:rPr>
        <w:t>Apprenants.</w:t>
      </w:r>
      <w:r>
        <w:rPr>
          <w:b w:val="0"/>
          <w:i w:val="0"/>
        </w:rPr>
        <w:t xml:space="preserve"> Ils traitent seuls.</w:t>
      </w:r>
    </w:p>
    <w:p>
      <w:r>
        <w:rPr>
          <w:b/>
          <w:i w:val="0"/>
          <w:color w:val="16305B"/>
        </w:rPr>
        <w:t>Durée.</w:t>
      </w:r>
      <w:r>
        <w:rPr>
          <w:b w:val="0"/>
          <w:i w:val="0"/>
        </w:rPr>
        <w:t xml:space="preserve"> 25 minutes.</w:t>
      </w:r>
    </w:p>
    <w:p>
      <w:pPr>
        <w:pStyle w:val="Heading2"/>
      </w:pPr>
      <w:r>
        <w:t>4.17 Plage B — B7 · Clôture et billet de sortie (15 min)</w:t>
      </w:r>
    </w:p>
    <w:p>
      <w:r>
        <w:rPr>
          <w:b/>
          <w:i w:val="0"/>
          <w:color w:val="16305B"/>
        </w:rPr>
        <w:t>Contenu.</w:t>
      </w:r>
      <w:r>
        <w:rPr>
          <w:b w:val="0"/>
          <w:i w:val="0"/>
        </w:rPr>
        <w:t xml:space="preserve"> Synthèse ; annonce de la séance suivante sur la politique de prix.</w:t>
      </w:r>
    </w:p>
    <w:p>
      <w:r>
        <w:rPr>
          <w:b/>
          <w:i w:val="0"/>
          <w:color w:val="16305B"/>
        </w:rPr>
        <w:t>Intention.</w:t>
      </w:r>
      <w:r>
        <w:rPr>
          <w:b w:val="0"/>
          <w:i w:val="0"/>
        </w:rPr>
        <w:t xml:space="preserve"> Travailler l'objectif métacognitif — faire repérer à chacun le type d'erreur qui lui revient — et récolter de quoi ouvrir la séance suivante.</w:t>
      </w:r>
    </w:p>
    <w:p>
      <w:r>
        <w:rPr>
          <w:b/>
          <w:i w:val="0"/>
          <w:color w:val="16305B"/>
        </w:rPr>
        <w:t>Déroulement.</w:t>
      </w:r>
      <w:r>
        <w:rPr>
          <w:b w:val="0"/>
          <w:i w:val="0"/>
        </w:rPr>
        <w:t xml:space="preserve"> Billet de sortie en deux questions : « quelle erreur ai-je faite plusieurs fois depuis la plage A ? » et « qu'est-ce qui reste flou ? ». Je donne deux exemples de réponse possible pour amorcer : la question métacognitive ne fonctionne pas « à froid », les premières réponses sont vides si l'on ne montre pas ce qu'on attend. Je lis les billets avant la séance suivante et j'ouvre celle-ci par les deux points les plus fréquents.</w:t>
      </w:r>
    </w:p>
    <w:p>
      <w:r>
        <w:rPr>
          <w:b/>
          <w:i w:val="0"/>
          <w:color w:val="16305B"/>
        </w:rPr>
        <w:t>Apprenants.</w:t>
      </w:r>
      <w:r>
        <w:rPr>
          <w:b w:val="0"/>
          <w:i w:val="0"/>
        </w:rPr>
        <w:t xml:space="preserve"> Ils écrivent, individuellement.</w:t>
      </w:r>
    </w:p>
    <w:p>
      <w:r>
        <w:rPr>
          <w:b/>
          <w:i w:val="0"/>
          <w:color w:val="16305B"/>
        </w:rPr>
        <w:t>Durée.</w:t>
      </w:r>
      <w:r>
        <w:rPr>
          <w:b w:val="0"/>
          <w:i w:val="0"/>
        </w:rPr>
        <w:t xml:space="preserve"> 15 minutes.</w:t>
      </w:r>
    </w:p>
    <w:p>
      <w:pPr>
        <w:pStyle w:val="Heading2"/>
      </w:pPr>
      <w:r>
        <w:t>4.18 Aval — B8 · Reprise espacée (20 min, asynchrone, J+21)</w:t>
      </w:r>
    </w:p>
    <w:p>
      <w:r>
        <w:rPr>
          <w:b/>
          <w:i w:val="0"/>
          <w:color w:val="16305B"/>
        </w:rPr>
        <w:t>Contenu.</w:t>
      </w:r>
      <w:r>
        <w:rPr>
          <w:b w:val="0"/>
          <w:i w:val="0"/>
        </w:rPr>
        <w:t xml:space="preserve"> Reprise de l'ensemble de la séance.</w:t>
      </w:r>
    </w:p>
    <w:p>
      <w:r>
        <w:rPr>
          <w:b/>
          <w:i w:val="0"/>
          <w:color w:val="16305B"/>
        </w:rPr>
        <w:t>Intention.</w:t>
      </w:r>
      <w:r>
        <w:rPr>
          <w:b w:val="0"/>
          <w:i w:val="0"/>
        </w:rPr>
        <w:t xml:space="preserve"> Exploiter l'effet d'espacement : un contenu réparti dans le temps est mieux retenu que le même contenu massé. Le quiz n'a pas de fonction de contrôle — il a une fonction de mémorisation, et c'est ce que je dis au groupe dès A1.</w:t>
      </w:r>
    </w:p>
    <w:p>
      <w:r>
        <w:rPr>
          <w:b/>
          <w:i w:val="0"/>
          <w:color w:val="16305B"/>
        </w:rPr>
        <w:t>Déroulement.</w:t>
      </w:r>
      <w:r>
        <w:rPr>
          <w:b w:val="0"/>
          <w:i w:val="0"/>
        </w:rPr>
        <w:t xml:space="preserve"> Un quiz de rappel programmé trois semaines après la plage B, sans documents, avec correction immédiate commentée. Puis un auto-positionnement sur les sept objectifs de la séance. Les résultats sont exploités en ouverture de la séquence suivante.</w:t>
      </w:r>
    </w:p>
    <w:p>
      <w:r>
        <w:rPr>
          <w:b/>
          <w:i w:val="0"/>
          <w:color w:val="16305B"/>
        </w:rPr>
        <w:t>Apprenants.</w:t>
      </w:r>
      <w:r>
        <w:rPr>
          <w:b w:val="0"/>
          <w:i w:val="0"/>
        </w:rPr>
        <w:t xml:space="preserve"> Ils répondent, se positionnent.</w:t>
      </w:r>
    </w:p>
    <w:p>
      <w:r>
        <w:rPr>
          <w:b/>
          <w:i w:val="0"/>
          <w:color w:val="16305B"/>
        </w:rPr>
        <w:t>Durée.</w:t>
      </w:r>
      <w:r>
        <w:rPr>
          <w:b w:val="0"/>
          <w:i w:val="0"/>
        </w:rPr>
        <w:t xml:space="preserve"> 20 minutes.</w:t>
      </w:r>
    </w:p>
    <w:p>
      <w:pPr>
        <w:pStyle w:val="Heading1"/>
      </w:pPr>
      <w:r>
        <w:t>5. Le détail des activités : pourquoi celles-là</w:t>
      </w:r>
    </w:p>
    <w:p>
      <w:r>
        <w:rPr>
          <w:b w:val="0"/>
          <w:i w:val="0"/>
        </w:rPr>
        <w:t>Trois activités portent l'essentiel de l'apprentissage. Je précise ici ce que chacune vise, ce qui la rend efficace et comment elle se transpose à distance — cette dernière question m'ayant été posée par la responsable pédagogique.</w:t>
      </w:r>
    </w:p>
    <w:p>
      <w:pPr>
        <w:pStyle w:val="Heading2"/>
      </w:pPr>
      <w:r>
        <w:t>5.1 L'étude de cas à données contradictoires (A3)</w:t>
      </w:r>
    </w:p>
    <w:p>
      <w:r>
        <w:rPr>
          <w:b/>
          <w:i w:val="0"/>
          <w:color w:val="16305B"/>
        </w:rPr>
        <w:t>Ce qu'elle vise.</w:t>
      </w:r>
      <w:r>
        <w:rPr>
          <w:b w:val="0"/>
          <w:i w:val="0"/>
        </w:rPr>
        <w:t xml:space="preserve"> Le niveau 4, sous-processus </w:t>
      </w:r>
      <w:r>
        <w:rPr>
          <w:b w:val="0"/>
          <w:i/>
        </w:rPr>
        <w:t>organiser</w:t>
      </w:r>
      <w:r>
        <w:rPr>
          <w:b w:val="0"/>
          <w:i w:val="0"/>
        </w:rPr>
        <w:t xml:space="preserve"> : reconstituer la logique qui relie un positionnement annoncé et une gamme réelle.</w:t>
      </w:r>
    </w:p>
    <w:p>
      <w:r>
        <w:rPr>
          <w:b/>
          <w:i w:val="0"/>
          <w:color w:val="16305B"/>
        </w:rPr>
        <w:t>Ce qui la rend efficace.</w:t>
      </w:r>
      <w:r>
        <w:rPr>
          <w:b w:val="0"/>
          <w:i w:val="0"/>
        </w:rPr>
        <w:t xml:space="preserve"> La contradiction. Un cas dont la bonne réponse se déduit sans arbitrage est un exercice d'application déguisé, et le groupe le sent immédiatement. Les deux données incompatibles obligent à trancher, donc à justifier.</w:t>
      </w:r>
    </w:p>
    <w:p>
      <w:r>
        <w:rPr>
          <w:b/>
          <w:i w:val="0"/>
          <w:color w:val="16305B"/>
        </w:rPr>
        <w:t>À distance.</w:t>
      </w:r>
      <w:r>
        <w:rPr>
          <w:b w:val="0"/>
          <w:i w:val="0"/>
        </w:rPr>
        <w:t xml:space="preserve"> Transposable sans perte : sous-groupes en salles séparées, document partagé unique avec une zone par groupe. Le seul ajustement nécessaire est le passage du formateur, qui doit être minuté — on ne « circule » pas en visioconférence, on planifie ses passages.</w:t>
      </w:r>
    </w:p>
    <w:p>
      <w:pPr>
        <w:pStyle w:val="Heading2"/>
      </w:pPr>
      <w:r>
        <w:t>5.2 Le vote — discussion — revote (A6)</w:t>
      </w:r>
    </w:p>
    <w:p>
      <w:r>
        <w:rPr>
          <w:b/>
          <w:i w:val="0"/>
          <w:color w:val="16305B"/>
        </w:rPr>
        <w:t>Ce qu'il vise.</w:t>
      </w:r>
      <w:r>
        <w:rPr>
          <w:b w:val="0"/>
          <w:i w:val="0"/>
        </w:rPr>
        <w:t xml:space="preserve"> Vérifier la compréhension immédiatement après l'apport, et faire du désaccord un objet de travail.</w:t>
      </w:r>
    </w:p>
    <w:p>
      <w:r>
        <w:rPr>
          <w:b/>
          <w:i w:val="0"/>
          <w:color w:val="16305B"/>
        </w:rPr>
        <w:t>Ce qui le rend efficace.</w:t>
      </w:r>
      <w:r>
        <w:rPr>
          <w:b w:val="0"/>
          <w:i w:val="0"/>
        </w:rPr>
        <w:t xml:space="preserve"> Le fait de ne pas donner la réponse entre les deux votes. C'est ce silence-là qui produit la discussion, et c'est le déplacement des réponses entre les deux votes qui constitue l'apprentissage — pas le score final.</w:t>
      </w:r>
    </w:p>
    <w:p>
      <w:r>
        <w:rPr>
          <w:b/>
          <w:i w:val="0"/>
          <w:color w:val="16305B"/>
        </w:rPr>
        <w:t>À distance.</w:t>
      </w:r>
      <w:r>
        <w:rPr>
          <w:b w:val="0"/>
          <w:i w:val="0"/>
        </w:rPr>
        <w:t xml:space="preserve"> Le format fonctionne mieux à distance qu'en présentiel : l'outil de vote y est natif et la discussion se fait en salles de deux. C'est l'un des rares temps où la modalité distancielle est supérieure.</w:t>
      </w:r>
    </w:p>
    <w:p>
      <w:pPr>
        <w:pStyle w:val="Heading2"/>
      </w:pPr>
      <w:r>
        <w:t>5.3 Le cas d'arbitrage et sa soutenance (B3 et B4)</w:t>
      </w:r>
    </w:p>
    <w:p>
      <w:r>
        <w:rPr>
          <w:b/>
          <w:i w:val="0"/>
          <w:color w:val="16305B"/>
        </w:rPr>
        <w:t>Ce qu'il vise.</w:t>
      </w:r>
      <w:r>
        <w:rPr>
          <w:b w:val="0"/>
          <w:i w:val="0"/>
        </w:rPr>
        <w:t xml:space="preserve"> Le niveau 5 : choisir entre deux options et défendre ce choix face à une objection.</w:t>
      </w:r>
    </w:p>
    <w:p>
      <w:r>
        <w:rPr>
          <w:b/>
          <w:i w:val="0"/>
          <w:color w:val="16305B"/>
        </w:rPr>
        <w:t>Ce qui le rend efficace.</w:t>
      </w:r>
      <w:r>
        <w:rPr>
          <w:b w:val="0"/>
          <w:i w:val="0"/>
        </w:rPr>
        <w:t xml:space="preserve"> Trois éléments cumulés : les données surabondantes, qui obligent à trier ; l'étude commanditée, qui oblige à interroger la source ; et le tirage au sort du porte-parole, qui rend le travail de groupe réellement collectif.</w:t>
      </w:r>
    </w:p>
    <w:p>
      <w:r>
        <w:rPr>
          <w:b/>
          <w:i w:val="0"/>
          <w:color w:val="16305B"/>
        </w:rPr>
        <w:t>À distance.</w:t>
      </w:r>
      <w:r>
        <w:rPr>
          <w:b w:val="0"/>
          <w:i w:val="0"/>
        </w:rPr>
        <w:t xml:space="preserve"> La préparation se transpose ; la soutenance perd beaucoup. En visioconférence, l'objection passe mal, le non-verbal disparaît et les autres groupes décrochent pendant les passages. Si la séance devait être basculée à distance, je conserverais le cas et je remplacerais la soutenance collective par un oral individuel de trois minutes en rendez-vous — plus coûteux en temps de formateur, mais mesurant la même chose.</w:t>
      </w:r>
    </w:p>
    <w:p>
      <w:pPr>
        <w:pStyle w:val="Heading1"/>
      </w:pPr>
      <w:r>
        <w:t>6. Le dispositif d'évaluation</w:t>
      </w:r>
    </w:p>
    <w:p>
      <w:r>
        <w:rPr>
          <w:b w:val="0"/>
          <w:i w:val="0"/>
        </w:rPr>
        <w:t>Cinq évaluations, de cinq statuts différents. Le tableau les récapitule avant que je ne détaille les deux qui sont notées.</w:t>
      </w:r>
    </w:p>
    <w:tbl>
      <w:tblPr>
        <w:tblStyle w:val="TableGrid"/>
        <w:tblW w:type="auto" w:w="0"/>
        <w:tblLook w:firstColumn="1" w:firstRow="1" w:lastColumn="0" w:lastRow="0" w:noHBand="0" w:noVBand="1" w:val="04A0"/>
        <w:tblBorders>
          <w:top w:val="single" w:sz="4" w:space="0" w:color="D6DEE9"/>
          <w:left w:val="single" w:sz="4" w:space="0" w:color="D6DEE9"/>
          <w:bottom w:val="single" w:sz="4" w:space="0" w:color="D6DEE9"/>
          <w:right w:val="single" w:sz="4" w:space="0" w:color="D6DEE9"/>
          <w:insideH w:val="single" w:sz="4" w:space="0" w:color="D6DEE9"/>
          <w:insideV w:val="single" w:sz="4" w:space="0" w:color="D6DEE9"/>
        </w:tblBorders>
      </w:tblPr>
      <w:tblGrid>
        <w:gridCol w:w="1882"/>
        <w:gridCol w:w="1882"/>
        <w:gridCol w:w="1882"/>
        <w:gridCol w:w="1882"/>
        <w:gridCol w:w="1882"/>
      </w:tblGrid>
      <w:tr>
        <w:tc>
          <w:tcPr>
            <w:tcW w:type="dxa" w:w="1882"/>
          </w:tcPr>
          <w:p>
            <w:r>
              <w:rPr>
                <w:b/>
                <w:color w:val="FFFFFF"/>
                <w:sz w:val="17"/>
              </w:rPr>
              <w:t>TEMPS</w:t>
            </w:r>
          </w:p>
          <w:shd w:val="clear" w:color="auto" w:fill="16305B"/>
        </w:tc>
        <w:tc>
          <w:tcPr>
            <w:tcW w:type="dxa" w:w="1882"/>
          </w:tcPr>
          <w:p>
            <w:r>
              <w:rPr>
                <w:b/>
                <w:color w:val="FFFFFF"/>
                <w:sz w:val="17"/>
              </w:rPr>
              <w:t>ÉVALUATION</w:t>
            </w:r>
          </w:p>
          <w:shd w:val="clear" w:color="auto" w:fill="16305B"/>
        </w:tc>
        <w:tc>
          <w:tcPr>
            <w:tcW w:type="dxa" w:w="1882"/>
          </w:tcPr>
          <w:p>
            <w:r>
              <w:rPr>
                <w:b/>
                <w:color w:val="FFFFFF"/>
                <w:sz w:val="17"/>
              </w:rPr>
              <w:t>STATUT</w:t>
            </w:r>
          </w:p>
          <w:shd w:val="clear" w:color="auto" w:fill="16305B"/>
        </w:tc>
        <w:tc>
          <w:tcPr>
            <w:tcW w:type="dxa" w:w="1882"/>
          </w:tcPr>
          <w:p>
            <w:r>
              <w:rPr>
                <w:b/>
                <w:color w:val="FFFFFF"/>
                <w:sz w:val="17"/>
              </w:rPr>
              <w:t>OBJECTIF MESURÉ</w:t>
            </w:r>
          </w:p>
          <w:shd w:val="clear" w:color="auto" w:fill="16305B"/>
        </w:tc>
        <w:tc>
          <w:tcPr>
            <w:tcW w:type="dxa" w:w="1882"/>
          </w:tcPr>
          <w:p>
            <w:r>
              <w:rPr>
                <w:b/>
                <w:color w:val="FFFFFF"/>
                <w:sz w:val="17"/>
              </w:rPr>
              <w:t>NOTÉE ?</w:t>
            </w:r>
          </w:p>
          <w:shd w:val="clear" w:color="auto" w:fill="16305B"/>
        </w:tc>
      </w:tr>
      <w:tr>
        <w:tc>
          <w:tcPr>
            <w:tcW w:type="dxa" w:w="1882"/>
          </w:tcPr>
          <w:p>
            <w:pPr>
              <w:spacing w:after="40"/>
            </w:pPr>
            <w:r>
              <w:rPr>
                <w:b w:val="0"/>
                <w:i w:val="0"/>
                <w:sz w:val="20"/>
              </w:rPr>
              <w:t>A0</w:t>
            </w:r>
          </w:p>
        </w:tc>
        <w:tc>
          <w:tcPr>
            <w:tcW w:type="dxa" w:w="1882"/>
          </w:tcPr>
          <w:p>
            <w:pPr>
              <w:spacing w:after="40"/>
            </w:pPr>
            <w:r>
              <w:rPr>
                <w:b w:val="0"/>
                <w:i w:val="0"/>
                <w:sz w:val="20"/>
              </w:rPr>
              <w:t>Quiz de positionnement, 6 questions</w:t>
            </w:r>
          </w:p>
        </w:tc>
        <w:tc>
          <w:tcPr>
            <w:tcW w:type="dxa" w:w="1882"/>
          </w:tcPr>
          <w:p>
            <w:pPr>
              <w:spacing w:after="40"/>
            </w:pPr>
            <w:r>
              <w:rPr>
                <w:b/>
                <w:i w:val="0"/>
                <w:color w:val="16305B"/>
                <w:sz w:val="20"/>
              </w:rPr>
              <w:t>Diagnostique</w:t>
            </w:r>
          </w:p>
        </w:tc>
        <w:tc>
          <w:tcPr>
            <w:tcW w:type="dxa" w:w="1882"/>
          </w:tcPr>
          <w:p>
            <w:pPr>
              <w:spacing w:after="40"/>
            </w:pPr>
            <w:r>
              <w:rPr>
                <w:b w:val="0"/>
                <w:i w:val="0"/>
                <w:sz w:val="20"/>
              </w:rPr>
              <w:t>Distinguer les composantes du mix</w:t>
            </w:r>
          </w:p>
        </w:tc>
        <w:tc>
          <w:tcPr>
            <w:tcW w:type="dxa" w:w="1882"/>
          </w:tcPr>
          <w:p>
            <w:pPr>
              <w:spacing w:after="40"/>
            </w:pPr>
            <w:r>
              <w:rPr>
                <w:b w:val="0"/>
                <w:i w:val="0"/>
                <w:sz w:val="20"/>
              </w:rPr>
              <w:t>Non</w:t>
            </w:r>
          </w:p>
        </w:tc>
      </w:tr>
      <w:tr>
        <w:tc>
          <w:tcPr>
            <w:tcW w:type="dxa" w:w="1882"/>
          </w:tcPr>
          <w:p>
            <w:pPr>
              <w:spacing w:after="40"/>
            </w:pPr>
            <w:r>
              <w:rPr>
                <w:b w:val="0"/>
                <w:i w:val="0"/>
                <w:sz w:val="20"/>
              </w:rPr>
              <w:t>A2, A4, A6, A7</w:t>
            </w:r>
          </w:p>
        </w:tc>
        <w:tc>
          <w:tcPr>
            <w:tcW w:type="dxa" w:w="1882"/>
          </w:tcPr>
          <w:p>
            <w:pPr>
              <w:spacing w:after="40"/>
            </w:pPr>
            <w:r>
              <w:rPr>
                <w:b w:val="0"/>
                <w:i w:val="0"/>
                <w:sz w:val="20"/>
              </w:rPr>
              <w:t>Rappel actif, restitution contradictoire, vote-revote, production individuelle</w:t>
            </w:r>
          </w:p>
        </w:tc>
        <w:tc>
          <w:tcPr>
            <w:tcW w:type="dxa" w:w="1882"/>
          </w:tcPr>
          <w:p>
            <w:pPr>
              <w:spacing w:after="40"/>
            </w:pPr>
            <w:r>
              <w:rPr>
                <w:b/>
                <w:i w:val="0"/>
                <w:color w:val="16305B"/>
                <w:sz w:val="20"/>
              </w:rPr>
              <w:t>Formative</w:t>
            </w:r>
          </w:p>
        </w:tc>
        <w:tc>
          <w:tcPr>
            <w:tcW w:type="dxa" w:w="1882"/>
          </w:tcPr>
          <w:p>
            <w:pPr>
              <w:spacing w:after="40"/>
            </w:pPr>
            <w:r>
              <w:rPr>
                <w:b w:val="0"/>
                <w:i w:val="0"/>
                <w:sz w:val="20"/>
              </w:rPr>
              <w:t>Analyser la cohérence ; calculer les dimensions de gamme</w:t>
            </w:r>
          </w:p>
        </w:tc>
        <w:tc>
          <w:tcPr>
            <w:tcW w:type="dxa" w:w="1882"/>
          </w:tcPr>
          <w:p>
            <w:pPr>
              <w:spacing w:after="40"/>
            </w:pPr>
            <w:r>
              <w:rPr>
                <w:b w:val="0"/>
                <w:i w:val="0"/>
                <w:sz w:val="20"/>
              </w:rPr>
              <w:t>Non</w:t>
            </w:r>
          </w:p>
        </w:tc>
      </w:tr>
      <w:tr>
        <w:tc>
          <w:tcPr>
            <w:tcW w:type="dxa" w:w="1882"/>
          </w:tcPr>
          <w:p>
            <w:pPr>
              <w:spacing w:after="40"/>
            </w:pPr>
            <w:r>
              <w:rPr>
                <w:b w:val="0"/>
                <w:i w:val="0"/>
                <w:sz w:val="20"/>
              </w:rPr>
              <w:t>B0</w:t>
            </w:r>
          </w:p>
        </w:tc>
        <w:tc>
          <w:tcPr>
            <w:tcW w:type="dxa" w:w="1882"/>
          </w:tcPr>
          <w:p>
            <w:pPr>
              <w:spacing w:after="40"/>
            </w:pPr>
            <w:r>
              <w:rPr>
                <w:b w:val="0"/>
                <w:i w:val="0"/>
                <w:sz w:val="20"/>
              </w:rPr>
              <w:t>Fiche produit + relecture croisée à deux critères</w:t>
            </w:r>
          </w:p>
        </w:tc>
        <w:tc>
          <w:tcPr>
            <w:tcW w:type="dxa" w:w="1882"/>
          </w:tcPr>
          <w:p>
            <w:pPr>
              <w:spacing w:after="40"/>
            </w:pPr>
            <w:r>
              <w:rPr>
                <w:b/>
                <w:i w:val="0"/>
                <w:color w:val="16305B"/>
                <w:sz w:val="20"/>
              </w:rPr>
              <w:t>Formative, par les pairs</w:t>
            </w:r>
          </w:p>
        </w:tc>
        <w:tc>
          <w:tcPr>
            <w:tcW w:type="dxa" w:w="1882"/>
          </w:tcPr>
          <w:p>
            <w:pPr>
              <w:spacing w:after="40"/>
            </w:pPr>
            <w:r>
              <w:rPr>
                <w:b w:val="0"/>
                <w:i w:val="0"/>
                <w:sz w:val="20"/>
              </w:rPr>
              <w:t>Élaborer une fiche produit argumentée (niveau 6)</w:t>
            </w:r>
          </w:p>
        </w:tc>
        <w:tc>
          <w:tcPr>
            <w:tcW w:type="dxa" w:w="1882"/>
          </w:tcPr>
          <w:p>
            <w:pPr>
              <w:spacing w:after="40"/>
            </w:pPr>
            <w:r>
              <w:rPr>
                <w:b w:val="0"/>
                <w:i w:val="0"/>
                <w:sz w:val="20"/>
              </w:rPr>
              <w:t>Non — participation</w:t>
            </w:r>
          </w:p>
        </w:tc>
      </w:tr>
      <w:tr>
        <w:tc>
          <w:tcPr>
            <w:tcW w:type="dxa" w:w="1882"/>
          </w:tcPr>
          <w:p>
            <w:pPr>
              <w:spacing w:after="40"/>
            </w:pPr>
            <w:r>
              <w:rPr>
                <w:b w:val="0"/>
                <w:i w:val="0"/>
                <w:sz w:val="20"/>
              </w:rPr>
              <w:t>B4</w:t>
            </w:r>
          </w:p>
        </w:tc>
        <w:tc>
          <w:tcPr>
            <w:tcW w:type="dxa" w:w="1882"/>
          </w:tcPr>
          <w:p>
            <w:pPr>
              <w:spacing w:after="40"/>
            </w:pPr>
            <w:r>
              <w:rPr>
                <w:b w:val="0"/>
                <w:i w:val="0"/>
                <w:sz w:val="20"/>
              </w:rPr>
              <w:t>Soutenance orale de groupe, porte-parole tiré au sort</w:t>
            </w:r>
          </w:p>
        </w:tc>
        <w:tc>
          <w:tcPr>
            <w:tcW w:type="dxa" w:w="1882"/>
          </w:tcPr>
          <w:p>
            <w:pPr>
              <w:spacing w:after="40"/>
            </w:pPr>
            <w:r>
              <w:rPr>
                <w:b/>
                <w:i w:val="0"/>
                <w:color w:val="16305B"/>
                <w:sz w:val="20"/>
              </w:rPr>
              <w:t>Sommative</w:t>
            </w:r>
          </w:p>
        </w:tc>
        <w:tc>
          <w:tcPr>
            <w:tcW w:type="dxa" w:w="1882"/>
          </w:tcPr>
          <w:p>
            <w:pPr>
              <w:spacing w:after="40"/>
            </w:pPr>
            <w:r>
              <w:rPr>
                <w:b w:val="0"/>
                <w:i w:val="0"/>
                <w:sz w:val="20"/>
              </w:rPr>
              <w:t>Choisir entre deux options et défendre ce choix (niveau 5)</w:t>
            </w:r>
          </w:p>
        </w:tc>
        <w:tc>
          <w:tcPr>
            <w:tcW w:type="dxa" w:w="1882"/>
          </w:tcPr>
          <w:p>
            <w:pPr>
              <w:spacing w:after="40"/>
            </w:pPr>
            <w:r>
              <w:rPr>
                <w:b/>
                <w:i w:val="0"/>
                <w:color w:val="16305B"/>
                <w:sz w:val="20"/>
              </w:rPr>
              <w:t>Oui</w:t>
            </w:r>
            <w:r>
              <w:rPr>
                <w:b w:val="0"/>
                <w:i w:val="0"/>
                <w:sz w:val="20"/>
              </w:rPr>
              <w:t xml:space="preserve"> — 60 %</w:t>
            </w:r>
          </w:p>
        </w:tc>
      </w:tr>
      <w:tr>
        <w:tc>
          <w:tcPr>
            <w:tcW w:type="dxa" w:w="1882"/>
          </w:tcPr>
          <w:p>
            <w:pPr>
              <w:spacing w:after="40"/>
            </w:pPr>
            <w:r>
              <w:rPr>
                <w:b w:val="0"/>
                <w:i w:val="0"/>
                <w:sz w:val="20"/>
              </w:rPr>
              <w:t>B6</w:t>
            </w:r>
          </w:p>
        </w:tc>
        <w:tc>
          <w:tcPr>
            <w:tcW w:type="dxa" w:w="1882"/>
          </w:tcPr>
          <w:p>
            <w:pPr>
              <w:spacing w:after="40"/>
            </w:pPr>
            <w:r>
              <w:rPr>
                <w:b w:val="0"/>
                <w:i w:val="0"/>
                <w:sz w:val="20"/>
              </w:rPr>
              <w:t>Cas inédit individuel, 3 questions étagées</w:t>
            </w:r>
          </w:p>
        </w:tc>
        <w:tc>
          <w:tcPr>
            <w:tcW w:type="dxa" w:w="1882"/>
          </w:tcPr>
          <w:p>
            <w:pPr>
              <w:spacing w:after="40"/>
            </w:pPr>
            <w:r>
              <w:rPr>
                <w:b/>
                <w:i w:val="0"/>
                <w:color w:val="16305B"/>
                <w:sz w:val="20"/>
              </w:rPr>
              <w:t>Sommative</w:t>
            </w:r>
          </w:p>
        </w:tc>
        <w:tc>
          <w:tcPr>
            <w:tcW w:type="dxa" w:w="1882"/>
          </w:tcPr>
          <w:p>
            <w:pPr>
              <w:spacing w:after="40"/>
            </w:pPr>
            <w:r>
              <w:rPr>
                <w:b w:val="0"/>
                <w:i w:val="0"/>
                <w:sz w:val="20"/>
              </w:rPr>
              <w:t>Appliquer, analyser, arbitrer sur situation nouvelle</w:t>
            </w:r>
          </w:p>
        </w:tc>
        <w:tc>
          <w:tcPr>
            <w:tcW w:type="dxa" w:w="1882"/>
          </w:tcPr>
          <w:p>
            <w:pPr>
              <w:spacing w:after="40"/>
            </w:pPr>
            <w:r>
              <w:rPr>
                <w:b/>
                <w:i w:val="0"/>
                <w:color w:val="16305B"/>
                <w:sz w:val="20"/>
              </w:rPr>
              <w:t>Oui</w:t>
            </w:r>
            <w:r>
              <w:rPr>
                <w:b w:val="0"/>
                <w:i w:val="0"/>
                <w:sz w:val="20"/>
              </w:rPr>
              <w:t xml:space="preserve"> — 40 %</w:t>
            </w:r>
          </w:p>
        </w:tc>
      </w:tr>
      <w:tr>
        <w:tc>
          <w:tcPr>
            <w:tcW w:type="dxa" w:w="1882"/>
          </w:tcPr>
          <w:p>
            <w:pPr>
              <w:spacing w:after="40"/>
            </w:pPr>
            <w:r>
              <w:rPr>
                <w:b w:val="0"/>
                <w:i w:val="0"/>
                <w:sz w:val="20"/>
              </w:rPr>
              <w:t>B8</w:t>
            </w:r>
          </w:p>
        </w:tc>
        <w:tc>
          <w:tcPr>
            <w:tcW w:type="dxa" w:w="1882"/>
          </w:tcPr>
          <w:p>
            <w:pPr>
              <w:spacing w:after="40"/>
            </w:pPr>
            <w:r>
              <w:rPr>
                <w:b w:val="0"/>
                <w:i w:val="0"/>
                <w:sz w:val="20"/>
              </w:rPr>
              <w:t>Quiz de rappel espacé + auto-positionnement</w:t>
            </w:r>
          </w:p>
        </w:tc>
        <w:tc>
          <w:tcPr>
            <w:tcW w:type="dxa" w:w="1882"/>
          </w:tcPr>
          <w:p>
            <w:pPr>
              <w:spacing w:after="40"/>
            </w:pPr>
            <w:r>
              <w:rPr>
                <w:b w:val="0"/>
                <w:i w:val="0"/>
                <w:sz w:val="20"/>
              </w:rPr>
              <w:t xml:space="preserve">Formative </w:t>
            </w:r>
            <w:r>
              <w:rPr>
                <w:b w:val="0"/>
                <w:i/>
                <w:sz w:val="20"/>
              </w:rPr>
              <w:t>et</w:t>
            </w:r>
            <w:r>
              <w:rPr>
                <w:b w:val="0"/>
                <w:i w:val="0"/>
                <w:sz w:val="20"/>
              </w:rPr>
              <w:t xml:space="preserve"> mémorisation</w:t>
            </w:r>
          </w:p>
        </w:tc>
        <w:tc>
          <w:tcPr>
            <w:tcW w:type="dxa" w:w="1882"/>
          </w:tcPr>
          <w:p>
            <w:pPr>
              <w:spacing w:after="40"/>
            </w:pPr>
            <w:r>
              <w:rPr>
                <w:b w:val="0"/>
                <w:i w:val="0"/>
                <w:sz w:val="20"/>
              </w:rPr>
              <w:t>Rétention à trois semaines ; objectif métacognitif</w:t>
            </w:r>
          </w:p>
        </w:tc>
        <w:tc>
          <w:tcPr>
            <w:tcW w:type="dxa" w:w="1882"/>
          </w:tcPr>
          <w:p>
            <w:pPr>
              <w:spacing w:after="40"/>
            </w:pPr>
            <w:r>
              <w:rPr>
                <w:b w:val="0"/>
                <w:i w:val="0"/>
                <w:sz w:val="20"/>
              </w:rPr>
              <w:t>Non</w:t>
            </w:r>
          </w:p>
        </w:tc>
      </w:tr>
    </w:tbl>
    <w:p>
      <w:pPr>
        <w:spacing w:after="40"/>
      </w:pPr>
    </w:p>
    <w:p>
      <w:r>
        <w:rPr>
          <w:b w:val="0"/>
          <w:i w:val="0"/>
        </w:rPr>
        <w:t>Le choix de faire peser l'oral pour 60 % mérite une justification, parce qu'il surprend : l'objectif principal de la séance est de niveau 5 — arbitrer et défendre — et seul un oral avec objection le mesure. L'écrit individuel, qui pèse 40 %, sert à attester ce que chacun sait faire seul. Aucune des deux ne suffirait à elle seule.</w:t>
      </w:r>
    </w:p>
    <w:p>
      <w:pPr>
        <w:pStyle w:val="Heading2"/>
      </w:pPr>
      <w:r>
        <w:t>6.1 La grille de la soutenance</w:t>
      </w:r>
    </w:p>
    <w:p>
      <w:r>
        <w:rPr>
          <w:b w:val="0"/>
          <w:i w:val="0"/>
        </w:rPr>
        <w:t>Quatre critères, quatre niveaux descriptifs. La grille est remise en A1, trois semaines avant l'épreuve.</w:t>
      </w:r>
    </w:p>
    <w:tbl>
      <w:tblPr>
        <w:tblStyle w:val="TableGrid"/>
        <w:tblW w:type="auto" w:w="0"/>
        <w:tblLook w:firstColumn="1" w:firstRow="1" w:lastColumn="0" w:lastRow="0" w:noHBand="0" w:noVBand="1" w:val="04A0"/>
        <w:tblBorders>
          <w:top w:val="single" w:sz="4" w:space="0" w:color="D6DEE9"/>
          <w:left w:val="single" w:sz="4" w:space="0" w:color="D6DEE9"/>
          <w:bottom w:val="single" w:sz="4" w:space="0" w:color="D6DEE9"/>
          <w:right w:val="single" w:sz="4" w:space="0" w:color="D6DEE9"/>
          <w:insideH w:val="single" w:sz="4" w:space="0" w:color="D6DEE9"/>
          <w:insideV w:val="single" w:sz="4" w:space="0" w:color="D6DEE9"/>
        </w:tblBorders>
      </w:tblPr>
      <w:tblGrid>
        <w:gridCol w:w="1882"/>
        <w:gridCol w:w="1882"/>
        <w:gridCol w:w="1882"/>
        <w:gridCol w:w="1882"/>
        <w:gridCol w:w="1882"/>
      </w:tblGrid>
      <w:tr>
        <w:tc>
          <w:tcPr>
            <w:tcW w:type="dxa" w:w="1882"/>
          </w:tcPr>
          <w:p>
            <w:r>
              <w:rPr>
                <w:b/>
                <w:color w:val="FFFFFF"/>
                <w:sz w:val="17"/>
              </w:rPr>
              <w:t>CRITÈRE</w:t>
            </w:r>
          </w:p>
          <w:shd w:val="clear" w:color="auto" w:fill="16305B"/>
        </w:tc>
        <w:tc>
          <w:tcPr>
            <w:tcW w:type="dxa" w:w="1882"/>
          </w:tcPr>
          <w:p>
            <w:r>
              <w:rPr>
                <w:b/>
                <w:color w:val="FFFFFF"/>
                <w:sz w:val="17"/>
              </w:rPr>
              <w:t>NIVEAU 1</w:t>
            </w:r>
          </w:p>
          <w:shd w:val="clear" w:color="auto" w:fill="16305B"/>
        </w:tc>
        <w:tc>
          <w:tcPr>
            <w:tcW w:type="dxa" w:w="1882"/>
          </w:tcPr>
          <w:p>
            <w:r>
              <w:rPr>
                <w:b/>
                <w:color w:val="FFFFFF"/>
                <w:sz w:val="17"/>
              </w:rPr>
              <w:t>NIVEAU 2</w:t>
            </w:r>
          </w:p>
          <w:shd w:val="clear" w:color="auto" w:fill="16305B"/>
        </w:tc>
        <w:tc>
          <w:tcPr>
            <w:tcW w:type="dxa" w:w="1882"/>
          </w:tcPr>
          <w:p>
            <w:r>
              <w:rPr>
                <w:b/>
                <w:color w:val="FFFFFF"/>
                <w:sz w:val="17"/>
              </w:rPr>
              <w:t>NIVEAU 3</w:t>
            </w:r>
          </w:p>
          <w:shd w:val="clear" w:color="auto" w:fill="16305B"/>
        </w:tc>
        <w:tc>
          <w:tcPr>
            <w:tcW w:type="dxa" w:w="1882"/>
          </w:tcPr>
          <w:p>
            <w:r>
              <w:rPr>
                <w:b/>
                <w:color w:val="FFFFFF"/>
                <w:sz w:val="17"/>
              </w:rPr>
              <w:t>NIVEAU 4</w:t>
            </w:r>
          </w:p>
          <w:shd w:val="clear" w:color="auto" w:fill="16305B"/>
        </w:tc>
      </w:tr>
      <w:tr>
        <w:tc>
          <w:tcPr>
            <w:tcW w:type="dxa" w:w="1882"/>
          </w:tcPr>
          <w:p>
            <w:pPr>
              <w:spacing w:after="40"/>
            </w:pPr>
            <w:r>
              <w:rPr>
                <w:b/>
                <w:i w:val="0"/>
                <w:color w:val="16305B"/>
                <w:sz w:val="20"/>
              </w:rPr>
              <w:t>Clarté de la recommandation</w:t>
            </w:r>
            <w:r>
              <w:rPr>
                <w:b w:val="0"/>
                <w:i/>
                <w:sz w:val="20"/>
              </w:rPr>
              <w:t>4 points</w:t>
            </w:r>
          </w:p>
        </w:tc>
        <w:tc>
          <w:tcPr>
            <w:tcW w:type="dxa" w:w="1882"/>
          </w:tcPr>
          <w:p>
            <w:pPr>
              <w:spacing w:after="40"/>
            </w:pPr>
            <w:r>
              <w:rPr>
                <w:b w:val="0"/>
                <w:i w:val="0"/>
                <w:sz w:val="20"/>
              </w:rPr>
              <w:t>Aucune décision n'est énoncée</w:t>
            </w:r>
          </w:p>
        </w:tc>
        <w:tc>
          <w:tcPr>
            <w:tcW w:type="dxa" w:w="1882"/>
          </w:tcPr>
          <w:p>
            <w:pPr>
              <w:spacing w:after="40"/>
            </w:pPr>
            <w:r>
              <w:rPr>
                <w:b w:val="0"/>
                <w:i w:val="0"/>
                <w:sz w:val="20"/>
              </w:rPr>
              <w:t>Une décision est énoncée mais reste ambiguë</w:t>
            </w:r>
          </w:p>
        </w:tc>
        <w:tc>
          <w:tcPr>
            <w:tcW w:type="dxa" w:w="1882"/>
          </w:tcPr>
          <w:p>
            <w:pPr>
              <w:spacing w:after="40"/>
            </w:pPr>
            <w:r>
              <w:rPr>
                <w:b w:val="0"/>
                <w:i w:val="0"/>
                <w:sz w:val="20"/>
              </w:rPr>
              <w:t>La décision est claire et énoncée d'emblée</w:t>
            </w:r>
          </w:p>
        </w:tc>
        <w:tc>
          <w:tcPr>
            <w:tcW w:type="dxa" w:w="1882"/>
          </w:tcPr>
          <w:p>
            <w:pPr>
              <w:spacing w:after="40"/>
            </w:pPr>
            <w:r>
              <w:rPr>
                <w:b w:val="0"/>
                <w:i w:val="0"/>
                <w:sz w:val="20"/>
              </w:rPr>
              <w:t>La décision est claire, énoncée d'emblée, et ses conditions d'application sont précisées</w:t>
            </w:r>
          </w:p>
        </w:tc>
      </w:tr>
      <w:tr>
        <w:tc>
          <w:tcPr>
            <w:tcW w:type="dxa" w:w="1882"/>
          </w:tcPr>
          <w:p>
            <w:pPr>
              <w:spacing w:after="40"/>
            </w:pPr>
            <w:r>
              <w:rPr>
                <w:b/>
                <w:i w:val="0"/>
                <w:color w:val="16305B"/>
                <w:sz w:val="20"/>
              </w:rPr>
              <w:t>Argumentation chiffrée</w:t>
            </w:r>
            <w:r>
              <w:rPr>
                <w:b w:val="0"/>
                <w:i/>
                <w:sz w:val="20"/>
              </w:rPr>
              <w:t>6 points</w:t>
            </w:r>
          </w:p>
        </w:tc>
        <w:tc>
          <w:tcPr>
            <w:tcW w:type="dxa" w:w="1882"/>
          </w:tcPr>
          <w:p>
            <w:pPr>
              <w:spacing w:after="40"/>
            </w:pPr>
            <w:r>
              <w:rPr>
                <w:b w:val="0"/>
                <w:i w:val="0"/>
                <w:sz w:val="20"/>
              </w:rPr>
              <w:t>Aucun chiffre, ou chiffres non reliés à la décision</w:t>
            </w:r>
          </w:p>
        </w:tc>
        <w:tc>
          <w:tcPr>
            <w:tcW w:type="dxa" w:w="1882"/>
          </w:tcPr>
          <w:p>
            <w:pPr>
              <w:spacing w:after="40"/>
            </w:pPr>
            <w:r>
              <w:rPr>
                <w:b w:val="0"/>
                <w:i w:val="0"/>
                <w:sz w:val="20"/>
              </w:rPr>
              <w:t>Un argument chiffré exact</w:t>
            </w:r>
          </w:p>
        </w:tc>
        <w:tc>
          <w:tcPr>
            <w:tcW w:type="dxa" w:w="1882"/>
          </w:tcPr>
          <w:p>
            <w:pPr>
              <w:spacing w:after="40"/>
            </w:pPr>
            <w:r>
              <w:rPr>
                <w:b w:val="0"/>
                <w:i w:val="0"/>
                <w:sz w:val="20"/>
              </w:rPr>
              <w:t>Trois arguments chiffrés exacts et reliés à la décision</w:t>
            </w:r>
          </w:p>
        </w:tc>
        <w:tc>
          <w:tcPr>
            <w:tcW w:type="dxa" w:w="1882"/>
          </w:tcPr>
          <w:p>
            <w:pPr>
              <w:spacing w:after="40"/>
            </w:pPr>
            <w:r>
              <w:rPr>
                <w:b w:val="0"/>
                <w:i w:val="0"/>
                <w:sz w:val="20"/>
              </w:rPr>
              <w:t>Trois arguments chiffrés, reliés, et hiérarchisés selon leur poids</w:t>
            </w:r>
          </w:p>
        </w:tc>
      </w:tr>
      <w:tr>
        <w:tc>
          <w:tcPr>
            <w:tcW w:type="dxa" w:w="1882"/>
          </w:tcPr>
          <w:p>
            <w:pPr>
              <w:spacing w:after="40"/>
            </w:pPr>
            <w:r>
              <w:rPr>
                <w:b/>
                <w:i w:val="0"/>
                <w:color w:val="16305B"/>
                <w:sz w:val="20"/>
              </w:rPr>
              <w:t>Traitement du risque</w:t>
            </w:r>
            <w:r>
              <w:rPr>
                <w:b w:val="0"/>
                <w:i/>
                <w:sz w:val="20"/>
              </w:rPr>
              <w:t>5 points</w:t>
            </w:r>
          </w:p>
        </w:tc>
        <w:tc>
          <w:tcPr>
            <w:tcW w:type="dxa" w:w="1882"/>
          </w:tcPr>
          <w:p>
            <w:pPr>
              <w:spacing w:after="40"/>
            </w:pPr>
            <w:r>
              <w:rPr>
                <w:b w:val="0"/>
                <w:i w:val="0"/>
                <w:sz w:val="20"/>
              </w:rPr>
              <w:t>Aucun risque nommé</w:t>
            </w:r>
          </w:p>
        </w:tc>
        <w:tc>
          <w:tcPr>
            <w:tcW w:type="dxa" w:w="1882"/>
          </w:tcPr>
          <w:p>
            <w:pPr>
              <w:spacing w:after="40"/>
            </w:pPr>
            <w:r>
              <w:rPr>
                <w:b w:val="0"/>
                <w:i w:val="0"/>
                <w:sz w:val="20"/>
              </w:rPr>
              <w:t>Un risque nommé sans parade</w:t>
            </w:r>
          </w:p>
        </w:tc>
        <w:tc>
          <w:tcPr>
            <w:tcW w:type="dxa" w:w="1882"/>
          </w:tcPr>
          <w:p>
            <w:pPr>
              <w:spacing w:after="40"/>
            </w:pPr>
            <w:r>
              <w:rPr>
                <w:b w:val="0"/>
                <w:i w:val="0"/>
                <w:sz w:val="20"/>
              </w:rPr>
              <w:t>Un risque nommé avec une parade réaliste</w:t>
            </w:r>
          </w:p>
        </w:tc>
        <w:tc>
          <w:tcPr>
            <w:tcW w:type="dxa" w:w="1882"/>
          </w:tcPr>
          <w:p>
            <w:pPr>
              <w:spacing w:after="40"/>
            </w:pPr>
            <w:r>
              <w:rPr>
                <w:b w:val="0"/>
                <w:i w:val="0"/>
                <w:sz w:val="20"/>
              </w:rPr>
              <w:t>Un risque nommé, une parade, et un indicateur de surveillance</w:t>
            </w:r>
          </w:p>
        </w:tc>
      </w:tr>
      <w:tr>
        <w:tc>
          <w:tcPr>
            <w:tcW w:type="dxa" w:w="1882"/>
          </w:tcPr>
          <w:p>
            <w:pPr>
              <w:spacing w:after="40"/>
            </w:pPr>
            <w:r>
              <w:rPr>
                <w:b/>
                <w:i w:val="0"/>
                <w:color w:val="16305B"/>
                <w:sz w:val="20"/>
              </w:rPr>
              <w:t>Réponse à l'objection</w:t>
            </w:r>
            <w:r>
              <w:rPr>
                <w:b w:val="0"/>
                <w:i/>
                <w:sz w:val="20"/>
              </w:rPr>
              <w:t>5 points</w:t>
            </w:r>
          </w:p>
        </w:tc>
        <w:tc>
          <w:tcPr>
            <w:tcW w:type="dxa" w:w="1882"/>
          </w:tcPr>
          <w:p>
            <w:pPr>
              <w:spacing w:after="40"/>
            </w:pPr>
            <w:r>
              <w:rPr>
                <w:b w:val="0"/>
                <w:i w:val="0"/>
                <w:sz w:val="20"/>
              </w:rPr>
              <w:t>L'objection n'est pas comprise ou est éludée</w:t>
            </w:r>
          </w:p>
        </w:tc>
        <w:tc>
          <w:tcPr>
            <w:tcW w:type="dxa" w:w="1882"/>
          </w:tcPr>
          <w:p>
            <w:pPr>
              <w:spacing w:after="40"/>
            </w:pPr>
            <w:r>
              <w:rPr>
                <w:b w:val="0"/>
                <w:i w:val="0"/>
                <w:sz w:val="20"/>
              </w:rPr>
              <w:t>L'objection est reçue mais la réponse répète la présentation</w:t>
            </w:r>
          </w:p>
        </w:tc>
        <w:tc>
          <w:tcPr>
            <w:tcW w:type="dxa" w:w="1882"/>
          </w:tcPr>
          <w:p>
            <w:pPr>
              <w:spacing w:after="40"/>
            </w:pPr>
            <w:r>
              <w:rPr>
                <w:b w:val="0"/>
                <w:i w:val="0"/>
                <w:sz w:val="20"/>
              </w:rPr>
              <w:t>L'objection est traitée par un argument nouveau</w:t>
            </w:r>
          </w:p>
        </w:tc>
        <w:tc>
          <w:tcPr>
            <w:tcW w:type="dxa" w:w="1882"/>
          </w:tcPr>
          <w:p>
            <w:pPr>
              <w:spacing w:after="40"/>
            </w:pPr>
            <w:r>
              <w:rPr>
                <w:b w:val="0"/>
                <w:i w:val="0"/>
                <w:sz w:val="20"/>
              </w:rPr>
              <w:t>L'objection est traitée, et l'origine de la donnée contestée est interrogée</w:t>
            </w:r>
          </w:p>
        </w:tc>
      </w:tr>
    </w:tbl>
    <w:p>
      <w:pPr>
        <w:spacing w:after="40"/>
      </w:pPr>
    </w:p>
    <w:p>
      <w:r>
        <w:rPr>
          <w:b w:val="0"/>
          <w:i w:val="0"/>
        </w:rPr>
        <w:t>Le quatrième critère est celui qui porte l'objectif transversal — interroger l'origine d'une donnée. Il est explicitement dans la grille pour que les apprenants sachent qu'on l'attend : un critère non communiqué n'a aucun effet formatif.</w:t>
      </w:r>
    </w:p>
    <w:p>
      <w:pPr>
        <w:pStyle w:val="Heading2"/>
      </w:pPr>
      <w:r>
        <w:t>6.2 Le mini-cas individuel</w:t>
      </w:r>
    </w:p>
    <w:p>
      <w:r>
        <w:rPr>
          <w:b w:val="0"/>
          <w:i w:val="0"/>
        </w:rPr>
        <w:t>Trois questions étagées, dont la répartition des points est annoncée avant le début :</w:t>
      </w:r>
    </w:p>
    <w:p>
      <w:pPr>
        <w:pStyle w:val="ListBullet"/>
        <w:spacing w:after="60"/>
      </w:pPr>
      <w:r>
        <w:rPr>
          <w:b/>
          <w:i w:val="0"/>
          <w:color w:val="16305B"/>
        </w:rPr>
        <w:t>Question 1 — 4 points, niveau 3.</w:t>
      </w:r>
      <w:r>
        <w:rPr>
          <w:b w:val="0"/>
          <w:i w:val="0"/>
        </w:rPr>
        <w:t xml:space="preserve"> Calculer largeur, longueur et profondeur de la gamme présentée. Mécanique, réussissable par tous : elle sécurise l'entrée dans l'épreuve.</w:t>
      </w:r>
    </w:p>
    <w:p>
      <w:pPr>
        <w:pStyle w:val="ListBullet"/>
        <w:spacing w:after="60"/>
      </w:pPr>
      <w:r>
        <w:rPr>
          <w:b/>
          <w:i w:val="0"/>
          <w:color w:val="16305B"/>
        </w:rPr>
        <w:t>Question 2 — 6 points, niveau 4.</w:t>
      </w:r>
      <w:r>
        <w:rPr>
          <w:b w:val="0"/>
          <w:i w:val="0"/>
        </w:rPr>
        <w:t xml:space="preserve"> Identifier les deux éléments qui rendent cette gamme incohérente avec le positionnement annoncé, et l'expliquer.</w:t>
      </w:r>
    </w:p>
    <w:p>
      <w:pPr>
        <w:pStyle w:val="ListBullet"/>
        <w:spacing w:after="60"/>
      </w:pPr>
      <w:r>
        <w:rPr>
          <w:b/>
          <w:i w:val="0"/>
          <w:color w:val="16305B"/>
        </w:rPr>
        <w:t>Question 3 — 10 points, niveau 5.</w:t>
      </w:r>
      <w:r>
        <w:rPr>
          <w:b w:val="0"/>
          <w:i w:val="0"/>
        </w:rPr>
        <w:t xml:space="preserve"> Deux évolutions sont envisagées ; laquelle recommandez-vous, et pourquoi ? Un argument chiffré et un risque attendus.</w:t>
      </w:r>
    </w:p>
    <w:p>
      <w:pPr>
        <w:pStyle w:val="Heading1"/>
      </w:pPr>
      <w:r>
        <w:t>7. La séquence filmée</w:t>
      </w:r>
    </w:p>
    <w:p>
      <w:r>
        <w:rPr>
          <w:b w:val="0"/>
          <w:i w:val="0"/>
        </w:rPr>
        <w:t xml:space="preserve">Le moment retenu pour la captation est le </w:t>
      </w:r>
      <w:r>
        <w:rPr>
          <w:b/>
          <w:i w:val="0"/>
          <w:color w:val="16305B"/>
        </w:rPr>
        <w:t>temps A6</w:t>
      </w:r>
      <w:r>
        <w:rPr>
          <w:b w:val="0"/>
          <w:i w:val="0"/>
        </w:rPr>
        <w:t xml:space="preserve"> — vote, discussion, revote — et son enchaînement avec les premières minutes de A7. Ce choix répond aux cinq conditions que j'ai posées avant de programmer le tournage :</w:t>
      </w:r>
    </w:p>
    <w:p>
      <w:pPr>
        <w:pStyle w:val="ListNumber"/>
        <w:spacing w:after="60"/>
      </w:pPr>
      <w:r>
        <w:rPr>
          <w:b/>
          <w:i w:val="0"/>
          <w:color w:val="16305B"/>
        </w:rPr>
        <w:t>C'est une activité, pas un apport.</w:t>
      </w:r>
      <w:r>
        <w:rPr>
          <w:b w:val="0"/>
          <w:i w:val="0"/>
        </w:rPr>
        <w:t xml:space="preserve"> Le groupe produit : il vote, argumente entre voisins, revote.</w:t>
      </w:r>
    </w:p>
    <w:p>
      <w:pPr>
        <w:pStyle w:val="ListNumber"/>
        <w:spacing w:after="60"/>
      </w:pPr>
      <w:r>
        <w:rPr>
          <w:b/>
          <w:i w:val="0"/>
          <w:color w:val="16305B"/>
        </w:rPr>
        <w:t>Un usage numérique est visible à l'image</w:t>
      </w:r>
      <w:r>
        <w:rPr>
          <w:b w:val="0"/>
          <w:i w:val="0"/>
        </w:rPr>
        <w:t xml:space="preserve"> et surtout </w:t>
      </w:r>
      <w:r>
        <w:rPr>
          <w:b w:val="0"/>
          <w:i/>
        </w:rPr>
        <w:t>exploité</w:t>
      </w:r>
      <w:r>
        <w:rPr>
          <w:b w:val="0"/>
          <w:i w:val="0"/>
        </w:rPr>
        <w:t xml:space="preserve"> : la distribution des réponses est projetée, et elle change ce que je fais ensuite. Un quiz dont le résultat n'est pas exploité n'aurait rien prouvé.</w:t>
      </w:r>
    </w:p>
    <w:p>
      <w:pPr>
        <w:pStyle w:val="ListNumber"/>
        <w:spacing w:after="60"/>
      </w:pPr>
      <w:r>
        <w:rPr>
          <w:b/>
          <w:i w:val="0"/>
          <w:color w:val="16305B"/>
        </w:rPr>
        <w:t>La séquence est complète</w:t>
      </w:r>
      <w:r>
        <w:rPr>
          <w:b w:val="0"/>
          <w:i w:val="0"/>
        </w:rPr>
        <w:t xml:space="preserve"> : on voit un lancement, une activité, une régulation, une clôture, puis la transition vers le travail individuel.</w:t>
      </w:r>
    </w:p>
    <w:p>
      <w:pPr>
        <w:pStyle w:val="ListNumber"/>
        <w:spacing w:after="60"/>
      </w:pPr>
      <w:r>
        <w:rPr>
          <w:b/>
          <w:i w:val="0"/>
          <w:color w:val="16305B"/>
        </w:rPr>
        <w:t>On me voit circuler et étayer.</w:t>
      </w:r>
      <w:r>
        <w:rPr>
          <w:b w:val="0"/>
          <w:i w:val="0"/>
        </w:rPr>
        <w:t xml:space="preserve"> Pendant les deux minutes de discussion entre voisins, je passe et je relance par des questions — c'est le geste que je voulais donner à voir.</w:t>
      </w:r>
    </w:p>
    <w:p>
      <w:pPr>
        <w:pStyle w:val="ListNumber"/>
        <w:spacing w:after="60"/>
      </w:pPr>
      <w:r>
        <w:rPr>
          <w:b/>
          <w:i w:val="0"/>
          <w:color w:val="16305B"/>
        </w:rPr>
        <w:t>C'est une séance ordinaire.</w:t>
      </w:r>
      <w:r>
        <w:rPr>
          <w:b w:val="0"/>
          <w:i w:val="0"/>
        </w:rPr>
        <w:t xml:space="preserve"> Le groupe savait qu'une captation aurait lieu ; rien n'a été répété.</w:t>
      </w:r>
    </w:p>
    <w:p>
      <w:r>
        <w:rPr>
          <w:b w:val="0"/>
          <w:i w:val="0"/>
        </w:rPr>
        <w:t>Les autorisations de captation ont été recueillies par écrit deux semaines avant la séance, sur un formulaire spécifique précisant l'objet, les destinataires (un jury interne, en visioconférence), l'absence de diffusion publique et la date de suppression. Deux apprenants ont demandé à ne pas être filmés ; une zone hors champ leur a été réservée, sans que ce choix soit visible ni commenté. Le fichier est conservé sur l'espace professionnel de l'établissement et sera supprimé à l'issue du jury.</w:t>
      </w:r>
    </w:p>
    <w:p>
      <w:r>
        <w:rPr>
          <w:b w:val="0"/>
          <w:i w:val="0"/>
        </w:rPr>
        <w:t>Sur le plan technique, j'ai utilisé un micro-cravate sans fil et un plan large fixe pris depuis un angle de la salle, montrant à la fois le groupe et mes déplacements. J'ai testé dix secondes en conditions réelles le matin même, et je les ai écoutées au casque : c'est ce test qui m'a fait déplacer la caméra, la première position captant surtout le bruit du couloir.</w:t>
      </w:r>
    </w:p>
    <w:p>
      <w:pPr>
        <w:pStyle w:val="Heading1"/>
      </w:pPr>
      <w:r>
        <w:t>8. Les résultats obtenus</w:t>
      </w:r>
    </w:p>
    <w:p>
      <w:r>
        <w:rPr>
          <w:b w:val="0"/>
          <w:i w:val="0"/>
        </w:rPr>
        <w:t>Je consigne ici ce que j'ai mesuré, pour pouvoir l'analyser ensuite.</w:t>
      </w:r>
    </w:p>
    <w:tbl>
      <w:tblPr>
        <w:tblStyle w:val="TableGrid"/>
        <w:tblW w:type="auto" w:w="0"/>
        <w:tblLook w:firstColumn="1" w:firstRow="1" w:lastColumn="0" w:lastRow="0" w:noHBand="0" w:noVBand="1" w:val="04A0"/>
        <w:tblBorders>
          <w:top w:val="single" w:sz="4" w:space="0" w:color="D6DEE9"/>
          <w:left w:val="single" w:sz="4" w:space="0" w:color="D6DEE9"/>
          <w:bottom w:val="single" w:sz="4" w:space="0" w:color="D6DEE9"/>
          <w:right w:val="single" w:sz="4" w:space="0" w:color="D6DEE9"/>
          <w:insideH w:val="single" w:sz="4" w:space="0" w:color="D6DEE9"/>
          <w:insideV w:val="single" w:sz="4" w:space="0" w:color="D6DEE9"/>
        </w:tblBorders>
      </w:tblPr>
      <w:tblGrid>
        <w:gridCol w:w="3137"/>
        <w:gridCol w:w="3137"/>
        <w:gridCol w:w="3137"/>
      </w:tblGrid>
      <w:tr>
        <w:tc>
          <w:tcPr>
            <w:tcW w:type="dxa" w:w="3137"/>
          </w:tcPr>
          <w:p>
            <w:r>
              <w:rPr>
                <w:b/>
                <w:color w:val="FFFFFF"/>
                <w:sz w:val="17"/>
              </w:rPr>
              <w:t>INDICATEUR</w:t>
            </w:r>
          </w:p>
          <w:shd w:val="clear" w:color="auto" w:fill="16305B"/>
        </w:tc>
        <w:tc>
          <w:tcPr>
            <w:tcW w:type="dxa" w:w="3137"/>
          </w:tcPr>
          <w:p>
            <w:r>
              <w:rPr>
                <w:b/>
                <w:color w:val="FFFFFF"/>
                <w:sz w:val="17"/>
              </w:rPr>
              <w:t>RÉSULTAT</w:t>
            </w:r>
          </w:p>
          <w:shd w:val="clear" w:color="auto" w:fill="16305B"/>
        </w:tc>
        <w:tc>
          <w:tcPr>
            <w:tcW w:type="dxa" w:w="3137"/>
          </w:tcPr>
          <w:p>
            <w:r>
              <w:rPr>
                <w:b/>
                <w:color w:val="FFFFFF"/>
                <w:sz w:val="17"/>
              </w:rPr>
              <w:t>LECTURE</w:t>
            </w:r>
          </w:p>
          <w:shd w:val="clear" w:color="auto" w:fill="16305B"/>
        </w:tc>
      </w:tr>
      <w:tr>
        <w:tc>
          <w:tcPr>
            <w:tcW w:type="dxa" w:w="3137"/>
          </w:tcPr>
          <w:p>
            <w:pPr>
              <w:spacing w:after="40"/>
            </w:pPr>
            <w:r>
              <w:rPr>
                <w:b w:val="0"/>
                <w:i w:val="0"/>
                <w:sz w:val="20"/>
              </w:rPr>
              <w:t>Réalisation du travail amont A0</w:t>
            </w:r>
          </w:p>
        </w:tc>
        <w:tc>
          <w:tcPr>
            <w:tcW w:type="dxa" w:w="3137"/>
          </w:tcPr>
          <w:p>
            <w:pPr>
              <w:spacing w:after="40"/>
            </w:pPr>
            <w:r>
              <w:rPr>
                <w:b w:val="0"/>
                <w:i w:val="0"/>
                <w:sz w:val="20"/>
              </w:rPr>
              <w:t>17 apprenants sur 22</w:t>
            </w:r>
          </w:p>
        </w:tc>
        <w:tc>
          <w:tcPr>
            <w:tcW w:type="dxa" w:w="3137"/>
          </w:tcPr>
          <w:p>
            <w:pPr>
              <w:spacing w:after="40"/>
            </w:pPr>
            <w:r>
              <w:rPr>
                <w:b w:val="0"/>
                <w:i w:val="0"/>
                <w:sz w:val="20"/>
              </w:rPr>
              <w:t>Meilleur que les travaux précédents de la matière — la durée annoncée courte et la correction immédiate y sont probablement pour quelque chose</w:t>
            </w:r>
          </w:p>
        </w:tc>
      </w:tr>
      <w:tr>
        <w:tc>
          <w:tcPr>
            <w:tcW w:type="dxa" w:w="3137"/>
          </w:tcPr>
          <w:p>
            <w:pPr>
              <w:spacing w:after="40"/>
            </w:pPr>
            <w:r>
              <w:rPr>
                <w:b w:val="0"/>
                <w:i w:val="0"/>
                <w:sz w:val="20"/>
              </w:rPr>
              <w:t>Quiz diagnostique A0 — score moyen</w:t>
            </w:r>
          </w:p>
        </w:tc>
        <w:tc>
          <w:tcPr>
            <w:tcW w:type="dxa" w:w="3137"/>
          </w:tcPr>
          <w:p>
            <w:pPr>
              <w:spacing w:after="40"/>
            </w:pPr>
            <w:r>
              <w:rPr>
                <w:b w:val="0"/>
                <w:i w:val="0"/>
                <w:sz w:val="20"/>
              </w:rPr>
              <w:t>3,4 / 6, avec un écart-type élevé</w:t>
            </w:r>
          </w:p>
        </w:tc>
        <w:tc>
          <w:tcPr>
            <w:tcW w:type="dxa" w:w="3137"/>
          </w:tcPr>
          <w:p>
            <w:pPr>
              <w:spacing w:after="40"/>
            </w:pPr>
            <w:r>
              <w:rPr>
                <w:b w:val="0"/>
                <w:i w:val="0"/>
                <w:sz w:val="20"/>
              </w:rPr>
              <w:t>Hétérogénéité confirmée. Deux questions sur la profondeur de gamme échouées par les deux tiers : elles ont orienté l'apport de A5</w:t>
            </w:r>
          </w:p>
        </w:tc>
      </w:tr>
      <w:tr>
        <w:tc>
          <w:tcPr>
            <w:tcW w:type="dxa" w:w="3137"/>
          </w:tcPr>
          <w:p>
            <w:pPr>
              <w:spacing w:after="40"/>
            </w:pPr>
            <w:r>
              <w:rPr>
                <w:b w:val="0"/>
                <w:i w:val="0"/>
                <w:sz w:val="20"/>
              </w:rPr>
              <w:t>Rendu du travail d'intersession B0</w:t>
            </w:r>
          </w:p>
        </w:tc>
        <w:tc>
          <w:tcPr>
            <w:tcW w:type="dxa" w:w="3137"/>
          </w:tcPr>
          <w:p>
            <w:pPr>
              <w:spacing w:after="40"/>
            </w:pPr>
            <w:r>
              <w:rPr>
                <w:b w:val="0"/>
                <w:i w:val="0"/>
                <w:sz w:val="20"/>
              </w:rPr>
              <w:t>20 apprenants sur 22, dont 4 après relance</w:t>
            </w:r>
          </w:p>
        </w:tc>
        <w:tc>
          <w:tcPr>
            <w:tcW w:type="dxa" w:w="3137"/>
          </w:tcPr>
          <w:p>
            <w:pPr>
              <w:spacing w:after="40"/>
            </w:pPr>
            <w:r>
              <w:rPr>
                <w:b w:val="0"/>
                <w:i w:val="0"/>
                <w:sz w:val="20"/>
              </w:rPr>
              <w:t>La relance au premier non-rendu a fonctionné</w:t>
            </w:r>
          </w:p>
        </w:tc>
      </w:tr>
      <w:tr>
        <w:tc>
          <w:tcPr>
            <w:tcW w:type="dxa" w:w="3137"/>
          </w:tcPr>
          <w:p>
            <w:pPr>
              <w:spacing w:after="40"/>
            </w:pPr>
            <w:r>
              <w:rPr>
                <w:b w:val="0"/>
                <w:i w:val="0"/>
                <w:sz w:val="20"/>
              </w:rPr>
              <w:t>Relectures croisées effectuées</w:t>
            </w:r>
          </w:p>
        </w:tc>
        <w:tc>
          <w:tcPr>
            <w:tcW w:type="dxa" w:w="3137"/>
          </w:tcPr>
          <w:p>
            <w:pPr>
              <w:spacing w:after="40"/>
            </w:pPr>
            <w:r>
              <w:rPr>
                <w:b w:val="0"/>
                <w:i w:val="0"/>
                <w:sz w:val="20"/>
              </w:rPr>
              <w:t>18 sur 20</w:t>
            </w:r>
          </w:p>
        </w:tc>
        <w:tc>
          <w:tcPr>
            <w:tcW w:type="dxa" w:w="3137"/>
          </w:tcPr>
          <w:p>
            <w:pPr>
              <w:spacing w:after="40"/>
            </w:pPr>
            <w:r>
              <w:rPr>
                <w:b w:val="0"/>
                <w:i w:val="0"/>
                <w:sz w:val="20"/>
              </w:rPr>
              <w:t>Moins suivi que la production elle-même — j'y reviens dans l'analyse</w:t>
            </w:r>
          </w:p>
        </w:tc>
      </w:tr>
      <w:tr>
        <w:tc>
          <w:tcPr>
            <w:tcW w:type="dxa" w:w="3137"/>
          </w:tcPr>
          <w:p>
            <w:pPr>
              <w:spacing w:after="40"/>
            </w:pPr>
            <w:r>
              <w:rPr>
                <w:b w:val="0"/>
                <w:i w:val="0"/>
                <w:sz w:val="20"/>
              </w:rPr>
              <w:t>Soutenance B4 — moyenne</w:t>
            </w:r>
          </w:p>
        </w:tc>
        <w:tc>
          <w:tcPr>
            <w:tcW w:type="dxa" w:w="3137"/>
          </w:tcPr>
          <w:p>
            <w:pPr>
              <w:spacing w:after="40"/>
            </w:pPr>
            <w:r>
              <w:rPr>
                <w:b w:val="0"/>
                <w:i w:val="0"/>
                <w:sz w:val="20"/>
              </w:rPr>
              <w:t>13,2 / 20 · étendue de 8 à 18</w:t>
            </w:r>
          </w:p>
        </w:tc>
        <w:tc>
          <w:tcPr>
            <w:tcW w:type="dxa" w:w="3137"/>
          </w:tcPr>
          <w:p>
            <w:pPr>
              <w:spacing w:after="40"/>
            </w:pPr>
            <w:r>
              <w:rPr>
                <w:b w:val="0"/>
                <w:i w:val="0"/>
                <w:sz w:val="20"/>
              </w:rPr>
              <w:t>Le critère le plus faible est le quatrième (réponse à l'objection) : deux groupes sur cinq n'ont pas interrogé l'origine de l'étude commanditée</w:t>
            </w:r>
          </w:p>
        </w:tc>
      </w:tr>
      <w:tr>
        <w:tc>
          <w:tcPr>
            <w:tcW w:type="dxa" w:w="3137"/>
          </w:tcPr>
          <w:p>
            <w:pPr>
              <w:spacing w:after="40"/>
            </w:pPr>
            <w:r>
              <w:rPr>
                <w:b w:val="0"/>
                <w:i w:val="0"/>
                <w:sz w:val="20"/>
              </w:rPr>
              <w:t>Cas individuel B6 — moyenne</w:t>
            </w:r>
          </w:p>
        </w:tc>
        <w:tc>
          <w:tcPr>
            <w:tcW w:type="dxa" w:w="3137"/>
          </w:tcPr>
          <w:p>
            <w:pPr>
              <w:spacing w:after="40"/>
            </w:pPr>
            <w:r>
              <w:rPr>
                <w:b w:val="0"/>
                <w:i w:val="0"/>
                <w:sz w:val="20"/>
              </w:rPr>
              <w:t>11,8 / 20</w:t>
            </w:r>
          </w:p>
        </w:tc>
        <w:tc>
          <w:tcPr>
            <w:tcW w:type="dxa" w:w="3137"/>
          </w:tcPr>
          <w:p>
            <w:pPr>
              <w:spacing w:after="40"/>
            </w:pPr>
            <w:r>
              <w:rPr>
                <w:b w:val="0"/>
                <w:i w:val="0"/>
                <w:sz w:val="20"/>
              </w:rPr>
              <w:t>Question 1 réussie par tous ; question 3 traitée sans argument chiffré par un tiers du groupe</w:t>
            </w:r>
          </w:p>
        </w:tc>
      </w:tr>
      <w:tr>
        <w:tc>
          <w:tcPr>
            <w:tcW w:type="dxa" w:w="3137"/>
          </w:tcPr>
          <w:p>
            <w:pPr>
              <w:spacing w:after="40"/>
            </w:pPr>
            <w:r>
              <w:rPr>
                <w:b w:val="0"/>
                <w:i w:val="0"/>
                <w:sz w:val="20"/>
              </w:rPr>
              <w:t>Quiz de rappel B8 (J+21)</w:t>
            </w:r>
          </w:p>
        </w:tc>
        <w:tc>
          <w:tcPr>
            <w:tcW w:type="dxa" w:w="3137"/>
          </w:tcPr>
          <w:p>
            <w:pPr>
              <w:spacing w:after="40"/>
            </w:pPr>
            <w:r>
              <w:rPr>
                <w:b w:val="0"/>
                <w:i w:val="0"/>
                <w:sz w:val="20"/>
              </w:rPr>
              <w:t>4,6 / 6 en moyenne</w:t>
            </w:r>
          </w:p>
        </w:tc>
        <w:tc>
          <w:tcPr>
            <w:tcW w:type="dxa" w:w="3137"/>
          </w:tcPr>
          <w:p>
            <w:pPr>
              <w:spacing w:after="40"/>
            </w:pPr>
            <w:r>
              <w:rPr>
                <w:b w:val="0"/>
                <w:i w:val="0"/>
                <w:sz w:val="20"/>
              </w:rPr>
              <w:t>Nettement supérieur au diagnostic initial, sur des questions de difficulté comparable</w:t>
            </w:r>
          </w:p>
        </w:tc>
      </w:tr>
      <w:tr>
        <w:tc>
          <w:tcPr>
            <w:tcW w:type="dxa" w:w="3137"/>
          </w:tcPr>
          <w:p>
            <w:pPr>
              <w:spacing w:after="40"/>
            </w:pPr>
            <w:r>
              <w:rPr>
                <w:b w:val="0"/>
                <w:i w:val="0"/>
                <w:sz w:val="20"/>
              </w:rPr>
              <w:t>Billets de sortie B7</w:t>
            </w:r>
          </w:p>
        </w:tc>
        <w:tc>
          <w:tcPr>
            <w:tcW w:type="dxa" w:w="3137"/>
          </w:tcPr>
          <w:p>
            <w:pPr>
              <w:spacing w:after="40"/>
            </w:pPr>
            <w:r>
              <w:rPr>
                <w:b w:val="0"/>
                <w:i w:val="0"/>
                <w:sz w:val="20"/>
              </w:rPr>
              <w:t>21 réponses</w:t>
            </w:r>
          </w:p>
        </w:tc>
        <w:tc>
          <w:tcPr>
            <w:tcW w:type="dxa" w:w="3137"/>
          </w:tcPr>
          <w:p>
            <w:pPr>
              <w:spacing w:after="40"/>
            </w:pPr>
            <w:r>
              <w:rPr>
                <w:b w:val="0"/>
                <w:i w:val="0"/>
                <w:sz w:val="20"/>
              </w:rPr>
              <w:t>L'erreur la plus citée par eux-mêmes : « je conclus avant d'avoir regardé tous les chiffres » — 9 occurrences</w:t>
            </w:r>
          </w:p>
        </w:tc>
      </w:tr>
    </w:tbl>
    <w:p>
      <w:pPr>
        <w:spacing w:after="40"/>
      </w:pPr>
    </w:p>
    <w:p>
      <w:r>
        <w:rPr>
          <w:b w:val="0"/>
          <w:i w:val="0"/>
        </w:rPr>
        <w:t xml:space="preserve">Deux retours qualitatifs recueillis dans les billets de sortie, que je cite parce qu'ils orientent mes corrections : « </w:t>
      </w:r>
      <w:r>
        <w:rPr>
          <w:b w:val="0"/>
          <w:i/>
        </w:rPr>
        <w:t>le vote où on ne donne pas la réponse tout de suite, c'est là que j'ai compris que je m'étais trompé</w:t>
      </w:r>
      <w:r>
        <w:rPr>
          <w:b w:val="0"/>
          <w:i w:val="0"/>
        </w:rPr>
        <w:t xml:space="preserve"> » et « </w:t>
      </w:r>
      <w:r>
        <w:rPr>
          <w:b w:val="0"/>
          <w:i/>
        </w:rPr>
        <w:t>la fiche sur mon produit, j'ai mis plus d'une heure, pas quarante-cinq minutes</w:t>
      </w:r>
      <w:r>
        <w:rPr>
          <w:b w:val="0"/>
          <w:i w:val="0"/>
        </w:rPr>
        <w:t xml:space="preserve"> ».</w:t>
      </w:r>
    </w:p>
    <w:p>
      <w:pPr>
        <w:pStyle w:val="Heading1"/>
      </w:pPr>
      <w:r>
        <w:t>9. L'analyse de pratique</w:t>
      </w:r>
    </w:p>
    <w:p>
      <w:pPr>
        <w:pStyle w:val="Heading2"/>
      </w:pPr>
      <w:r>
        <w:t>9.1 Ce qui a fonctionné, et pourquoi</w:t>
      </w:r>
    </w:p>
    <w:p>
      <w:r>
        <w:rPr>
          <w:b/>
          <w:i w:val="0"/>
          <w:color w:val="16305B"/>
        </w:rPr>
        <w:t>L'entrée par le cas.</w:t>
      </w:r>
      <w:r>
        <w:rPr>
          <w:b w:val="0"/>
          <w:i w:val="0"/>
        </w:rPr>
        <w:t xml:space="preserve"> Le pari était risqué : commencer par un cas sans apport préalable expose à ce que le groupe patauge. Il a tenu parce que le groupe n'était pas novice sur le vocabulaire — c'est la condition, et je ne l'aurais pas fait avec une classe de première année. Le bénéfice s'est vu à la restitution : les deux groupes ont défendu des positions opposées avec des arguments tirés du dossier, ce qui n'arrive jamais après un apport descendant, où tout le monde répète la grille donnée.</w:t>
      </w:r>
    </w:p>
    <w:p>
      <w:r>
        <w:rPr>
          <w:b/>
          <w:i w:val="0"/>
          <w:color w:val="16305B"/>
        </w:rPr>
        <w:t>Le vote sans réponse immédiate.</w:t>
      </w:r>
      <w:r>
        <w:rPr>
          <w:b w:val="0"/>
          <w:i w:val="0"/>
        </w:rPr>
        <w:t xml:space="preserve"> C'est le temps le mieux réussi de la séance, et le moins coûteux à préparer. Le fait de ne pas donner la réponse entre les deux votes crée un inconfort que le groupe résout en discutant — c'est-à-dire en travaillant. Neuf apprenants sur vingt-deux ont changé de réponse entre les deux votes sur l'une des questions. Le retour cité plus haut le confirme de leur point de vue.</w:t>
      </w:r>
    </w:p>
    <w:p>
      <w:r>
        <w:rPr>
          <w:b/>
          <w:i w:val="0"/>
          <w:color w:val="16305B"/>
        </w:rPr>
        <w:t>L'ancrage sur le produit de l'entreprise.</w:t>
      </w:r>
      <w:r>
        <w:rPr>
          <w:b w:val="0"/>
          <w:i w:val="0"/>
        </w:rPr>
        <w:t xml:space="preserve"> Il a produit un niveau d'engagement que je n'obtiens pas sur des cas fabriqués. Il a aussi produit un effet secondaire que je n'avais pas prévu : les apprenants du secteur des services, orientés vers les 7P, ont donné à ce modèle un sens que je n'aurais pas su lui donner par un exposé — ils l'ont présenté eux-mêmes au reste du groupe.</w:t>
      </w:r>
    </w:p>
    <w:p>
      <w:r>
        <w:rPr>
          <w:b/>
          <w:i w:val="0"/>
          <w:color w:val="16305B"/>
        </w:rPr>
        <w:t>La grille remise trois semaines avant.</w:t>
      </w:r>
      <w:r>
        <w:rPr>
          <w:b w:val="0"/>
          <w:i w:val="0"/>
        </w:rPr>
        <w:t xml:space="preserve"> Aucune contestation de note, alors que la moyenne de la soutenance est étalée de 8 à 18. Je ne peux pas l'attribuer avec certitude à la grille, mais c'est la seule variable que j'aie changée par rapport à l'année précédente, où deux contestations avaient eu lieu sur un exercice comparable.</w:t>
      </w:r>
    </w:p>
    <w:p>
      <w:pPr>
        <w:pStyle w:val="Heading2"/>
      </w:pPr>
      <w:r>
        <w:t>9.2 Ce qui n'a pas fonctionné, et ce que j'en comprends</w:t>
      </w:r>
    </w:p>
    <w:p>
      <w:r>
        <w:rPr>
          <w:b/>
          <w:i w:val="0"/>
          <w:color w:val="16305B"/>
        </w:rPr>
        <w:t>Premier point : la relecture par les pairs a été superficielle.</w:t>
      </w:r>
      <w:r>
        <w:rPr>
          <w:b w:val="0"/>
          <w:i w:val="0"/>
        </w:rPr>
        <w:t xml:space="preserve"> Dix-huit relectures sur vingt ont été rendues, mais la moitié se réduit à des commentaires de complaisance — « bien construit », « intéressant ». Les deux critères que j'avais choisis étaient pourtant très concrets. En y réfléchissant, je crois avoir commis deux erreurs. La première est de ne l'avoir jamais fait faire en présentiel avant de le demander à distance : le groupe ne savait pas à quoi ressemble une relecture utile. La seconde est de ne pas avoir donné de </w:t>
      </w:r>
      <w:r>
        <w:rPr>
          <w:b w:val="0"/>
          <w:i/>
        </w:rPr>
        <w:t>modèle</w:t>
      </w:r>
      <w:r>
        <w:rPr>
          <w:b w:val="0"/>
          <w:i w:val="0"/>
        </w:rPr>
        <w:t xml:space="preserve"> — un exemple de commentaire attendu — ce que j'exige pourtant de mes apprenants dans toutes leurs productions. Correction retenue : faire une première relecture croisée en salle, avec un exemple projeté, avant de la demander en autonomie.</w:t>
      </w:r>
    </w:p>
    <w:p>
      <w:r>
        <w:rPr>
          <w:b/>
          <w:i w:val="0"/>
          <w:color w:val="16305B"/>
        </w:rPr>
        <w:t>Deuxième point : le travail d'intersession a duré plus longtemps que je ne l'avais annoncé.</w:t>
      </w:r>
      <w:r>
        <w:rPr>
          <w:b w:val="0"/>
          <w:i w:val="0"/>
        </w:rPr>
        <w:t xml:space="preserve"> J'avais annoncé quarante-cinq minutes ; plusieurs retours mentionnent une heure ou plus. C'est une faute de calibrage, et elle n'est pas anodine : annoncer une durée qu'on ne tient pas détruit la confiance dans les annonces suivantes. J'ai commis l'erreur classique — j'ai estimé le temps depuis ma propre vitesse d'exécution. Correction retenue : faire la tâche moi-même, chronomètre en main, et multiplier par trois. Ce qui, ici, aurait donné une durée réaliste et m'aurait conduit à réduire la consigne.</w:t>
      </w:r>
    </w:p>
    <w:p>
      <w:r>
        <w:rPr>
          <w:b/>
          <w:i w:val="0"/>
          <w:color w:val="16305B"/>
        </w:rPr>
        <w:t>Troisième point : deux groupes sur cinq n'ont pas interrogé l'origine de l'étude commanditée</w:t>
      </w:r>
      <w:r>
        <w:rPr>
          <w:b w:val="0"/>
          <w:i w:val="0"/>
        </w:rPr>
        <w:t xml:space="preserve">, alors que c'était un objectif explicite et un critère de la grille. Mon erreur est en amont : j'ai posé le piège sans jamais avoir travaillé le geste. Repérer d'où vient une donnée et ce qu'elle omet — le sous-processus </w:t>
      </w:r>
      <w:r>
        <w:rPr>
          <w:b w:val="0"/>
          <w:i/>
        </w:rPr>
        <w:t>attribuer</w:t>
      </w:r>
      <w:r>
        <w:rPr>
          <w:b w:val="0"/>
          <w:i w:val="0"/>
        </w:rPr>
        <w:t xml:space="preserve"> — ne s'improvise pas parce qu'on l'a inscrit dans une grille. Correction retenue : ajouter, dans la plage A, un temps court de cinq minutes sur une source unique — « qui a produit ce chiffre, et pourquoi ? » — pour installer le geste avant de l'évaluer.</w:t>
      </w:r>
    </w:p>
    <w:p>
      <w:r>
        <w:rPr>
          <w:b/>
          <w:i w:val="0"/>
          <w:color w:val="16305B"/>
        </w:rPr>
        <w:t>Quatrième point, plus inconfortable : la soutenance a débordé.</w:t>
      </w:r>
      <w:r>
        <w:rPr>
          <w:b w:val="0"/>
          <w:i w:val="0"/>
        </w:rPr>
        <w:t xml:space="preserve"> J'avais prévu quarante minutes pour cinq groupes ; il en a fallu cinquante-cinq, ce qui a comprimé le temps de l'évaluation individuelle. Les deux premiers groupes ont dépassé, je n'ai pas coupé, et les suivants se sont alignés sur cette permissivité. C'est une erreur de posture, pas de conception : la règle était écrite, je ne l'ai pas tenue au premier écart. Or c'est toujours au premier écart qu'une règle se tient ou se perd. Correction retenue : minuteur projeté visible de tous, et coupure au premier groupe, annoncée comme telle.</w:t>
      </w:r>
    </w:p>
    <w:p>
      <w:pPr>
        <w:pStyle w:val="Heading2"/>
      </w:pPr>
      <w:r>
        <w:t>9.3 Ce que je change à la prochaine session</w:t>
      </w:r>
    </w:p>
    <w:tbl>
      <w:tblPr>
        <w:tblStyle w:val="TableGrid"/>
        <w:tblW w:type="auto" w:w="0"/>
        <w:tblLook w:firstColumn="1" w:firstRow="1" w:lastColumn="0" w:lastRow="0" w:noHBand="0" w:noVBand="1" w:val="04A0"/>
        <w:tblBorders>
          <w:top w:val="single" w:sz="4" w:space="0" w:color="D6DEE9"/>
          <w:left w:val="single" w:sz="4" w:space="0" w:color="D6DEE9"/>
          <w:bottom w:val="single" w:sz="4" w:space="0" w:color="D6DEE9"/>
          <w:right w:val="single" w:sz="4" w:space="0" w:color="D6DEE9"/>
          <w:insideH w:val="single" w:sz="4" w:space="0" w:color="D6DEE9"/>
          <w:insideV w:val="single" w:sz="4" w:space="0" w:color="D6DEE9"/>
        </w:tblBorders>
      </w:tblPr>
      <w:tblGrid>
        <w:gridCol w:w="3137"/>
        <w:gridCol w:w="3137"/>
        <w:gridCol w:w="3137"/>
      </w:tblGrid>
      <w:tr>
        <w:tc>
          <w:tcPr>
            <w:tcW w:type="dxa" w:w="3137"/>
          </w:tcPr>
          <w:p>
            <w:r>
              <w:rPr>
                <w:b/>
                <w:color w:val="FFFFFF"/>
                <w:sz w:val="17"/>
              </w:rPr>
              <w:t>CE QUE JE CHANGE</w:t>
            </w:r>
          </w:p>
          <w:shd w:val="clear" w:color="auto" w:fill="16305B"/>
        </w:tc>
        <w:tc>
          <w:tcPr>
            <w:tcW w:type="dxa" w:w="3137"/>
          </w:tcPr>
          <w:p>
            <w:r>
              <w:rPr>
                <w:b/>
                <w:color w:val="FFFFFF"/>
                <w:sz w:val="17"/>
              </w:rPr>
              <w:t>OÙ</w:t>
            </w:r>
          </w:p>
          <w:shd w:val="clear" w:color="auto" w:fill="16305B"/>
        </w:tc>
        <w:tc>
          <w:tcPr>
            <w:tcW w:type="dxa" w:w="3137"/>
          </w:tcPr>
          <w:p>
            <w:r>
              <w:rPr>
                <w:b/>
                <w:color w:val="FFFFFF"/>
                <w:sz w:val="17"/>
              </w:rPr>
              <w:t>CE QUE J'EN ATTENDS</w:t>
            </w:r>
          </w:p>
          <w:shd w:val="clear" w:color="auto" w:fill="16305B"/>
        </w:tc>
      </w:tr>
      <w:tr>
        <w:tc>
          <w:tcPr>
            <w:tcW w:type="dxa" w:w="3137"/>
          </w:tcPr>
          <w:p>
            <w:pPr>
              <w:spacing w:after="40"/>
            </w:pPr>
            <w:r>
              <w:rPr>
                <w:b w:val="0"/>
                <w:i w:val="0"/>
                <w:sz w:val="20"/>
              </w:rPr>
              <w:t xml:space="preserve">Première relecture croisée </w:t>
            </w:r>
            <w:r>
              <w:rPr>
                <w:b w:val="0"/>
                <w:i/>
                <w:sz w:val="20"/>
              </w:rPr>
              <w:t>en salle</w:t>
            </w:r>
            <w:r>
              <w:rPr>
                <w:b w:val="0"/>
                <w:i w:val="0"/>
                <w:sz w:val="20"/>
              </w:rPr>
              <w:t>, avec un exemple de commentaire projeté</w:t>
            </w:r>
          </w:p>
        </w:tc>
        <w:tc>
          <w:tcPr>
            <w:tcW w:type="dxa" w:w="3137"/>
          </w:tcPr>
          <w:p>
            <w:pPr>
              <w:spacing w:after="40"/>
            </w:pPr>
            <w:r>
              <w:rPr>
                <w:b w:val="0"/>
                <w:i w:val="0"/>
                <w:sz w:val="20"/>
              </w:rPr>
              <w:t>Nouveau temps de 10 min en fin de plage A</w:t>
            </w:r>
          </w:p>
        </w:tc>
        <w:tc>
          <w:tcPr>
            <w:tcW w:type="dxa" w:w="3137"/>
          </w:tcPr>
          <w:p>
            <w:pPr>
              <w:spacing w:after="40"/>
            </w:pPr>
            <w:r>
              <w:rPr>
                <w:b w:val="0"/>
                <w:i w:val="0"/>
                <w:sz w:val="20"/>
              </w:rPr>
              <w:t>Que la relecture d'intersession devienne exploitable</w:t>
            </w:r>
          </w:p>
        </w:tc>
      </w:tr>
      <w:tr>
        <w:tc>
          <w:tcPr>
            <w:tcW w:type="dxa" w:w="3137"/>
          </w:tcPr>
          <w:p>
            <w:pPr>
              <w:spacing w:after="40"/>
            </w:pPr>
            <w:r>
              <w:rPr>
                <w:b w:val="0"/>
                <w:i w:val="0"/>
                <w:sz w:val="20"/>
              </w:rPr>
              <w:t>Consigne d'intersession réduite d'un tiers, durée re-testée chronomètre en main</w:t>
            </w:r>
          </w:p>
        </w:tc>
        <w:tc>
          <w:tcPr>
            <w:tcW w:type="dxa" w:w="3137"/>
          </w:tcPr>
          <w:p>
            <w:pPr>
              <w:spacing w:after="40"/>
            </w:pPr>
            <w:r>
              <w:rPr>
                <w:b w:val="0"/>
                <w:i w:val="0"/>
                <w:sz w:val="20"/>
              </w:rPr>
              <w:t>B0</w:t>
            </w:r>
          </w:p>
        </w:tc>
        <w:tc>
          <w:tcPr>
            <w:tcW w:type="dxa" w:w="3137"/>
          </w:tcPr>
          <w:p>
            <w:pPr>
              <w:spacing w:after="40"/>
            </w:pPr>
            <w:r>
              <w:rPr>
                <w:b w:val="0"/>
                <w:i w:val="0"/>
                <w:sz w:val="20"/>
              </w:rPr>
              <w:t>Tenir la durée annoncée — condition de la confiance</w:t>
            </w:r>
          </w:p>
        </w:tc>
      </w:tr>
      <w:tr>
        <w:tc>
          <w:tcPr>
            <w:tcW w:type="dxa" w:w="3137"/>
          </w:tcPr>
          <w:p>
            <w:pPr>
              <w:spacing w:after="40"/>
            </w:pPr>
            <w:r>
              <w:rPr>
                <w:b w:val="0"/>
                <w:i w:val="0"/>
                <w:sz w:val="20"/>
              </w:rPr>
              <w:t>Temps court sur l'origine d'une source, avant l'évaluation qui l'exige</w:t>
            </w:r>
          </w:p>
        </w:tc>
        <w:tc>
          <w:tcPr>
            <w:tcW w:type="dxa" w:w="3137"/>
          </w:tcPr>
          <w:p>
            <w:pPr>
              <w:spacing w:after="40"/>
            </w:pPr>
            <w:r>
              <w:rPr>
                <w:b w:val="0"/>
                <w:i w:val="0"/>
                <w:sz w:val="20"/>
              </w:rPr>
              <w:t>Nouveau temps de 5 min en plage A</w:t>
            </w:r>
          </w:p>
        </w:tc>
        <w:tc>
          <w:tcPr>
            <w:tcW w:type="dxa" w:w="3137"/>
          </w:tcPr>
          <w:p>
            <w:pPr>
              <w:spacing w:after="40"/>
            </w:pPr>
            <w:r>
              <w:rPr>
                <w:b w:val="0"/>
                <w:i w:val="0"/>
                <w:sz w:val="20"/>
              </w:rPr>
              <w:t>Que le critère 4 de la grille cesse d'être un piège</w:t>
            </w:r>
          </w:p>
        </w:tc>
      </w:tr>
      <w:tr>
        <w:tc>
          <w:tcPr>
            <w:tcW w:type="dxa" w:w="3137"/>
          </w:tcPr>
          <w:p>
            <w:pPr>
              <w:spacing w:after="40"/>
            </w:pPr>
            <w:r>
              <w:rPr>
                <w:b w:val="0"/>
                <w:i w:val="0"/>
                <w:sz w:val="20"/>
              </w:rPr>
              <w:t>Minuteur projeté et coupure au premier groupe qui dépasse</w:t>
            </w:r>
          </w:p>
        </w:tc>
        <w:tc>
          <w:tcPr>
            <w:tcW w:type="dxa" w:w="3137"/>
          </w:tcPr>
          <w:p>
            <w:pPr>
              <w:spacing w:after="40"/>
            </w:pPr>
            <w:r>
              <w:rPr>
                <w:b w:val="0"/>
                <w:i w:val="0"/>
                <w:sz w:val="20"/>
              </w:rPr>
              <w:t>B4</w:t>
            </w:r>
          </w:p>
        </w:tc>
        <w:tc>
          <w:tcPr>
            <w:tcW w:type="dxa" w:w="3137"/>
          </w:tcPr>
          <w:p>
            <w:pPr>
              <w:spacing w:after="40"/>
            </w:pPr>
            <w:r>
              <w:rPr>
                <w:b w:val="0"/>
                <w:i w:val="0"/>
                <w:sz w:val="20"/>
              </w:rPr>
              <w:t>Protéger le temps de l'évaluation individuelle</w:t>
            </w:r>
          </w:p>
        </w:tc>
      </w:tr>
      <w:tr>
        <w:tc>
          <w:tcPr>
            <w:tcW w:type="dxa" w:w="3137"/>
          </w:tcPr>
          <w:p>
            <w:pPr>
              <w:spacing w:after="40"/>
            </w:pPr>
            <w:r>
              <w:rPr>
                <w:b w:val="0"/>
                <w:i w:val="0"/>
                <w:sz w:val="20"/>
              </w:rPr>
              <w:t>Question métacognitive posée une première fois dès la plage A</w:t>
            </w:r>
          </w:p>
        </w:tc>
        <w:tc>
          <w:tcPr>
            <w:tcW w:type="dxa" w:w="3137"/>
          </w:tcPr>
          <w:p>
            <w:pPr>
              <w:spacing w:after="40"/>
            </w:pPr>
            <w:r>
              <w:rPr>
                <w:b w:val="0"/>
                <w:i w:val="0"/>
                <w:sz w:val="20"/>
              </w:rPr>
              <w:t>A8</w:t>
            </w:r>
          </w:p>
        </w:tc>
        <w:tc>
          <w:tcPr>
            <w:tcW w:type="dxa" w:w="3137"/>
          </w:tcPr>
          <w:p>
            <w:pPr>
              <w:spacing w:after="40"/>
            </w:pPr>
            <w:r>
              <w:rPr>
                <w:b w:val="0"/>
                <w:i w:val="0"/>
                <w:sz w:val="20"/>
              </w:rPr>
              <w:t>Que les billets de sortie de B7 cessent d'être vides pour un quart du groupe</w:t>
            </w:r>
          </w:p>
        </w:tc>
      </w:tr>
    </w:tbl>
    <w:p>
      <w:pPr>
        <w:spacing w:after="40"/>
      </w:pPr>
    </w:p>
    <w:p>
      <w:r>
        <w:rPr>
          <w:b w:val="0"/>
          <w:i w:val="0"/>
        </w:rPr>
        <w:t xml:space="preserve">Je note que quatre de ces cinq corrections consistent à </w:t>
      </w:r>
      <w:r>
        <w:rPr>
          <w:b w:val="0"/>
          <w:i/>
        </w:rPr>
        <w:t>installer un geste avant de l'exiger</w:t>
      </w:r>
      <w:r>
        <w:rPr>
          <w:b w:val="0"/>
          <w:i w:val="0"/>
        </w:rPr>
        <w:t>. C'est le fil qui traverse mon analyse : j'ai conçu des activités justes, et j'ai plusieurs fois supposé acquis un savoir-faire que je n'avais pas enseigné — relire un pair, interroger une source, s'auto-observer. C'est ce que je retiens de plus utile de cette séance, bien au-delà du thème traité.</w:t>
      </w:r>
    </w:p>
    <w:p>
      <w:pPr>
        <w:pStyle w:val="Heading1"/>
      </w:pPr>
      <w:r>
        <w:t>10. L'intérêt et les acquis de la formation</w:t>
      </w:r>
    </w:p>
    <w:p>
      <w:r>
        <w:rPr>
          <w:b/>
          <w:i w:val="0"/>
          <w:color w:val="16305B"/>
        </w:rPr>
        <w:t>Ce que les Modules 1 et 2 ont changé dans ma pratique</w:t>
      </w:r>
      <w:r>
        <w:rPr>
          <w:b w:val="0"/>
          <w:i w:val="0"/>
        </w:rPr>
        <w:t>, concrètement et par ordre d'importance.</w:t>
      </w:r>
    </w:p>
    <w:p>
      <w:r>
        <w:rPr>
          <w:b/>
          <w:i w:val="0"/>
          <w:color w:val="16305B"/>
        </w:rPr>
        <w:t>L'ordre de conception.</w:t>
      </w:r>
      <w:r>
        <w:rPr>
          <w:b w:val="0"/>
          <w:i w:val="0"/>
        </w:rPr>
        <w:t xml:space="preserve"> Je concevais depuis mes contenus : je savais ce que j'allais traiter, et j'inventais après coup une évaluation. J'écris désormais l'évaluation avant le cours — pas la note, le sujet. Cela a un effet immédiat et inattendu : cela fait </w:t>
      </w:r>
      <w:r>
        <w:rPr>
          <w:b w:val="0"/>
          <w:i/>
        </w:rPr>
        <w:t>supprimer</w:t>
      </w:r>
      <w:r>
        <w:rPr>
          <w:b w:val="0"/>
          <w:i w:val="0"/>
        </w:rPr>
        <w:t xml:space="preserve"> du contenu. Le mini-cas individuel de cette séance a été écrit avant le scénario, et il m'a fait retirer deux notions qui ne servaient aucun objectif.</w:t>
      </w:r>
    </w:p>
    <w:p>
      <w:r>
        <w:rPr>
          <w:b/>
          <w:i w:val="0"/>
          <w:color w:val="16305B"/>
        </w:rPr>
        <w:t>Le niveau taxonomique comme instrument de dialogue.</w:t>
      </w:r>
      <w:r>
        <w:rPr>
          <w:b w:val="0"/>
          <w:i w:val="0"/>
        </w:rPr>
        <w:t xml:space="preserve"> J'utilisais la taxonomie de Bloom comme une liste de verbes. Le croisement avec les types de connaissances m'a fait voir que mes objectifs se concentraient sur le factuel et le conceptuel, et que je ne travaillais presque jamais le procédural — savoir quand employer telle méthode — alors que c'est ce que le référentiel attend. C'est ce constat qui m'a conduit à construire le cas d'arbitrage.</w:t>
      </w:r>
    </w:p>
    <w:p>
      <w:r>
        <w:rPr>
          <w:b/>
          <w:i w:val="0"/>
          <w:color w:val="16305B"/>
        </w:rPr>
        <w:t>La colonne « formateur ».</w:t>
      </w:r>
      <w:r>
        <w:rPr>
          <w:b w:val="0"/>
          <w:i w:val="0"/>
        </w:rPr>
        <w:t xml:space="preserve"> Elle m'a paru anecdotique au Jour 2. Elle est devenue l'endroit où je prépare ce que je vais faire pendant qu'ils travaillent — repérer deux productions opposées, relancer par une question plutôt que par la réponse, passer d'abord voir ceux qui n'ont rien écrit. Ce sont des gestes que je faisais parfois, au hasard ; ils sont maintenant écrits, donc systématiques.</w:t>
      </w:r>
    </w:p>
    <w:p>
      <w:r>
        <w:rPr>
          <w:b/>
          <w:i w:val="0"/>
          <w:color w:val="16305B"/>
        </w:rPr>
        <w:t>Le principe « l'intention avant l'outil ».</w:t>
      </w:r>
      <w:r>
        <w:rPr>
          <w:b w:val="0"/>
          <w:i w:val="0"/>
        </w:rPr>
        <w:t xml:space="preserve"> Il m'a surtout servi à </w:t>
      </w:r>
      <w:r>
        <w:rPr>
          <w:b w:val="0"/>
          <w:i/>
        </w:rPr>
        <w:t>retirer</w:t>
      </w:r>
      <w:r>
        <w:rPr>
          <w:b w:val="0"/>
          <w:i w:val="0"/>
        </w:rPr>
        <w:t>. J'utilisais quatre outils numériques dans cette matière ; j'en utilise deux. Le vote en direct est resté parce qu'il rend possible quelque chose qui ne l'est pas autrement. Les autres ont disparu sans que rien ne se dégrade — et le temps de séance récupéré est allé à l'activité.</w:t>
      </w:r>
    </w:p>
    <w:p>
      <w:r>
        <w:rPr>
          <w:b/>
          <w:i w:val="0"/>
          <w:color w:val="16305B"/>
        </w:rPr>
        <w:t>Ce que je n'ai pas encore réussi à installer.</w:t>
      </w:r>
      <w:r>
        <w:rPr>
          <w:b w:val="0"/>
          <w:i w:val="0"/>
        </w:rPr>
        <w:t xml:space="preserve"> L'accompagnement à distance reste mon point faible : je relance, je dépouille, mais je n'ai pas de dispositif de remédiation réellement organisé pour ceux qui décrochent. C'est le chantier que je m'assigne pour l'année suivante, et c'est aussi ce sur quoi j'attends le regard du jury.</w:t>
      </w:r>
    </w:p>
    <w:p>
      <w:pPr>
        <w:pStyle w:val="Heading1"/>
      </w:pPr>
      <w:r>
        <w:t>11. Annexes</w:t>
      </w:r>
    </w:p>
    <w:tbl>
      <w:tblPr>
        <w:tblStyle w:val="TableGrid"/>
        <w:tblW w:type="auto" w:w="0"/>
        <w:tblLook w:firstColumn="1" w:firstRow="1" w:lastColumn="0" w:lastRow="0" w:noHBand="0" w:noVBand="1" w:val="04A0"/>
        <w:tblBorders>
          <w:top w:val="single" w:sz="4" w:space="0" w:color="D6DEE9"/>
          <w:left w:val="single" w:sz="4" w:space="0" w:color="D6DEE9"/>
          <w:bottom w:val="single" w:sz="4" w:space="0" w:color="D6DEE9"/>
          <w:right w:val="single" w:sz="4" w:space="0" w:color="D6DEE9"/>
          <w:insideH w:val="single" w:sz="4" w:space="0" w:color="D6DEE9"/>
          <w:insideV w:val="single" w:sz="4" w:space="0" w:color="D6DEE9"/>
        </w:tblBorders>
      </w:tblPr>
      <w:tblGrid>
        <w:gridCol w:w="2353"/>
        <w:gridCol w:w="2353"/>
        <w:gridCol w:w="2353"/>
        <w:gridCol w:w="2353"/>
      </w:tblGrid>
      <w:tr>
        <w:tc>
          <w:tcPr>
            <w:tcW w:type="dxa" w:w="2353"/>
          </w:tcPr>
          <w:p>
            <w:r>
              <w:rPr>
                <w:b/>
                <w:color w:val="FFFFFF"/>
                <w:sz w:val="17"/>
              </w:rPr>
              <w:t>ANNEXE</w:t>
            </w:r>
          </w:p>
          <w:shd w:val="clear" w:color="auto" w:fill="16305B"/>
        </w:tc>
        <w:tc>
          <w:tcPr>
            <w:tcW w:type="dxa" w:w="2353"/>
          </w:tcPr>
          <w:p>
            <w:r>
              <w:rPr>
                <w:b/>
                <w:color w:val="FFFFFF"/>
                <w:sz w:val="17"/>
              </w:rPr>
              <w:t>CONTENU</w:t>
            </w:r>
          </w:p>
          <w:shd w:val="clear" w:color="auto" w:fill="16305B"/>
        </w:tc>
        <w:tc>
          <w:tcPr>
            <w:tcW w:type="dxa" w:w="2353"/>
          </w:tcPr>
          <w:p>
            <w:r>
              <w:rPr>
                <w:b/>
                <w:color w:val="FFFFFF"/>
                <w:sz w:val="17"/>
              </w:rPr>
              <w:t>CE QU'ELLE PROUVE</w:t>
            </w:r>
          </w:p>
          <w:shd w:val="clear" w:color="auto" w:fill="16305B"/>
        </w:tc>
        <w:tc>
          <w:tcPr>
            <w:tcW w:type="dxa" w:w="2353"/>
          </w:tcPr>
          <w:p>
            <w:r>
              <w:rPr>
                <w:b/>
                <w:color w:val="FFFFFF"/>
                <w:sz w:val="17"/>
              </w:rPr>
              <w:t>PAGES</w:t>
            </w:r>
          </w:p>
          <w:shd w:val="clear" w:color="auto" w:fill="16305B"/>
        </w:tc>
      </w:tr>
      <w:tr>
        <w:tc>
          <w:tcPr>
            <w:tcW w:type="dxa" w:w="2353"/>
          </w:tcPr>
          <w:p>
            <w:pPr>
              <w:spacing w:after="40"/>
            </w:pPr>
            <w:r>
              <w:rPr>
                <w:b/>
                <w:i w:val="0"/>
                <w:color w:val="16305B"/>
                <w:sz w:val="20"/>
              </w:rPr>
              <w:t>Annexe 1</w:t>
            </w:r>
          </w:p>
        </w:tc>
        <w:tc>
          <w:tcPr>
            <w:tcW w:type="dxa" w:w="2353"/>
          </w:tcPr>
          <w:p>
            <w:pPr>
              <w:spacing w:after="40"/>
            </w:pPr>
            <w:r>
              <w:rPr>
                <w:b w:val="0"/>
                <w:i w:val="0"/>
                <w:sz w:val="20"/>
              </w:rPr>
              <w:t>La trame de scénario à neuf colonnes, format paysage, les vingt temps</w:t>
            </w:r>
          </w:p>
        </w:tc>
        <w:tc>
          <w:tcPr>
            <w:tcW w:type="dxa" w:w="2353"/>
          </w:tcPr>
          <w:p>
            <w:pPr>
              <w:spacing w:after="40"/>
            </w:pPr>
            <w:r>
              <w:rPr>
                <w:b w:val="0"/>
                <w:i w:val="0"/>
                <w:sz w:val="20"/>
              </w:rPr>
              <w:t>Que la séance a été conçue, et non improvisée puis racontée</w:t>
            </w:r>
          </w:p>
        </w:tc>
        <w:tc>
          <w:tcPr>
            <w:tcW w:type="dxa" w:w="2353"/>
          </w:tcPr>
          <w:p>
            <w:pPr>
              <w:spacing w:after="40"/>
            </w:pPr>
            <w:r>
              <w:rPr>
                <w:b w:val="0"/>
                <w:i w:val="0"/>
                <w:sz w:val="20"/>
              </w:rPr>
              <w:t>1</w:t>
            </w:r>
          </w:p>
        </w:tc>
      </w:tr>
      <w:tr>
        <w:tc>
          <w:tcPr>
            <w:tcW w:type="dxa" w:w="2353"/>
          </w:tcPr>
          <w:p>
            <w:pPr>
              <w:spacing w:after="40"/>
            </w:pPr>
            <w:r>
              <w:rPr>
                <w:b/>
                <w:i w:val="0"/>
                <w:color w:val="16305B"/>
                <w:sz w:val="20"/>
              </w:rPr>
              <w:t>Annexe 2</w:t>
            </w:r>
          </w:p>
        </w:tc>
        <w:tc>
          <w:tcPr>
            <w:tcW w:type="dxa" w:w="2353"/>
          </w:tcPr>
          <w:p>
            <w:pPr>
              <w:spacing w:after="40"/>
            </w:pPr>
            <w:r>
              <w:rPr>
                <w:b w:val="0"/>
                <w:i w:val="0"/>
                <w:sz w:val="20"/>
              </w:rPr>
              <w:t>La grille critériée de la soutenance, telle que remise aux apprenants en A1</w:t>
            </w:r>
          </w:p>
        </w:tc>
        <w:tc>
          <w:tcPr>
            <w:tcW w:type="dxa" w:w="2353"/>
          </w:tcPr>
          <w:p>
            <w:pPr>
              <w:spacing w:after="40"/>
            </w:pPr>
            <w:r>
              <w:rPr>
                <w:b w:val="0"/>
                <w:i w:val="0"/>
                <w:sz w:val="20"/>
              </w:rPr>
              <w:t>Que les critères ont été communiqués trois semaines avant l'épreuve</w:t>
            </w:r>
          </w:p>
        </w:tc>
        <w:tc>
          <w:tcPr>
            <w:tcW w:type="dxa" w:w="2353"/>
          </w:tcPr>
          <w:p>
            <w:pPr>
              <w:spacing w:after="40"/>
            </w:pPr>
            <w:r>
              <w:rPr>
                <w:b w:val="0"/>
                <w:i w:val="0"/>
                <w:sz w:val="20"/>
              </w:rPr>
              <w:t>1</w:t>
            </w:r>
          </w:p>
        </w:tc>
      </w:tr>
      <w:tr>
        <w:tc>
          <w:tcPr>
            <w:tcW w:type="dxa" w:w="2353"/>
          </w:tcPr>
          <w:p>
            <w:pPr>
              <w:spacing w:after="40"/>
            </w:pPr>
            <w:r>
              <w:rPr>
                <w:b/>
                <w:i w:val="0"/>
                <w:color w:val="16305B"/>
                <w:sz w:val="20"/>
              </w:rPr>
              <w:t>Annexe 3</w:t>
            </w:r>
          </w:p>
        </w:tc>
        <w:tc>
          <w:tcPr>
            <w:tcW w:type="dxa" w:w="2353"/>
          </w:tcPr>
          <w:p>
            <w:pPr>
              <w:spacing w:after="40"/>
            </w:pPr>
            <w:r>
              <w:rPr>
                <w:b w:val="0"/>
                <w:i w:val="0"/>
                <w:sz w:val="20"/>
              </w:rPr>
              <w:t>Deux captures : la distribution des votes avant et après discussion (A6)</w:t>
            </w:r>
          </w:p>
        </w:tc>
        <w:tc>
          <w:tcPr>
            <w:tcW w:type="dxa" w:w="2353"/>
          </w:tcPr>
          <w:p>
            <w:pPr>
              <w:spacing w:after="40"/>
            </w:pPr>
            <w:r>
              <w:rPr>
                <w:b w:val="0"/>
                <w:i w:val="0"/>
                <w:sz w:val="20"/>
              </w:rPr>
              <w:t>Que l'usage numérique a été exploité, et non seulement lancé</w:t>
            </w:r>
          </w:p>
        </w:tc>
        <w:tc>
          <w:tcPr>
            <w:tcW w:type="dxa" w:w="2353"/>
          </w:tcPr>
          <w:p>
            <w:pPr>
              <w:spacing w:after="40"/>
            </w:pPr>
            <w:r>
              <w:rPr>
                <w:b w:val="0"/>
                <w:i w:val="0"/>
                <w:sz w:val="20"/>
              </w:rPr>
              <w:t>1</w:t>
            </w:r>
          </w:p>
        </w:tc>
      </w:tr>
    </w:tbl>
    <w:p>
      <w:pPr>
        <w:spacing w:after="40"/>
      </w:pPr>
    </w:p>
    <w:p>
      <w:r>
        <w:rPr>
          <w:b w:val="0"/>
          <w:i w:val="0"/>
        </w:rPr>
        <w:t>Trois annexes, trois pages. Chacune est appelée depuis le corps du texte ; aucune n'est jointe « pour information ». Le diaporama de la séance, le dossier de cas et le sujet du mini-cas ne figurent pas : ils ne prouveraient rien qui ne soit déjà décrit, et ils consommeraient un quart du volume autorisé.</w:t>
      </w:r>
    </w:p>
    <w:tbl>
      <w:tblPr>
        <w:tblW w:type="auto" w:w="0"/>
        <w:jc w:val="center"/>
        <w:tblLook w:firstColumn="1" w:firstRow="1" w:lastColumn="0" w:lastRow="0" w:noHBand="0" w:noVBand="1" w:val="04A0"/>
        <w:tblBorders>
          <w:top w:val="single" w:sz="4" w:space="0" w:color="C9D6E8"/>
          <w:left w:val="single" w:sz="4" w:space="0" w:color="C9D6E8"/>
          <w:bottom w:val="single" w:sz="4" w:space="0" w:color="C9D6E8"/>
          <w:right w:val="single" w:sz="4" w:space="0" w:color="C9D6E8"/>
          <w:insideH w:val="single" w:sz="4" w:space="0" w:color="C9D6E8"/>
          <w:insideV w:val="single" w:sz="4" w:space="0" w:color="C9D6E8"/>
        </w:tblBorders>
      </w:tblPr>
      <w:tblGrid>
        <w:gridCol w:w="9412"/>
      </w:tblGrid>
      <w:tr>
        <w:tc>
          <w:tcPr>
            <w:tcW w:type="dxa" w:w="9412"/>
          </w:tcPr>
          <w:p>
            <w:pPr>
              <w:spacing w:before="80" w:after="80"/>
            </w:pPr>
            <w:r>
              <w:rPr>
                <w:b/>
                <w:i w:val="0"/>
                <w:color w:val="16305B"/>
              </w:rPr>
              <w:t>Récapitulatif du volume.</w:t>
            </w:r>
            <w:r>
              <w:rPr>
                <w:b w:val="0"/>
                <w:i w:val="0"/>
              </w:rPr>
              <w:t xml:space="preserve"> Le document mis en page fait </w:t>
            </w:r>
            <w:r>
              <w:rPr>
                <w:b/>
                <w:i w:val="0"/>
                <w:color w:val="16305B"/>
              </w:rPr>
              <w:t>21 pages</w:t>
            </w:r>
            <w:r>
              <w:rPr>
                <w:b w:val="0"/>
                <w:i w:val="0"/>
              </w:rPr>
              <w:t xml:space="preserve">, page de titre comprise, pour environ 8 800 mots. La répartition compte davantage que le total : le </w:t>
            </w:r>
            <w:r>
              <w:rPr>
                <w:b w:val="0"/>
                <w:i/>
              </w:rPr>
              <w:t>contexte</w:t>
            </w:r>
            <w:r>
              <w:rPr>
                <w:b w:val="0"/>
                <w:i w:val="0"/>
              </w:rPr>
              <w:t xml:space="preserve"> et le </w:t>
            </w:r>
            <w:r>
              <w:rPr>
                <w:b w:val="0"/>
                <w:i/>
              </w:rPr>
              <w:t>scénario</w:t>
            </w:r>
            <w:r>
              <w:rPr>
                <w:b w:val="0"/>
                <w:i w:val="0"/>
              </w:rPr>
              <w:t xml:space="preserve"> occupent à eux deux les deux tiers du volume, l'</w:t>
            </w:r>
            <w:r>
              <w:rPr>
                <w:b w:val="0"/>
                <w:i/>
              </w:rPr>
              <w:t>analyse réflexive</w:t>
            </w:r>
            <w:r>
              <w:rPr>
                <w:b w:val="0"/>
                <w:i w:val="0"/>
              </w:rPr>
              <w:t xml:space="preserve"> — résultats, analyse de pratique, acquis — en occupe un cinquième, et le reste va aux objectifs et au dispositif d'évaluation. Les trois annexes s'ajoutent, à une page chacune. Le point à retenir : </w:t>
            </w:r>
            <w:r>
              <w:rPr>
                <w:b/>
                <w:i w:val="0"/>
                <w:color w:val="16305B"/>
              </w:rPr>
              <w:t>rien n'est joint qui ne prouve quelque chose</w:t>
            </w:r>
            <w:r>
              <w:rPr>
                <w:b w:val="0"/>
                <w:i w:val="0"/>
              </w:rPr>
              <w:t>, et c'est ce qui permet de tenir dans l'enveloppe.</w:t>
            </w:r>
          </w:p>
          <w:shd w:val="clear" w:color="auto" w:fill="EDF7F0"/>
        </w:tc>
      </w:tr>
    </w:tbl>
    <w:p>
      <w:pPr>
        <w:spacing w:after="40"/>
      </w:pPr>
    </w:p>
    <w:sectPr w:rsidR="00FC693F" w:rsidRPr="0006063C" w:rsidSect="00034616">
      <w:footerReference w:type="default" r:id="rId9"/>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44A55"/>
        <w:sz w:val="17"/>
      </w:rP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80" w:line="293"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00"/>
      <w:outlineLvl w:val="0"/>
    </w:pPr>
    <w:rPr>
      <w:rFonts w:asciiTheme="majorHAnsi" w:eastAsiaTheme="majorEastAsia" w:hAnsiTheme="majorHAnsi" w:cstheme="majorBidi" w:ascii="Calibri" w:hAnsi="Calibri"/>
      <w:b/>
      <w:bCs/>
      <w:color w:val="16305B"/>
      <w:sz w:val="36"/>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Calibri" w:hAnsi="Calibri"/>
      <w:b/>
      <w:bCs/>
      <w:color w:val="1F4E8C"/>
      <w:sz w:val="27"/>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Calibri" w:hAnsi="Calibri"/>
      <w:b/>
      <w:bCs/>
      <w:color w:val="1F4E8C"/>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