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MEMORIAL DESCRITIVO</w:t>
      </w:r>
    </w:p>
    <w:p>
      <w:pPr>
        <w:spacing w:after="200"/>
        <w:jc w:val="center"/>
      </w:pPr>
      <w:r>
        <w:rPr>
          <w:b/>
          <w:bCs/>
          <w:color w:val="1F4E79"/>
          <w:sz w:val="36"/>
          <w:szCs w:val="36"/>
        </w:rPr>
        <w:t xml:space="preserve">SISTEMAS ELÉTRICOS</w:t>
      </w:r>
    </w:p>
    <w:p>
      <w:pPr>
        <w:spacing w:after="1200"/>
        <w:jc w:val="center"/>
      </w:pPr>
      <w:r>
        <w:rPr>
          <w:b/>
          <w:bCs/>
          <w:color w:val="2E75B6"/>
          <w:sz w:val="28"/>
          <w:szCs w:val="28"/>
        </w:rPr>
        <w:t xml:space="preserve">PROJETO ELÉTRICO — FÁBRICA DE MASSAS</w:t>
      </w:r>
    </w:p>
    <w:p>
      <w:pPr>
        <w:spacing w:after="100"/>
        <w:jc w:val="center"/>
      </w:pPr>
      <w:r>
        <w:rPr>
          <w:sz w:val="22"/>
          <w:szCs w:val="22"/>
        </w:rPr>
        <w:t xml:space="preserve">Trabalho Final — Disciplina de Instalações Elétricas</w:t>
      </w:r>
    </w:p>
    <w:p>
      <w:r>
        <w:br w:type="page"/>
      </w:r>
    </w:p>
    <w:p>
      <w:pPr>
        <w:pStyle w:val="Heading1"/>
        <w:shd w:fill="1F4E79" w:val="clear"/>
        <w:spacing w:after="200" w:before="360"/>
      </w:pPr>
      <w:r>
        <w:rPr>
          <w:b/>
          <w:bCs/>
          <w:color w:val="FFFFFF"/>
          <w:sz w:val="24"/>
          <w:szCs w:val="24"/>
        </w:rPr>
        <w:t xml:space="preserve">1. INTRODUÇÃO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presente memorial descritivo tem por finalidade apresentar, de forma consolidada, os serviços, estudos, procedimentos, metodologias e análises utilizados no desenvolvimento do projeto elétrico completo de uma fábrica de massas, elaborado como trabalho final da disciplina de Instalações Elétricas.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soluções de projeto adotadas basearam-se na distribuição funcional da planta industrial (setores de produção, utilidades e áreas administrativas/vestiários), no levantamento de cargas de iluminação, tomadas de uso geral (TUG), tomadas de uso específico (TUE) e motores, e nas condições de fornecimento estabelecidas pela concessionária local.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Dado</w:t>
            </w:r>
          </w:p>
        </w:tc>
        <w:tc>
          <w:tcPr>
            <w:tcW w:type="dxa" w:w="6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/ Descrição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Tipo de edificação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Industrial — fábrica de massas alimentícias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Área coberta (galpão de produção)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882,12 m² (39,24 × 22,48 m)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Número de ambientes projetados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Alimentação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Subestação própria em baixa tensão (380/220 V), transformador trifásico 300 kVA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Concessionária local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Energisa (norma de referência NDU-001)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instalados</w:t>
            </w:r>
          </w:p>
        </w:tc>
        <w:tc>
          <w:tcPr>
            <w:tcW w:type="dxa" w:w="6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motores trifásicos WEG W22 IR3 Premium — total 205 CV (150,88 kW nominal / 164,26 kW absorvido real)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Metodologia de levantamento físico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Planta em CAD (DXF/DWG) processada digitalmente (biblioteca ezdxf) para extração de coordenadas reais de motores e ambientes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documento consolida os itens obrigatórios exigidos pelo professor da disciplina, indicando claramente, para cada um, o que foi efetivamente desenvolvido com memória de cálculo e dados de projeto, e o que permanece como proposta de trabalho futuro por limitação de tempo hábil para a entrega.</w:t>
      </w:r>
    </w:p>
    <w:p>
      <w:pPr>
        <w:pStyle w:val="Heading1"/>
        <w:shd w:fill="1F4E79" w:val="clear"/>
        <w:spacing w:after="200" w:before="360"/>
      </w:pPr>
      <w:r>
        <w:rPr>
          <w:b/>
          <w:bCs/>
          <w:color w:val="FFFFFF"/>
          <w:sz w:val="24"/>
          <w:szCs w:val="24"/>
        </w:rPr>
        <w:t xml:space="preserve">2. SISTEMAS ELÉTRICOS DA INSTALAÇÃO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instalação elétrica da fábrica de massas é composta pelos seguintes sistemas, tratados nos itens a seguir: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Entrada de energia e subestação (transformador próprio)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Quadro Geral de Baixa Tensão (QGBT) e quadros de distribuição setoriais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Setorização de circuitos e organização dos dados de carga (Item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Projeto luminotécnico (Item 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Dimensionamento de condutores (Item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Correção do fator de potência (Item 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Cálculo de correntes de curto-circuito (Item 5)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Valores de partida dos motores (Item 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Dispositivos de proteção e coordenação/seletividade (Item 7)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Malha de aterramento e equipotencialização (Item 8)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Diagrama unifilar geral (Item 9)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Memorial descritivo consolidado (Item 10 — este documento)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2"/>
          <w:szCs w:val="22"/>
        </w:rPr>
        <w:t xml:space="preserve">2.1 Normas Adotadas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NBR 5410 — Instalações elétricas de baixa tensão;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NBR 14039 — Instalações elétricas de média tensão de 1,0 kV a 36,2 kV;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NBR 5419 — Proteção contra descargas atmosféricas (SPDA);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NBR 5413 / NBR ISO/CIE 8995-1 — Iluminância de interiores;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NR-10 — Segurança em instalações e serviços em eletricidade (MTE);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NDU-001 — Norma de Distribuição da Energisa (fornecimento em baixa tensão, partida de motores, fatores de demanda).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Onde os dados de referência normativa (fator de demanda por ramo de atividade, impedância de curto-circuito da rede de média tensão no ponto de entrega) não estavam disponíveis nos materiais da disciplina, foram adotadas premissas conservadoras, explicitamente indicadas ao longo deste memorial e listadas de forma consolidada na Seção 5.</w:t>
      </w:r>
    </w:p>
    <w:p>
      <w:pPr>
        <w:pStyle w:val="Heading2"/>
        <w:spacing w:after="140" w:before="280"/>
      </w:pPr>
      <w:r>
        <w:rPr>
          <w:b/>
          <w:bCs/>
          <w:color w:val="1F4E79"/>
          <w:sz w:val="22"/>
          <w:szCs w:val="22"/>
        </w:rPr>
        <w:t xml:space="preserve">2.2 Descrição dos Sistemas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2.2.1 Entrada de Energia e Subestação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NDU-001 (Energisa) limita o fornecimento direto em baixa tensão a 75 kW. Como a carga total da fábrica (motores, iluminação e tomadas) ultrapassa esse limite, foi definida a necessidade de subestação própria (transformador abaixador dedicado).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6000"/>
      </w:tblGrid>
      <w:tr>
        <w:trPr>
          <w:tblHeader/>
        </w:trPr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Parâmetro</w:t>
            </w:r>
          </w:p>
        </w:tc>
        <w:tc>
          <w:tcPr>
            <w:tcW w:type="dxa" w:w="6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adotado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Potência do transformador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kVA</w:t>
            </w:r>
          </w:p>
        </w:tc>
      </w:tr>
      <w:tr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Relação de tensão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23,1 kV / 380 V (primário/secundário)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Justificativa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Folga sobre a demanda calculada de 267,5 kVA (Item 4), prevendo expansão futura de carga</w:t>
            </w:r>
          </w:p>
        </w:tc>
      </w:tr>
      <w:tr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Perdas no cobre (Pcu)</w:t>
            </w:r>
          </w:p>
        </w:tc>
        <w:tc>
          <w:tcPr>
            <w:tcW w:type="dxa" w:w="6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3.700 W</w:t>
            </w:r>
          </w:p>
        </w:tc>
      </w:tr>
      <w:tr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Impedância percentual (Zpt%)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4,5%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ligação à rede de média tensão da concessionária, a especificação construtiva da cabine (obra civil, muflas, aterramento da subestação) e a proteção de média tensão não foram objeto de detalhamento neste trabalho, por não constarem no escopo dos 10 itens exigidos pela disciplina; recomenda-se seu desenvolvimento em projeto complementar de entrada de energia junto à concessionária.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2.2.2 Setorização de Circuitos e Quadro de Cargas (Item 1)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circuitos foram organizados em cinco quadros de distribuição, alimentados a partir do QGBT, segundo o princípio da NBR 5410 (item 9.5.2) de que motores, iluminação, TUG e TUE devem constituir circuitos distintos, com proteções próprias: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Quadro</w:t>
            </w:r>
          </w:p>
        </w:tc>
        <w:tc>
          <w:tcPr>
            <w:tcW w:type="dxa" w:w="7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QGBT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Distribuição geral — não atende circuitos terminais diretamente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QD-SCE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 de Controle Elétrico: iluminação, TUG, automação (CLP/rack/switch/servidor) e ar-condicionado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QD-FORÇA-1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Setor 1 de produção — 4 motores (95 CV / 69,92 kW)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QD-FORÇA-2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Setor 2 de produção — 5 motores (110 CV / 80,96 kW)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QD-GALPÃO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Iluminação, TUG e TUE (climatizadores) do galpão de produção (Setores 1+2)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QD-UTILIDADES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Oficina, Sala das Caldeiras, Controle de Qualidade, Armazenamento de Grãos, Armazém Geral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QD-ADM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Vestiários, corredor, banheiro PNE, depósitos e oficina do supervisor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Quadro-resumo de cargas da instalação (potência instalada e demanda calculada por categoria):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1800"/>
        <w:gridCol w:w="24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Categoria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Pot. instalada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FD adotado</w:t>
            </w:r>
          </w:p>
        </w:tc>
        <w:tc>
          <w:tcPr>
            <w:tcW w:type="dxa" w:w="2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Demanda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(9, dados de placa reais WEG)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164,26 kW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164,26 kW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Iluminação (94 luminárias)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8,82 kW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8,82 kW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TUG (73 pontos)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≈8,46 kVA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0,60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≈5,08 kVA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— Chuveiros (×8)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44,00 kW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0,75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33,00 kW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— Solda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6,5 kVA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3,25 kVA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— Compressor (10 CV)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7,36 kW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7,36 kW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— Carregador de empilhadeira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4,00 kW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4,00 kW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— Climatização (splits + evaporativos)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≈5,71 kW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2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≈5,71 kW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TUE — Estufa, balança, bomba auxiliar, automação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≈3,81 kW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1,00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≈3,81 kW</w:t>
            </w:r>
          </w:p>
        </w:tc>
      </w:tr>
    </w:tbl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Total geral da instalação: </w:t>
      </w:r>
      <w:r>
        <w:rPr>
          <w:sz w:val="21"/>
          <w:szCs w:val="21"/>
        </w:rPr>
        <w:t xml:space="preserve">P ≈ 235,08 kW / S ≈ 267,53 kVA (antes da correção do fator de potência — ver Item 4).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fatores de demanda de TUG, chuveiros e solda foram adotados como premissas de projeto, detalhadas na Seção 4.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Nomenclatura de circuitos (tags)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Padrão adotado: PREFIXO-TIPO## (IL = iluminação, TUG = tomada de uso geral, TUE = tomada de uso específico, M = motor). Resumo de pontos de tomada por quadro: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4000"/>
      </w:tblGrid>
      <w:tr>
        <w:trPr>
          <w:tblHeader/>
        </w:trPr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Quadro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TUG (pontos)</w:t>
            </w:r>
          </w:p>
        </w:tc>
        <w:tc>
          <w:tcPr>
            <w:tcW w:type="dxa" w:w="40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 (circuitos)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QD-SCE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QD-UTILIDADES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QD-ADM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QD-GALPÃO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QD-FORÇA-1 / QD-FORÇA-2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 (apenas motores)</w:t>
            </w:r>
          </w:p>
        </w:tc>
      </w:tr>
      <w:tr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3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</w:t>
            </w:r>
          </w:p>
        </w:tc>
        <w:tc>
          <w:tcPr>
            <w:tcW w:type="dxa" w:w="40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2.2.3 Projeto Luminotécnico (Item 2)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Elaborado pelo método dos lúmens, conforme NBR 5413 e NBR ISO/CIE 8995-1, com fator de manutenção 0,85 e refletâncias de 70% (teto), 70% (parede) e 20% (piso). Os cálculos luminotécnicos foram realizados com o software LUMISOFT 2.0 para os 17 ambientes da planta, com pé-direito de 7 m, luminárias instaladas a 5 m de altura e plano de trabalho a 0,80 m.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100"/>
        <w:gridCol w:w="3100"/>
      </w:tblGrid>
      <w:tr>
        <w:trPr>
          <w:tblHeader/>
        </w:trPr>
        <w:tc>
          <w:tcPr>
            <w:tcW w:type="dxa" w:w="3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 de luminária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Fluxo luminoso</w:t>
            </w:r>
          </w:p>
        </w:tc>
        <w:tc>
          <w:tcPr>
            <w:tcW w:type="dxa" w:w="3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Potência estimada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LCN06-E17000830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16.860 lm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≈155 W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LCN05-E8000830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8.430 lm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≈80 W</w:t>
            </w:r>
          </w:p>
        </w:tc>
      </w:tr>
      <w:tr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LCN05-E4000830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4.215 lm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≈40 W</w:t>
            </w:r>
          </w:p>
        </w:tc>
      </w:tr>
      <w:tr>
        <w:tc>
          <w:tcPr>
            <w:tcW w:type="dxa" w:w="3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LHT44-E4000840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4.000 lm</w:t>
            </w:r>
          </w:p>
        </w:tc>
        <w:tc>
          <w:tcPr>
            <w:tcW w:type="dxa" w:w="3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≈40 W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Resultado consolidado: 94 luminárias distribuídas em 17 ambientes, totalizando aproximadamente 8,82 kW de carga instalada de iluminação (considerada carga contínua, FD = 1,0, conforme NBR 5410).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potência das luminárias foi estimada por eficácia luminosa de referência de 110 lm/W (premissa detalhada na Seção 4).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2.2.4 Determinação dos Condutores (Item 3)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Dimensionamento realizado para condutores de cobre, isolação PVC 70°C, método de instalação B1 (eletroduto embutido em alvenaria/laje), temperatura ambiente de 30°C, com verificação simultânea de capacidade de condução de corrente e queda de tensão (limite normativo de 4% em regime permanente, conforme NBR 5410).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As distâncias de cada circuito foram obtidas a partir das coordenadas reais dos motores e ambientes extraídas do arquivo CAD (DXF) da planta, multiplicadas por um fator de roteamento de 1,25 para compensar o percurso não retilíneo dos eletrodutos (o roteamento físico real não está desenhado no CAD disponível).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300"/>
        <w:gridCol w:w="2200"/>
        <w:gridCol w:w="1800"/>
        <w:gridCol w:w="1500"/>
      </w:tblGrid>
      <w:tr>
        <w:trPr>
          <w:tblHeader/>
        </w:trPr>
        <w:tc>
          <w:tcPr>
            <w:tcW w:type="dxa" w:w="3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(A)</w:t>
            </w:r>
          </w:p>
        </w:tc>
        <w:tc>
          <w:tcPr>
            <w:tcW w:type="dxa" w:w="2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Distância roteada (m)</w:t>
            </w:r>
          </w:p>
        </w:tc>
        <w:tc>
          <w:tcPr>
            <w:tcW w:type="dxa" w:w="18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Seção (mm²)</w:t>
            </w:r>
          </w:p>
        </w:tc>
        <w:tc>
          <w:tcPr>
            <w:tcW w:type="dxa" w:w="1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ΔV (%)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CV (Setor 1)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23,6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1,24%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CV (Setor 1)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15,2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27,6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2,5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1,41%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CV (a) (Setor 1)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41,0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1,55%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CV (b) (Setor 1)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47,1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1,78%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CV (a) (Setor 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28,8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13,7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0,88%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CV (b) (Setor 2)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28,8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21,2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1,36%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CV (Setor 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20,9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1,10%</w:t>
            </w:r>
          </w:p>
        </w:tc>
      </w:tr>
      <w:tr>
        <w:tc>
          <w:tcPr>
            <w:tcW w:type="dxa" w:w="3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CV (Setor 2)</w:t>
            </w:r>
          </w:p>
        </w:tc>
        <w:tc>
          <w:tcPr>
            <w:tcW w:type="dxa" w:w="1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21,8</w:t>
            </w:r>
          </w:p>
        </w:tc>
        <w:tc>
          <w:tcPr>
            <w:tcW w:type="dxa" w:w="2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32,1</w:t>
            </w:r>
          </w:p>
        </w:tc>
        <w:tc>
          <w:tcPr>
            <w:tcW w:type="dxa" w:w="18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1,49%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CV (Setor 2)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42,8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1,62%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Todos os alimentadores dos quadros de distribuição (QGBT → QD-GALPÃO, QD-UTILIDADES, QD-ADM, QD-SCE) foram dimensionados em seção mínima prática de 4 mm², com quedas de tensão inferiores a 1% em todos os casos, folgadamente dentro do limite normativo.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2.2.5 Correção do Fator de Potência (Item 4)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5400"/>
      </w:tblGrid>
      <w:tr>
        <w:trPr>
          <w:tblHeader/>
        </w:trPr>
        <w:tc>
          <w:tcPr>
            <w:tcW w:type="dxa" w:w="4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Grandeza</w:t>
            </w:r>
          </w:p>
        </w:tc>
        <w:tc>
          <w:tcPr>
            <w:tcW w:type="dxa" w:w="5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Potência ativa total (P)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235,08 kW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Potência reativa total (Q)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127,71 kVAr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Potência aparente total (S)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267,53 kVA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Fator de potência atual (cosφ)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0,8787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Mínimo exigido (ANEEL/Energisa)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0,92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de capacitores calculado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≈50,44 kVAr → adotado 50 kVAr comercial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Fator de potência corrigido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0,95</w:t>
            </w:r>
          </w:p>
        </w:tc>
      </w:tr>
      <w:tr>
        <w:tc>
          <w:tcPr>
            <w:tcW w:type="dxa" w:w="4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Corrente nominal do QGBT (pós-correção)</w:t>
            </w:r>
          </w:p>
        </w:tc>
        <w:tc>
          <w:tcPr>
            <w:tcW w:type="dxa" w:w="5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376,0 A</w:t>
            </w:r>
          </w:p>
        </w:tc>
      </w:tr>
      <w:tr>
        <w:tc>
          <w:tcPr>
            <w:tcW w:type="dxa" w:w="4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 geral do QGBT</w:t>
            </w:r>
          </w:p>
        </w:tc>
        <w:tc>
          <w:tcPr>
            <w:tcW w:type="dxa" w:w="5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A tripolar, Icu ≥ 15 kA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Os motores de 30 CV (6 polos, cosφ = 0,81) e a máquina de solda (cosφ = 0,58, embora de baixo impacto por operação intermitente) são os principais responsáveis pelo baixo fator de potência original da instalação.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2.2.6 Correntes de Curto-Circuito (Item 5)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Calculado pelo método de impedâncias em pu (base Sb = 300 kVA / Vb = 0,380 kV), considerando o sistema de suprimento de média tensão como barramento infinito (impedância da rede da concessionária não disponibilizada pelo material da disciplina — simplificação conservadora, a favor da segurança por gerar Icc ligeiramente maior).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4500"/>
      </w:tblGrid>
      <w:tr>
        <w:trPr>
          <w:tblHeader/>
        </w:trPr>
        <w:tc>
          <w:tcPr>
            <w:tcW w:type="dxa" w:w="5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Ponto de cálculo</w:t>
            </w:r>
          </w:p>
        </w:tc>
        <w:tc>
          <w:tcPr>
            <w:tcW w:type="dxa" w:w="4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Icc simétrica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Terminais do transformador (300 kVA)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≈10,13 kA</w:t>
            </w:r>
          </w:p>
        </w:tc>
      </w:tr>
      <w:tr>
        <w:tc>
          <w:tcPr>
            <w:tcW w:type="dxa" w:w="5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QGBT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≈9,99 kA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QD-GALPÃO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0,93 kA</w:t>
            </w:r>
          </w:p>
        </w:tc>
      </w:tr>
      <w:tr>
        <w:tc>
          <w:tcPr>
            <w:tcW w:type="dxa" w:w="5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QD-UTILIDADES</w:t>
            </w:r>
          </w:p>
        </w:tc>
        <w:tc>
          <w:tcPr>
            <w:tcW w:type="dxa" w:w="4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1,02 kA</w:t>
            </w:r>
          </w:p>
        </w:tc>
      </w:tr>
      <w:tr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QD-ADM</w:t>
            </w:r>
          </w:p>
        </w:tc>
        <w:tc>
          <w:tcPr>
            <w:tcW w:type="dxa" w:w="4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0,66 kA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Nos terminais dos motores, a Icc calculada variou entre 0,87 kA (motor de 10 CV, ramal mais longo) e 2,57 kA (motor de 20 CV, ramal mais curto), definindo a capacidade de interrupção mínima exigida para cada disjuntor-motor (Item 7).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trecho transformador → QGBT foi considerado em 10 m com condutor 4×300 mm² em paralelo por fase, premissa a ser representada no diagrama unifilar (Item 9).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2.2.7 Valores de Partida dos Motores (Item 6)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Conforme a NDU-001 da Energisa, todos os motores trifásicos acima de 5 CV devem obrigatoriamente utilizar partida com tensão reduzida. Foi adotada partida compensada estrela-triângulo para os 9 motores da instalação, com base nas correntes de partida direta reais de placa (catálogo WEG W22 IR3 Premium).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700"/>
        <w:gridCol w:w="2500"/>
        <w:gridCol w:w="17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Motor</w:t>
            </w:r>
          </w:p>
        </w:tc>
        <w:tc>
          <w:tcPr>
            <w:tcW w:type="dxa" w:w="12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 (A)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direta (A)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Ip estrela-triângulo (A)</w:t>
            </w:r>
          </w:p>
        </w:tc>
        <w:tc>
          <w:tcPr>
            <w:tcW w:type="dxa" w:w="17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ΔV na partida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CV (Setor 1)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292,0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97,33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1,48%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CV (Setor 1)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15,20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142,0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47,33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1,93%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CV (a) (Setor 1)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288,0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96,00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1,60%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CV (b) (Setor 1)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288,0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96,00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1,84%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CV (a) (Setor 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28,80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219,0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73,00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0,94%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CV (b) (Setor 2)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28,80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219,0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73,00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1,46%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CV (Setor 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35,20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292,0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97,33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1,31%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CV (Setor 2)</w:t>
            </w:r>
          </w:p>
        </w:tc>
        <w:tc>
          <w:tcPr>
            <w:tcW w:type="dxa" w:w="12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21,80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181,0</w:t>
            </w:r>
          </w:p>
        </w:tc>
        <w:tc>
          <w:tcPr>
            <w:tcW w:type="dxa" w:w="25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60,33</w:t>
            </w:r>
          </w:p>
        </w:tc>
        <w:tc>
          <w:tcPr>
            <w:tcW w:type="dxa" w:w="1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1,82%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CV (Setor 2)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288,0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96,00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1,67%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maior valor de queda de tensão na partida obtido foi 1,93% (motor de 10 CV), muito abaixo do limite normativo de 10%. A chave de partida estrela-triângulo é, portanto, tecnicamente viável para todos os 9 motores do projeto.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2.2.8 Dispositivos de Proteção e Coordenação/Seletividade (Item 7)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375623"/>
          <w:sz w:val="20"/>
          <w:szCs w:val="20"/>
        </w:rPr>
        <w:t xml:space="preserve">  [IMPLEMENTADO]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600"/>
        <w:gridCol w:w="16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Quadro/Circuito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Corrente nominal</w:t>
            </w:r>
          </w:p>
        </w:tc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Disjuntor especificado</w:t>
            </w:r>
          </w:p>
        </w:tc>
        <w:tc>
          <w:tcPr>
            <w:tcW w:type="dxa" w:w="1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Icu mínimo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Geral QGBT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376,0 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A tripolar ajustável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kA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QD-GALPÃO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7,9 A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A tripolar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kA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QD-UTILIDADES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9,5 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A tripolar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kA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QD-ADM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5,0 A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A tripolar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kA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25 CV (×2)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35,20 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Disjuntor-motor 25-40 A, ajuste 35 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kA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 10 CV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15,20 A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Disjuntor-motor 10-16 A, ajuste 15 A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kA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30 CV (×3)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44,30 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Disjuntor-motor 40-63 A, ajuste 44 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 kA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20 CV (×2)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28,80 A</w:t>
            </w:r>
          </w:p>
        </w:tc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Disjuntor-motor 25-40 A, ajuste 29 A</w:t>
            </w:r>
          </w:p>
        </w:tc>
        <w:tc>
          <w:tcPr>
            <w:tcW w:type="dxa" w:w="1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2–3 kA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 15 CV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21,80 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Disjuntor-motor 16-25 A, ajuste 22 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kA</w:t>
            </w:r>
          </w:p>
        </w:tc>
      </w:tr>
    </w:tbl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análise de seletividade indicou razão Icc(QGBT)/Icc(jusante) entre 3,9× e 15,1×, favorável à seletividade amperimétrica natural entre os níveis de proteção. Complementarmente, foi adotada seletividade cronométrica: atuação instantânea (&lt;20 ms) nos disjuntores-motor/TUE, retardo curto (~100–200 ms) nos disjuntores de quadro, e retardo maior (~300–400 ms) no disjuntor geral do QGBT, que atua como proteção de retaguarda (backup).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2.2.9 Malha de Aterramento e Equipotencialização (Item 8)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2E75B6"/>
          <w:sz w:val="20"/>
          <w:szCs w:val="20"/>
        </w:rPr>
        <w:t xml:space="preserve">  [A IMPLEMENTAR]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item não pôde ser desenvolvido até o momento da elaboração deste memorial, por limitação de tempo hábil. Fica registrado como proposta de trabalho futuro, com a seguinte diretriz de projeto: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Dimensionamento de malha de terra em anel ao redor do galpão de produção e da subestação, conforme NBR 5410 e critérios de resistência de aterramento e tensões de toque/passo;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Equipotencialização de todas as massas metálicas (estruturas dos quadros, carcaças de motores, eletrocalhas e perfilados metálicos) à malha de terra, com barramento de equipotencialização principal (BEP) junto ao QGBT;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Verificação da corrente de curto-circuito fase-terra (já calculada no Item 5) frente à seção do condutor de proteção (PE) de cada circuito, conforme NBR 5410 (tabela de dimensionamento do condutor de proteção em função da seção do condutor de fase);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Interligação da malha de aterramento da subestação com a malha de aterramento geral da fábrica, respeitando os afastamentos de segurança da NBR 14039.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2.2.10 Diagrama Unifilar Geral (Item 9)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2E75B6"/>
          <w:sz w:val="20"/>
          <w:szCs w:val="20"/>
        </w:rPr>
        <w:t xml:space="preserve">  [A IMPLEMENTAR]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elaboração do diagrama unifilar geral (transformador → QGBT → quadros de distribuição → circuitos terminais), com identificação de barramentos, disjuntores, banco de capacitores e demais dispositivos de proteção calculados nos itens anteriores, não foi concluída por limitação de tempo hábil. Todos os dados necessários para a sua elaboração já estão consolidados neste memorial (correntes nominais, seções de condutores, disjuntores especificados e correntes de curto-circuito por ponto), restando apenas a representação gráfica final.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Fica pendente também o fechamento explícito do mapeamento entre cada motor físico da planta e sua respectiva tag de circuito (F1-M01 a F1-M04 no Setor 1; F2-M01 a F2-M05 no Setor 2), necessário para a rotulagem completa do diagrama.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2.2.11 Proteção Contra Descargas Atmosféricas (SPDA) — Complementar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Situação: </w:t>
      </w:r>
      <w:r>
        <w:rPr>
          <w:b/>
          <w:bCs/>
          <w:color w:val="2E75B6"/>
          <w:sz w:val="20"/>
          <w:szCs w:val="20"/>
        </w:rPr>
        <w:t xml:space="preserve">  [A IMPLEMENTAR]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 dimensionamento do SPDA (NBR 5419) não constava como item obrigatório entre os 10 itens exigidos pelo professor, mas é citado neste memorial como recomendação de boa prática para a edificação industrial, dado o porte da área coberta (882,12 m²) e a presença de equipamentos eletrônicos sensíveis (automação da Sala de Controle Elétrico). Recomenda-se, em desenvolvimento futuro do projeto, a elaboração do gerenciamento de risco conforme NBR 5419-2 (por exemplo, com o software Tupan, USP) para definição do nível de proteção e proposição de captores, descidas e malha de aterramento do SPDA, além da especificação de DPS (dispositivos de proteção contra surtos) em todos os quadros de distribuição.</w:t>
      </w:r>
    </w:p>
    <w:p>
      <w:pPr>
        <w:pStyle w:val="Heading1"/>
        <w:shd w:fill="1F4E79" w:val="clear"/>
        <w:spacing w:after="200" w:before="360"/>
      </w:pPr>
      <w:r>
        <w:rPr>
          <w:b/>
          <w:bCs/>
          <w:color w:val="FFFFFF"/>
          <w:sz w:val="24"/>
          <w:szCs w:val="24"/>
        </w:rPr>
        <w:t xml:space="preserve">3. LISTA DE MATERIAIS E EQUIPAMENTOS (ORIENTATIVA)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Relação orientativa dos principais equipamentos e materiais especificados ao longo do projeto. Os quantitativos completos de eletrodutos, eletrocalhas e caixas de passagem dependem da finalização do diagrama unifilar e do detalhamento de rotas físicas (Item 9), não incluídos nesta lista.</w:t>
      </w:r>
    </w:p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3.1 Equipamentos principais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300"/>
        <w:gridCol w:w="21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Equipamento</w:t>
            </w:r>
          </w:p>
        </w:tc>
        <w:tc>
          <w:tcPr>
            <w:tcW w:type="dxa" w:w="43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Modelo/Especificação</w:t>
            </w:r>
          </w:p>
        </w:tc>
        <w:tc>
          <w:tcPr>
            <w:tcW w:type="dxa" w:w="21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Quantidade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Transformador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kVA, 23,1 kV/380 V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elétricos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WEG W22 IR3 Premium IP55 (10 a 30 CV)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Banco de capacitores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kVAr comercial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Disjuntor geral QGBT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A tripolar ajustável, Icu ≥ 15 kA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Luminárias LED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LCN06-E17000830 / LCN05-E8000830 / LCN05-E4000830 / LHT44-E4000840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94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Máquina de solda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Bambozzi NM 250 TURBO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Compressor de ar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Schulz CSL 40BR/250 Bravo, 10 HP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Ar-condicionado split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Midea Springer Xtreme Save (12.000 e 24.000 BTU/h)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Climatizador evaporativo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Ventisol CLIN80 PRO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Balança de precisão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Marte Científica AD5000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Bomba auxiliar (caldeira)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Schneider BC-92 T, 2 CV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Chuveiro elétrico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5.500 W, 220 V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CLP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WEG TPW03-40HT-A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Switch de rede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Intelbras SG 800 Q+ (8 portas Gigabit)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Servidor</w:t>
            </w:r>
          </w:p>
        </w:tc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Dell PowerEdge T140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Nobreak</w:t>
            </w:r>
          </w:p>
        </w:tc>
        <w:tc>
          <w:tcPr>
            <w:tcW w:type="dxa" w:w="43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SMS PRO 1500VA (Bi/Bi)</w:t>
            </w:r>
          </w:p>
        </w:tc>
        <w:tc>
          <w:tcPr>
            <w:tcW w:type="dxa" w:w="21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3"/>
        <w:spacing w:after="100" w:before="200"/>
      </w:pPr>
      <w:r>
        <w:rPr>
          <w:b/>
          <w:bCs/>
          <w:color w:val="2E75B6"/>
          <w:sz w:val="20"/>
          <w:szCs w:val="20"/>
        </w:rPr>
        <w:t xml:space="preserve">3.2 Quadros de distribuição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00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Quadro</w:t>
            </w:r>
          </w:p>
        </w:tc>
        <w:tc>
          <w:tcPr>
            <w:tcW w:type="dxa" w:w="740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QGBT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Quadro geral de baixa tensão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QD-SCE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Sala de Controle Elétrico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QD-FORÇA-1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do Setor 1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QD-FORÇA-2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Motores do Setor 2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QD-GALPÃO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Iluminação/TUG/TUE do galpão de produção</w:t>
            </w:r>
          </w:p>
        </w:tc>
      </w:tr>
      <w:tr>
        <w:tc>
          <w:tcPr>
            <w:tcW w:type="dxa" w:w="26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QD-UTILIDADES</w:t>
            </w:r>
          </w:p>
        </w:tc>
        <w:tc>
          <w:tcPr>
            <w:tcW w:type="dxa" w:w="74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Oficina, Caldeiras, Controle de Qualidade, Armazenamento, Armazém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QD-ADM</w:t>
            </w:r>
          </w:p>
        </w:tc>
        <w:tc>
          <w:tcPr>
            <w:tcW w:type="dxa" w:w="7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Vestiários, corredor, banheiro PNE, depósitos, oficina do supervisor</w:t>
            </w:r>
          </w:p>
        </w:tc>
      </w:tr>
    </w:tbl>
    <w:p>
      <w:pPr>
        <w:pStyle w:val="Heading1"/>
        <w:shd w:fill="1F4E79" w:val="clear"/>
        <w:spacing w:after="200" w:before="360"/>
      </w:pPr>
      <w:r>
        <w:rPr>
          <w:b/>
          <w:bCs/>
          <w:color w:val="FFFFFF"/>
          <w:sz w:val="24"/>
          <w:szCs w:val="24"/>
        </w:rPr>
        <w:t xml:space="preserve">4. PREMISSAS ADOTADAS NO PROJETO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Para o fechamento dos cálculos, foram adotadas as seguintes premissas de projeto: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Eficácia luminosa de 110 lm/W adotada para estimar a potência das luminárias, por falta de ficha técnica real do fabricante Lumicenter;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Fator de demanda de motores = 0,85 usado no quadro de cargas geral (Item 1); o Item 4 já emprega o dado real da Tabela 13 da NDU-001 para a potência absorvida por motor — recomenda-se aplicar explicitamente o FD da Tabela 13 por número de motores simultâneos e comparar com o valor genérico usado no Item 1;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Fatores de demanda de TUG (0,60), chuveiros (0,75) e solda (0,50) são premissas conservadoras, a validar contra tabela específica do material da disciplina;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Perímetros de alguns ambientes estimados a partir das dimensões retangulares dos relatórios LUMISOFT, por ausência de cotas de portas e vãos na planta;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Não foi identificada exigência formal de gerador ou sistema ininterrupto de energia (UPS) para a fábrica como um todo no material da disciplina — apenas o nobreak dedicado à automação da Sala de Controle Elétrico foi especificado;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Comprimentos de circuito estimados por coordenadas reais do CAD multiplicadas por fator de roteamento de 1,25, já que o roteamento físico dos eletrodutos não está desenhado na planta;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Posição física dos quadros QD-GALPÃO, QD-UTILIDADES e QD-ADM estimada no centroide da zona atendida, por não estarem posicionados no CAD original;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Potências de equipamentos de TUE sem modelo definido pelo usuário (ex.: carregador de empilhadeira, bancada industrial da oficina) adotadas por valores típicos de mercado, a confirmar;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Item 5 (curto-circuito): sistema de suprimento em média tensão tratado como barramento infinito (impedância nula) por falta do dado real de curto-circuito da Energisa no ponto de entrega; trecho transformador → QGBT estimado em 10 m com condutor 4×300 mm² em paralelo por fase, ainda não desenhado no diagrama unifilar;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Fator de demanda da edificação para iluminação/TUG: adotado FD = 100% para a área industrial (Nota I, Tabela 5 da NDU-001) e aproximadamente 80–86% para as áreas administrativas, por não existir categoria específica "Indústria" na tabela da concessionária.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Itens a implementar: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Item 8 — Malha de aterramento e equipotencialização;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Item 9 — Diagrama unifilar geral;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Fechamento do mapeamento explícito entre cada motor físico e sua tag de circuito (F1-M01…F1-M04, F2-M01…F2-M05);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Dimensionamento formal do SPDA (NBR 5419), apresentado neste memorial apenas como recomendação de boa prática.</w:t>
      </w:r>
    </w:p>
    <w:p>
      <w:pPr>
        <w:pStyle w:val="Heading1"/>
        <w:shd w:fill="1F4E79" w:val="clear"/>
        <w:spacing w:after="200" w:before="360"/>
      </w:pPr>
      <w:r>
        <w:rPr>
          <w:b/>
          <w:bCs/>
          <w:color w:val="FFFFFF"/>
          <w:sz w:val="24"/>
          <w:szCs w:val="24"/>
        </w:rPr>
        <w:t xml:space="preserve">5. CONCLUSÃO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Implementado: </w:t>
      </w:r>
      <w:r>
        <w:rPr>
          <w:sz w:val="21"/>
          <w:szCs w:val="21"/>
        </w:rPr>
        <w:t xml:space="preserve">setorização de circuitos e quadro de cargas (Item 1), projeto luminotécnico (Item 2), dimensionamento de condutores (Item 3), correção do fator de potência (Item 4), cálculo de correntes de curto-circuito (Item 5), valores de partida dos motores (Item 6) e dispositivos de proteção e seletividade (Item 7).</w:t>
      </w:r>
    </w:p>
    <w:p>
      <w:pPr>
        <w:spacing w:after="160" w:line="276"/>
        <w:jc w:val="both"/>
      </w:pPr>
      <w:r>
        <w:rPr>
          <w:b/>
          <w:bCs/>
          <w:sz w:val="21"/>
          <w:szCs w:val="21"/>
        </w:rPr>
        <w:t xml:space="preserve">A implementar: </w:t>
      </w:r>
      <w:r>
        <w:rPr>
          <w:sz w:val="21"/>
          <w:szCs w:val="21"/>
        </w:rPr>
        <w:t xml:space="preserve">malha de aterramento e equipotencialização (Item 8) e diagrama unifilar geral (Item 9). O dimensionamento do SPDA (NBR 5419), embora não obrigatório, também fica como complemento futuro.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jc w:val="right"/>
    </w:pPr>
    <w:r>
      <w:rPr>
        <w:color w:val="595959"/>
        <w:sz w:val="16"/>
        <w:szCs w:val="16"/>
      </w:rPr>
      <w:t xml:space="preserve">Memorial Descritivo — Sistemas Elétricos — Fábrica de Massas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2026-07-22T03:55:39.616Z</dcterms:created>
  <dcterms:modified xsi:type="dcterms:W3CDTF">2026-07-22T03:55:39.616Z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