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DE TCC - PLANO DE NEGÓCIOS DE UMA LUDERIA PARA O PÚBLICO CASUAL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ESTRUTURA DA PESQUISA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Problema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brasileiro de jogos de tabuleiro está em expansão: os jogos de tabuleiro e cartas passaram de 9,1% para 13,1% das vendas da indústria de brinquedos entre 2017 e 2025 (ABRINQ, 2026). Esse crescimento sustenta um formato de negócio específico: a luderia, estabelecimento que combina alimentação, bebidas e acesso a um acervo de jogos.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luderias brasileiras operam, porém, com uma oferta desenhada para o público hobbyista: acervos extensos, jogos de regras complexas e monitoria especializada. O público casual - o consumidor que vê o jogo como meio de socialização, e não como fim em si mesmo - permanece pouco atendido. No exterior, esse público sustenta o setor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no Reino Unido, 46% dos adultos jogaram jogos de tabuleiro nos últimos seis meses, e 88% esperam de bares uma experiência que não conseguem ter em casa (KAM INSIGHT, 2022).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investimento nesse formato enfrenta, contudo, um problema de evidência. Não há levantamento setorial sobre luderias no Brasil, e as premissas que concentram o risco do negócio - taxa de ocupação e ticket médio - costumam ser estimadas sem fonte. O único estudo de viabilidade identificado sobre o formato analisa um caso isolado (ASAKURA; SILVA; MELLO, 2018).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Questão de pesquisa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luderia em Salvador posicionada para o público casual é viável, e sob quais condições de ponto, preço e ocupação?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Objetivo geral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a viabilidade mercadológica, operacional e econômico-financeira de uma luderia em Salvador posicionada para o público casual, a partir de premissas sustentadas por dados secundários públicos e por observação direta.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Objetivos específicos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Analisar o mercado e a concorrência de luderias nas 14 metrópoles brasileiras, com destaque para Salvador, quanto a avaliação, preço e cardápio.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Caracterizar o comportamento de consumo do público das luderias.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Definir o posicionamento e o composto de marketing a partir dos aspectos que mais pesam na satisfação dos clientes.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Estimar a demanda, a taxa de ocupação e o giro de mesas a partir de observação direta e de avaliações calibradas.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Dimensionar a estrutura operacional e os requisitos jurídicos do negócio.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Projetar investimentos, receitas, custos e indicadores de viabilidade a partir de premissas rastreáveis.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Identificar as premissas críticas e os pontos de ruptura do negócio.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Propor um plano de contingência e as validações necessárias antes do investimento.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Pressupostos e hipóteses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Pressupostos</w:t>
      </w:r>
      <w:r>
        <w:rPr>
          <w:rFonts w:ascii="Arial" w:cs="Arial" w:eastAsia="Arial" w:hAnsi="Arial"/>
          <w:sz w:val="24"/>
          <w:szCs w:val="24"/>
        </w:rPr>
        <w:t xml:space="preserve"> (orientam o desenho, verificados ao longo da análise):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P1:</w:t>
      </w:r>
      <w:r>
        <w:rPr>
          <w:rFonts w:ascii="Arial" w:cs="Arial" w:eastAsia="Arial" w:hAnsi="Arial"/>
          <w:sz w:val="24"/>
          <w:szCs w:val="24"/>
        </w:rPr>
        <w:t xml:space="preserve"> o público das luderias é majoritariamente casual, pois quem tem o jogo como fim tende a formar acervo e espaço de jogo próprios.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P2:</w:t>
      </w:r>
      <w:r>
        <w:rPr>
          <w:rFonts w:ascii="Arial" w:cs="Arial" w:eastAsia="Arial" w:hAnsi="Arial"/>
          <w:sz w:val="24"/>
          <w:szCs w:val="24"/>
        </w:rPr>
        <w:t xml:space="preserve"> a taxa de ocupação e o ticket médio concentram a maior parte da incerteza sobre o resultado financeiro.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P3:</w:t>
      </w:r>
      <w:r>
        <w:rPr>
          <w:rFonts w:ascii="Arial" w:cs="Arial" w:eastAsia="Arial" w:hAnsi="Arial"/>
          <w:sz w:val="24"/>
          <w:szCs w:val="24"/>
        </w:rPr>
        <w:t xml:space="preserve"> a velocidade de avaliações, calibrada por observação direta, estima o fluxo relativo de clientes com faixa de incerteza aceitável para a decisão.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Hipóteses confirmatórias</w:t>
      </w:r>
      <w:r>
        <w:rPr>
          <w:rFonts w:ascii="Arial" w:cs="Arial" w:eastAsia="Arial" w:hAnsi="Arial"/>
          <w:sz w:val="24"/>
          <w:szCs w:val="24"/>
        </w:rPr>
        <w:t xml:space="preserve"> (registradas antes da análise e testadas na metade confirmatória da base):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H1 - Aspectos da experiência:</w:t>
      </w:r>
      <w:r>
        <w:rPr>
          <w:rFonts w:ascii="Arial" w:cs="Arial" w:eastAsia="Arial" w:hAnsi="Arial"/>
          <w:sz w:val="24"/>
          <w:szCs w:val="24"/>
        </w:rPr>
        <w:t xml:space="preserve"> menções negativas a atendimento e a ambiente associam-se a uma redução da nota maior que a de menções negativas a comida e bebida, controlado o estabelecimento.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H3 - Preço:</w:t>
      </w:r>
      <w:r>
        <w:rPr>
          <w:rFonts w:ascii="Arial" w:cs="Arial" w:eastAsia="Arial" w:hAnsi="Arial"/>
          <w:sz w:val="24"/>
          <w:szCs w:val="24"/>
        </w:rPr>
        <w:t xml:space="preserve"> a proporção de avaliações com reclamação de preço difere entre as políticas de cobrança (couvert, por hora, consumação mínima).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H5 - Ticket:</w:t>
      </w:r>
      <w:r>
        <w:rPr>
          <w:rFonts w:ascii="Arial" w:cs="Arial" w:eastAsia="Arial" w:hAnsi="Arial"/>
          <w:sz w:val="24"/>
          <w:szCs w:val="24"/>
        </w:rPr>
        <w:t xml:space="preserve"> a mediana dos valores por pessoa citados nas avaliações fica dentro da faixa da cesta de cardápio do próprio estabelecimento.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hipóteses H2 (comida) e H4 (jornada da ocasião) foram retiradas na emenda 2 do registro prévio, junto com o histórico dos avaliadores e a comparação entre modelos de alimentação e bebidas. Os códigos das hipóteses mantidas não mudam.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Análises exploratórias</w:t>
      </w:r>
      <w:r>
        <w:rPr>
          <w:rFonts w:ascii="Arial" w:cs="Arial" w:eastAsia="Arial" w:hAnsi="Arial"/>
          <w:sz w:val="24"/>
          <w:szCs w:val="24"/>
        </w:rPr>
        <w:t xml:space="preserve"> (sem hipótese prévia): ranking de reclamações; relação entre menções a comida e nota; jogos citados; velocidade de avaliações e calibração do fluxo.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QUADRO TEÓRICO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01 -</w:t>
      </w:r>
      <w:r>
        <w:rPr>
          <w:rFonts w:ascii="Arial" w:cs="Arial" w:eastAsia="Arial" w:hAnsi="Arial"/>
          <w:sz w:val="20"/>
          <w:szCs w:val="20"/>
        </w:rPr>
        <w:t xml:space="preserve"> Termos e conceitos adotados na pesquisa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4716"/>
        <w:gridCol w:w="2723"/>
      </w:tblGrid>
      <w:tr>
        <w:trPr>
          <w:cantSplit/>
          <w:tblHeader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Definição adotada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negócios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que descreve o negócio, seu mercado, sua operação e suas projeções financeiras, usado para orientar a decisão de investimento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DORNELAS [A VERIFICAR]; SEBRAE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que verifica, por demonstrações projetadas e indicadores, se o investimento gera retorno financeiro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ASAKURA; SILVA; MELLO (2018)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Estabelecimento de alimentação e bebidas que oferece acesso a um acervo de jogos de tabuleiro e cartas como parte central da experiência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hobbyista × público casual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Hobbyista: envolvimento contínuo, busca por jogos complexos, jogo como fim. Casual: participação pontual, jogo como meio de socialização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Adaptado de STEBBINS (lazer sério × casual)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Segmento da hospitalidade que combina atividade de jogo, alimentação e bebidas em uma ocasião social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 INSIGHT (2022)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 que define o posicionamento pelos atributos a eliminar, reduzir, elevar e criar em relação ao padrão do setor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KIM; MAUBORGNE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Obrigatórios: sua ausência gera insatisfação, sua presença não gera destaque. Atrativos: sua presença gera satisfação, sua ausência não gera reclamação. Base da análise de penalidade e recompensa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KANO et al. (1984)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 competitivas; PESTEL; SWOT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da estrutura competitiva, do macroambiente e da posição do negócio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PORTER [A VERIFICAR]; SEBRAE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sistemática de textos em categorias definidas por regras explícitas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BARDIN (2011)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Concordância entre codificadores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Grau de acordo entre duas codificações independentes, descontado o acordo esperado ao acaso (kappa)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COHEN (1960)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prévio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datado de hipóteses, variáveis e análises antes do acesso aos dados, que separa resultados confirmatórios de exploratórios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descobertas falsas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esperada de falsos positivos entre os resultados significativos; controlada em testes múltiplos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BENJAMINI; HOCHBERG (1995)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avaliações com texto por mês de um estabelecimento, no recorte das publicadas até "um mês atrás"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dos lugares disponíveis efetivamente ocupados em um período de funcionamento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de mesa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grupos que ocupam uma mesa em um período, inverso da permanência média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Nível de evidência (N1-N6)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confiabilidade das premissas: N1 cotação, contrato ou tabela oficial; N2 dado público estruturado; N3 benchmark medido pelo autor; N4 relatório setorial; N5 coleta primária comportamental; N6 estimativa do autor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 e ponto de equilíbrio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ASSAF NETO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 crítica e ponto de ruptura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 crítica: a de maior impacto no VPL na análise de sensibilidade. Ponto de ruptura: valor da premissa que torna o VPL igual a zero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 com base em ASSAF NETO [A VERIFICAR]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CARACTERIZAÇÃO METODOLÓGICA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Tipo e abordagem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Quanto à natureza, a pesquisa é aplicada. Quanto aos objetivos, é descritivo-exploratória, com hipóteses confirmatórias registradas previamente. A abordagem é quantitativa, com análise de conteúdo. O delineamento é transversal.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usa dados secundários públicos e uma coleta primária comportamental: a contagem direta de ocupação, com leitura do número da nota fiscal. Questionários não são usados: esses instrumentos geram dados atitudinais e estão sujeitos a vieses de amostragem e de não-resposta. Cada premissa do plano recebe um nível de evidência (N1-N6), e as premissas críticas são testadas por triangulação e análise de sensibilidade.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Instrumentos e procedimentos de coleta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02 -</w:t>
      </w:r>
      <w:r>
        <w:rPr>
          <w:rFonts w:ascii="Arial" w:cs="Arial" w:eastAsia="Arial" w:hAnsi="Arial"/>
          <w:sz w:val="20"/>
          <w:szCs w:val="20"/>
        </w:rPr>
        <w:t xml:space="preserve"> Instrumentos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975"/>
        <w:gridCol w:w="3233"/>
        <w:gridCol w:w="1798"/>
      </w:tblGrid>
      <w:tr>
        <w:trPr>
          <w:cantSplit/>
          <w:tblHeader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- Estabelecimentos e cardápios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 (extração manual); site, Instagram e cardápio digital; OpenStreetMap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termo nas capitais, filtro e curadoria manual; recorte de estabelecimentos com mais de 100 avaliações nas 14 metrópoles da REGIC (IBGE); notas por aspecto (comida, ambiente, serviço) e localização em shopping, por extração manual; registro de preço e acervo; shoppings e estações de metrô em 500 m e 1.000 m; itens e preços do cardápio por categoria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Estabelecimentos coletados (164 candidatos no recorte, curadoria pendente; 100 a 150 esperados); cardápios previstos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- Avaliações recentes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pública de avaliações no Google Maps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integral de todas as avaliações com texto publicadas até "um mês atrás", por estabelecimento, com data da coleta registrada; pseudonimização do autor na coleta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Previsto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- Contagem direta de ocupação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padronizado de observação; nota fiscal (NFC-e)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Duas unidades da São Jogue (Salvador); 4 visitas de 3 horas, do lado de fora: 2 sorteadas no sábado, 03/10/2026, com hora de início sorteada (12h00 a 19h00) e no mínimo 2 horas entre os inícios das duas unidades, e 2 de retorno 15 dias depois (domingo, 18/10/2026), na mesma unidade e hora; registro de entradas e saídas de grupos, contagem a cada 30 minutos e número da NFC-e no início e no fim de cada visita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Previsto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- Bases públicas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2022, estimativas populacionais, POF, PNAD Contínua, PAS, CONCLA); Novo CAGED; FipeZap; LC 123/2006; Banco Central (SGS e Focus)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das variáveis para Salvador (por bairro, quando disponível) e para as demais capitais, como comparação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Coletado em 14/09/2026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- Jogos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da Ludopedia e raspagem; BoardGameGeek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Contadores de usuário e características; 563 jogos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Coletado; pode ser retirado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análise, as hipóteses, variáveis e técnicas são registradas em documento datado no repositório. Os avaliadores são sorteados em uma metade exploratória, usada para construir e validar o dicionário de codificação, e uma metade confirmatória, usada uma única vez para testar as hipóteses. O dicionário é validado em 200 avaliações da metade exploratória, codificadas manualmente duas vezes: pelo autor e por uma segunda pessoa com o manual de codificação. Na falta da segunda pessoa, o autor recodifica a amostra após no mínimo 14 dias, sem consultar a primeira codificação. O critério de aceitação é kappa e F1 iguais ou superiores a 0,70 por variável.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público. O nome do usuário é substituído por código aleatório na coleta, e as demais variáveis não permitem identificação. O trabalho divulga apenas dados processados. A contagem direta é observação agregada, feita do lado de fora de espaço comercial aberto ao público, sem fotos nem registro de características individuais (Lei nº 13.709/2018; Resolução CNS nº 510/2016).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QUADRO DE ITENS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pesquisa não usa questionários, os itens correspondem às variáveis registradas em cada instrumento.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03 -</w:t>
      </w:r>
      <w:r>
        <w:rPr>
          <w:rFonts w:ascii="Arial" w:cs="Arial" w:eastAsia="Arial" w:hAnsi="Arial"/>
          <w:sz w:val="20"/>
          <w:szCs w:val="20"/>
        </w:rPr>
        <w:t xml:space="preserve"> Itens dos instrumentos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1995"/>
        <w:gridCol w:w="1632"/>
        <w:gridCol w:w="1814"/>
        <w:gridCol w:w="2905"/>
      </w:tblGrid>
      <w:tr>
        <w:trPr>
          <w:cantSplit/>
          <w:tblHeader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 ou categoria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Mensuração ou codificação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no Google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percebido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de avaliações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cobrança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Categórica: couvert, por hora, consumação mínima, outra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declarado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hobbyista × casual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de títulos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Shoppings e estações de metrô no entorno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500 m e 1.000 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 oferecidos no cardápio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Variedade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Presença por categoria (bebidas, entradas, principais, sobremesas); contagem de itens; contagem de itens que exigem preparo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de cada item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A08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Couvert ou taxa de jogo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A09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médias por aspecto (comida, ambiente, serviço)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 por atributo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5, por aspecto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A10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por semana; dias e horários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e localização em shopping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Metrópole e bairro; binária (shopping ou rua)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da avaliação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Aspectos mencionados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da experiência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atrativos; análise de conteúdo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Binária por aspecto: ambiente, barulho, atendimento, explicação dos jogos, acervo, estado das peças, comida, bebida, preço, limpeza, conforto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Polaridade de cada aspecto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 por atributo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Categórica: positiva, negativa, neutra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mesa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em R$ citados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R$; tipo: por pessoa, conta total, item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citados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hobbyista × casual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Binária por jogo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relativa e data da coleta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texto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e saída de cada grupo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Fluxo; permanência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ocupação; giro de mesa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Horário; pessoas; observação censurada sinalizada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de pessoas no interior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 cada 30 minutos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de cada grupo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mesa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disponíveis e ocupadas visíveis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Capacidade; ocupação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única (disponíveis); a cada 30 minutos (ocupadas, quando visíveis)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NFC-e no início e no fim da visita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sequencial; notas por dia e pessoas por nota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Unidade, data, tipo de visita, início e fim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Estrato da visita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Categórica; horário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 e preços aplicados na data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efetivo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por bairro de Salvador e por município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mercado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média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de compra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alimentação fora de casa e recreação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potencial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 por família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Receita, custos e pessoal em serviços de alimentação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setorial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R$;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Remuneração média por ocupação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de pessoal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fixo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R$/m²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 e CNAE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Tributos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receita; código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E08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desconto e inflação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ao ano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Contadores de usuário (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qt_tem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qt_teve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qt_quer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qt_favorito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Engajamento do jogo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hobbyista × casual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Contagem; taxas derivadas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Duração, idade mínima, número de jogadores, mecânicas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 hobbyista × casual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Minutos; anos; contagem; categórica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MODELO DE ANÁLISE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04 -</w:t>
      </w:r>
      <w:r>
        <w:rPr>
          <w:rFonts w:ascii="Arial" w:cs="Arial" w:eastAsia="Arial" w:hAnsi="Arial"/>
          <w:sz w:val="20"/>
          <w:szCs w:val="20"/>
        </w:rPr>
        <w:t xml:space="preserve"> Modelo de análise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632"/>
        <w:gridCol w:w="3265"/>
        <w:gridCol w:w="1816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Dimensão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Variáveis ou categorias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Analisar o mercado e a concorrência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Concorrência; praça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percebido; porte; preço; produto; variedade; entorno; tipo de ponto; horário; tamanho do mercado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A01-A11, E01, E02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Caracterizar o comportamento de consumo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da experiência; pessoas por mesa; gasto por pessoa; poder de compra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B02-B05, D03, E02, E03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Definir posicionamento e composto de marketing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Posicionamento; produto; preço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da experiência; satisfação por atributo; preço; variedade; acervo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A03, A06-A09, B01-B03, B06, F01-F02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Estimar demanda, ocupação e giro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ocupação; transações; permanência; pessoas por mesa; velocidade de avaliações; tamanho do mercado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B04, B07, D01-D06, E01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Dimensionar operação e requisitos jurídicos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Operação; aspectos legais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Reclamações operacionais; capacidade; custo de pessoal; tributos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B02-B03, D01, D03-D04, E05, E07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Projetar investimentos, receitas, custos e indicadores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econômico-financeira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Ticket; preço efetivo; custos; benchmark setorial; taxa de desconto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A07-A08, B05, D07, E03-E08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Identificar premissas críticas e pontos de ruptura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 das premissas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Premissas do modelo financeiro com faixas e nível de evidência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itens que alimentam premissas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Propor contingência e validações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 do negócio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Premissas críticas; limitações da evidência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Saídas do objetivo 7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TÉCNICAS DE ANÁLISE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05 -</w:t>
      </w:r>
      <w:r>
        <w:rPr>
          <w:rFonts w:ascii="Arial" w:cs="Arial" w:eastAsia="Arial" w:hAnsi="Arial"/>
          <w:sz w:val="20"/>
          <w:szCs w:val="20"/>
        </w:rPr>
        <w:t xml:space="preserve"> Técnicas de análise por objetivo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Estatística descritiva por metrópole, com Salvador em destaque; comparação de cardápios (preço, variedade e itens); mapa de concorrentes; Cinco Forças; PESTEL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Distribuição do tamanho dos grupos (citado e observado) e dos valores por pessoa citados; perfil demográfico e de renda de Salvador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 com dicionário validado (kappa e F1); análise de penalidade e recompensa; regressão da nota com efeito fixo por estabelecimento (H1); comparação da proporção de reclamações de preço entre políticas de cobrança (H3); grade ERRC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hora e permanência; notas fiscais emitidas em 15 dias × pessoas por nota; modelo de calibração (visitantes estimados na São Jogue ÷ velocidade de avaliações → fluxo dos demais concorrentes); resultados em faixa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Ranking de reclamações com intervalo de confiança; dimensionamento de mesas e equipe; levantamento documental da legislação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Cesta de consumo por pessoa calibrada pelos valores citados (H5) e checada contra a POF; árvore de direcionadores; registro de premissas com faixas; DRE e fluxo de caixa projetados; VPL, TIR, payback descontado e ponto de equilíbrio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sensibilidade (gráfico tornado); ponto de ruptura; simulação de Monte Carlo (opcional)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SWOT; cenários pessimista, provável e otimista; matriz de riscos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Controles aplicados a todos os testes: registro prévio com divisão da base em metade exploratória e confirmatória; correção de Benjamini-Hochberg; tamanho de efeito junto ao valor-p; análise de sensibilidade com e sem os estabelecimentos de maior volume.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CONTRIBUIÇÕES ESPERADAS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Contribuições acadêmicas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produz o primeiro mapeamento das luderias estabelecidas nas 14 metrópoles brasileiras, com dados de avaliação, preço e cardápio. Além disso, propõe um método de plano de negócios baseado em evidências: premissas classificadas por nível de evidência, estimativa de ocupação por avaliações calibradas por observação direta e hipóteses registradas antes da análise. Esse método responde a uma fragilidade recorrente de planos de negócios: projeções apoiadas em premissas sem fonte e resultados sem controle de achados ao acaso.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Contribuições práticas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orienta decisões concretas de investimento: a escolha do bairro em Salvador, o modelo de cobrança, o dimensionamento de mesas e a composição do cardápio. O registro de premissas e o modelo financeiro dirigido por parâmetros permitem ao empreendedor atualizar as projeções à medida que novos dados surgem. Os pontos de ruptura indicam os valores mínimos de ocupação e ticket que sustentam o negócio e servem de indicadores de monitoramento após a abertura.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é replicável por outros negócios de lazer em fase de estruturação, que enfrentam a mesma ausência de dados sobre demanda e concorrência. O repositório de coleta e análise, o dicionário de dados e o site de apresentação ficam disponíveis como produto de consulta para empreendedores e pesquisadores do setor.</w:t>
      </w:r>
    </w:p>
    <w:p>
      <w:pPr>
        <w:pStyle w:val="Heading1"/>
        <w:pageBreakBefore/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Associação Brasileira dos Fabricantes de Brinquedos,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[Completar data de acesso.]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BENJAMINI, Yoav; HOCHBERG, Yosef. Controlling the false discovery rate: a practical and powerful approach to multiple testing.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Royal Statistical Society: Series B</w:t>
      </w:r>
      <w:r>
        <w:rPr>
          <w:rFonts w:ascii="Arial" w:cs="Arial" w:eastAsia="Arial" w:hAnsi="Arial"/>
          <w:sz w:val="24"/>
          <w:szCs w:val="24"/>
        </w:rPr>
        <w:t xml:space="preserve">, 1995.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1960.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[Completar data de acesso.]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Obras marcadas [A VERIFICAR] no Quadro 01 constam em </w:t>
      </w:r>
      <w:r>
        <w:rPr>
          <w:rFonts w:ascii="Arial" w:cs="Arial" w:eastAsia="Arial" w:hAnsi="Arial"/>
          <w:sz w:val="24"/>
          <w:szCs w:val="24"/>
        </w:rPr>
        <w:t xml:space="preserve">_instrucoes/2_ref-teorico.md</w:t>
      </w:r>
      <w:r>
        <w:rPr>
          <w:rFonts w:ascii="Arial" w:cs="Arial" w:eastAsia="Arial" w:hAnsi="Arial"/>
          <w:sz w:val="24"/>
          <w:szCs w:val="24"/>
        </w:rPr>
        <w:t xml:space="preserve"> e devem ser conferidas antes da entrega.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2026-10-02T23:38:06.862Z</dcterms:created>
  <dcterms:modified xsi:type="dcterms:W3CDTF">2026-10-02T23:38:06.863Z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