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CRONOGRAMA INDIVIDUAL - TCC LUDERIA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Atualizado em 02/10/2026.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Estrutura e objetivos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trabalho é um plano de negócios baseado em evidências. Ele segue a estrutura de um plano de negócios: análise de mercado, marketing, operação, aspectos jurídicos, finanças e riscos. A diferença está no método: cada decisão do plano é ligada a um dado, e cada dado a uma fonte e a um nível de confiança.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negócio analisado é uma luderia em Salvador, estabelecimento que combina comida, bebida e um acervo de jogos de tabuleiro. O plano mira o público casual: pessoas que usam o jogo como forma de socializar, e não como hobby. As luderias das 14 metrópoles brasileiras servem de referência de preço, satisfação e movimento.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 geral:</w:t>
      </w:r>
      <w:r>
        <w:rPr>
          <w:rFonts w:ascii="Arial" w:cs="Arial" w:eastAsia="Arial" w:hAnsi="Arial"/>
          <w:sz w:val="20"/>
          <w:szCs w:val="20"/>
        </w:rPr>
        <w:t xml:space="preserve"> avaliar se uma luderia em Salvador voltada ao público casual é viável do ponto de vista de mercado, de operação e financeiro, com premissas sustentadas por dados públicos e por observação direta.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Analisar o mercado e a concorrência de luderias nas 14 metrópoles brasileiras, com destaque para Salvador: avaliação dos clientes, preço e cardápio.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Caracterizar o comportamento de consumo do público das luderias.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Definir o posicionamento e o composto de marketing a partir dos aspectos que mais pesam na satisfação dos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Estimar a demanda, a taxa de ocupação e o giro de mesas.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Dimensionar a estrutura operacional e os requisitos jurídicos do negócio.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Projetar investimentos, receitas, custos e indicadores de viabilidade.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Identificar as premissas que mais afetam o resultado e os valores a partir dos quais o negócio deixa de ser viável.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Propor um plano de contingência e as validações necessárias antes do investimento.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Pressupostos e hipóteses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Os pressupostos orientam o desenho da pesquisa e são verificados ao longo da análise: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P1:</w:t>
      </w:r>
      <w:r>
        <w:rPr>
          <w:rFonts w:ascii="Arial" w:cs="Arial" w:eastAsia="Arial" w:hAnsi="Arial"/>
          <w:sz w:val="20"/>
          <w:szCs w:val="20"/>
        </w:rPr>
        <w:t xml:space="preserve"> o público das luderias é majoritariamente casual. Quem tem o jogo como hobby tende a montar acervo e espaço de jogo em casa.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P2:</w:t>
      </w:r>
      <w:r>
        <w:rPr>
          <w:rFonts w:ascii="Arial" w:cs="Arial" w:eastAsia="Arial" w:hAnsi="Arial"/>
          <w:sz w:val="20"/>
          <w:szCs w:val="20"/>
        </w:rPr>
        <w:t xml:space="preserve"> a taxa de ocupação e o ticket médio concentram a maior parte da incerteza sobre o resultado financeiro.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P3:</w:t>
      </w:r>
      <w:r>
        <w:rPr>
          <w:rFonts w:ascii="Arial" w:cs="Arial" w:eastAsia="Arial" w:hAnsi="Arial"/>
          <w:sz w:val="20"/>
          <w:szCs w:val="20"/>
        </w:rPr>
        <w:t xml:space="preserve"> o ritmo de novas avaliações no Google, calibrado pela contagem de ocupação e pelas notas fiscais, estima o fluxo de clientes dos concorrentes com margem de erro aceitável para a decisão.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hipóteses foram registradas em 14/09/2026 e ajustadas em 18/09/2026 (emenda 2), antes da coleta das avaliações. Elas são testadas uma única vez, em uma parte da base separada para esse fim. Os códigos seguem o registro prévio: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H1 - Atendimento:</w:t>
      </w:r>
      <w:r>
        <w:rPr>
          <w:rFonts w:ascii="Arial" w:cs="Arial" w:eastAsia="Arial" w:hAnsi="Arial"/>
          <w:sz w:val="20"/>
          <w:szCs w:val="20"/>
        </w:rPr>
        <w:t xml:space="preserve"> reclamações sobre o atendimento e o ambiente reduzem mais a nota do cliente do que reclamações sobre comida e bebida.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H3 - Preço:</w:t>
      </w:r>
      <w:r>
        <w:rPr>
          <w:rFonts w:ascii="Arial" w:cs="Arial" w:eastAsia="Arial" w:hAnsi="Arial"/>
          <w:sz w:val="20"/>
          <w:szCs w:val="20"/>
        </w:rPr>
        <w:t xml:space="preserve"> a proporção de reclamações de preço muda conforme a forma de cobrança (couvert, cobrança por hora ou consumação mínima).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H5 - Ticket:</w:t>
      </w:r>
      <w:r>
        <w:rPr>
          <w:rFonts w:ascii="Arial" w:cs="Arial" w:eastAsia="Arial" w:hAnsi="Arial"/>
          <w:sz w:val="20"/>
          <w:szCs w:val="20"/>
        </w:rPr>
        <w:t xml:space="preserve"> o gasto por pessoa citado nas avaliações fica dentro da faixa calculada a partir dos cardápios do mesmo estabelecimento.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notas são comparadas dentro de cada estabelecimento. Assim, a diferença de nível entre as luderias não interfere no teste.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Variáveis e instrumentos de coleta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3"/>
        <w:gridCol w:w="3848"/>
        <w:gridCol w:w="3573"/>
        <w:gridCol w:w="3576"/>
      </w:tblGrid>
      <w:tr>
        <w:trPr>
          <w:cantSplit/>
          <w:tblHeader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 dos dados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Instrumento de coleta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avaliações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porte dos estabelecimentos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geral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 satisfação dos clientes dos estabelecimentos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para comida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peso da comida na avaliação geral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(notas por aspecto nas avaliações)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para ambiente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peso do ambiente na avaliação geral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(notas por aspecto nas avaliações)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média para serviço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peso do atendimento na avaliação geral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(notas por aspecto nas avaliações)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Itens do cardápio que precisam de preparo (sem contar itens prontos, como balas, refrigerantes e água)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 complexidade da cozinha dos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Cardápio digital, site e Instagram de cada estabelecimento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Aspectos mencionados nas avaliações e sua polaridade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o que pesa na satisfação e as principais reclamações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Cópia das avaliações e codificação por dicionário de termos validado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Valores em R$ citados nas avaliações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gasto por pessoa e o ticket médio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Codificação por dicionário de termos validado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 grupo citado nas avaliações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as pessoas por mesa nos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Codificação por dicionário de termos validado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Velocidade de avaliações (avaliações com texto por mês)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fluxo de clientes dos concorrentes, calibrado pela contagem na São Jogue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Maps: todas as avaliações com texto publicadas até "um mês atrás", por estabelecimento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Cálculo: avaliações com texto do recorte ÷ duração da janela, a partir da data da coleta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Entradas e saídas dos grupos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fluxo de pessoas por hora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depois, com registro contínuo na porta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da nota fiscal (NFC-e) no início e no fim de cada visita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as vendas entre a visita sorteada e a de retorno e as pessoas por nota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da nota emitida em compra própria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disponíveis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Calcular a taxa de ocupação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única por unidade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ocupadas (quando visíveis de fora)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 taxa de ocupação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depois, com contagem a cada 30 minutos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Tamanho dos grupos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as pessoas por mesa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depois, no registro de entrada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dos grupos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Medir o giro de mesas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depois: horário de entrada e saída de cada grupo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População de Salvador, por bairro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Dimensionar o público potencial e escolher o bairro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(Censo 2022 e estimativas populacionais)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Renda em Salvador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Dimensionar o mercado e comparar o poder de compra com as demais metrópoles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(Censo 2022 e PNAD Contínua)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das famílias com alimentação fora de casa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Conferir o ticket médio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 (Pesquisa de Orçamentos Familiares 2017–2018), corrigido pelo IPCA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 de cobrança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os formatos de cobrança dos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Site, Instagram e cardápio digital de cada estabelecimento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do couvert ou da taxa de jogo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o preço de entrada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Site, Instagram e cardápio digital de cada estabelecimento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Preços da cesta fixa (bebida, lanche e sobremesa)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os preços e estimar o ticket médio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Cardápio digital, site, Instagram e fotos do cardápio no Google Maps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manual em planilha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Horários mais movimentados (pessoas por hora)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o horário de funcionamento e a escala da equipe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Jogue, as duas unidades em Salvador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Formulário de observação, do lado de fora: 2 visitas sorteadas e 2 de retorno 15 dias depois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Horário de funcionamento (horas por semana)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dias e horários de funcionamento dos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Localizar os concorrentes e atribuir metrópole e bairro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Places API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Dentro de shopping (sim ou não)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Comparar os tipos de ponto (shopping ou rua)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manual no Google Maps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Shoppings nas proximidades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Avaliar a localização dos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automática em raios de 500 m e 1.000 m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Estações de metrô nas proximidades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Avaliar a localização dos concorrentes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Contagem automática em raios de 500 m e 1.000 m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Salário de admissão por ocupação em Salvador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custo de pessoal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Novo CAGED (Ministério do Trabalho e Emprego)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por m² em Salvador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 custo de ocupação do imóvel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Índice FipeZap de locação comercial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Alíquotas do Simples Nacional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Estimar os tributos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 Complementar nº 123/2006 e anexos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à legislação</w:t>
            </w:r>
          </w:p>
        </w:tc>
      </w:tr>
      <w:tr>
        <w:trPr>
          <w:cantSplit/>
          <w:tblHeader w:val="false"/>
        </w:trPr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e IPCA projetados</w:t>
            </w:r>
          </w:p>
        </w:tc>
        <w:tc>
          <w:tcPr>
            <w:tcW w:type="dxa" w:w="38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a taxa de desconto e a inflação do modelo financeiro</w:t>
            </w:r>
          </w:p>
        </w:tc>
        <w:tc>
          <w:tcPr>
            <w:tcW w:type="dxa" w:w="3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Central (SGS e Boletim Focus)</w:t>
            </w:r>
          </w:p>
        </w:tc>
        <w:tc>
          <w:tcPr>
            <w:tcW w:type="dxa" w:w="35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das bases públicas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Situação em 18/09/2026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6"/>
        <w:gridCol w:w="8014"/>
      </w:tblGrid>
      <w:tr>
        <w:trPr>
          <w:cantSplit/>
          <w:tblHeader/>
        </w:trPr>
        <w:tc>
          <w:tcPr>
            <w:tcW w:type="dxa" w:w="6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8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6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Introdução (cap. 1)</w:t>
            </w:r>
          </w:p>
        </w:tc>
        <w:tc>
          <w:tcPr>
            <w:tcW w:type="dxa" w:w="8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Rascunho concluído</w:t>
            </w:r>
          </w:p>
        </w:tc>
      </w:tr>
      <w:tr>
        <w:trPr>
          <w:cantSplit/>
          <w:tblHeader w:val="false"/>
        </w:trPr>
        <w:tc>
          <w:tcPr>
            <w:tcW w:type="dxa" w:w="6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prévio das hipóteses</w:t>
            </w:r>
          </w:p>
        </w:tc>
        <w:tc>
          <w:tcPr>
            <w:tcW w:type="dxa" w:w="8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Concluído em 14/09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Emenda 2 em 18/09</w:t>
            </w:r>
          </w:p>
        </w:tc>
      </w:tr>
      <w:tr>
        <w:trPr>
          <w:cantSplit/>
          <w:tblHeader w:val="false"/>
        </w:trPr>
        <w:tc>
          <w:tcPr>
            <w:tcW w:type="dxa" w:w="6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Bases públicas (IBGE, CAGED, FipeZap, Simples Nacional, Banco Central)</w:t>
            </w:r>
          </w:p>
        </w:tc>
        <w:tc>
          <w:tcPr>
            <w:tcW w:type="dxa" w:w="8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Coletadas e tratadas em 14/09</w:t>
            </w:r>
          </w:p>
        </w:tc>
      </w:tr>
      <w:tr>
        <w:trPr>
          <w:cantSplit/>
          <w:tblHeader w:val="false"/>
        </w:trPr>
        <w:tc>
          <w:tcPr>
            <w:tcW w:type="dxa" w:w="6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dos estabelecimentos concorrentes</w:t>
            </w:r>
          </w:p>
        </w:tc>
        <w:tc>
          <w:tcPr>
            <w:tcW w:type="dxa" w:w="8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Concluída: 737 candidatos nas capitais e em suas regiões metropolitanas</w:t>
            </w:r>
          </w:p>
        </w:tc>
      </w:tr>
      <w:tr>
        <w:trPr>
          <w:cantSplit/>
          <w:tblHeader w:val="false"/>
        </w:trPr>
        <w:tc>
          <w:tcPr>
            <w:tcW w:type="dxa" w:w="6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Seleção final dos estabelecimentos a analisar</w:t>
            </w:r>
          </w:p>
        </w:tc>
        <w:tc>
          <w:tcPr>
            <w:tcW w:type="dxa" w:w="8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andamento: recorte de 164 candidatos com mais de 100 avaliações nas 14 metrópoles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Falta a curadoria manual (100 a 150 esperados)</w:t>
            </w:r>
          </w:p>
        </w:tc>
      </w:tr>
      <w:tr>
        <w:trPr>
          <w:cantSplit/>
          <w:tblHeader w:val="false"/>
        </w:trPr>
        <w:tc>
          <w:tcPr>
            <w:tcW w:type="dxa" w:w="65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Avaliações, cardápios e contagem de ocupação</w:t>
            </w:r>
          </w:p>
        </w:tc>
        <w:tc>
          <w:tcPr>
            <w:tcW w:type="dxa" w:w="8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iniciados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Etapas que definem o prazo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Cinco etapas condicionam o restante do cronograma: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Coleta das avaliações do último mês.</w:t>
      </w:r>
      <w:r>
        <w:rPr>
          <w:rFonts w:ascii="Arial" w:cs="Arial" w:eastAsia="Arial" w:hAnsi="Arial"/>
          <w:sz w:val="20"/>
          <w:szCs w:val="20"/>
        </w:rPr>
        <w:t xml:space="preserve"> Todos os estabelecimentos são coletados no menor intervalo possível, para que a janela de um mês seja a mesma para todos. Termina até 27/09.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Validação da codificação das avaliações.</w:t>
      </w:r>
      <w:r>
        <w:rPr>
          <w:rFonts w:ascii="Arial" w:cs="Arial" w:eastAsia="Arial" w:hAnsi="Arial"/>
          <w:sz w:val="20"/>
          <w:szCs w:val="20"/>
        </w:rPr>
        <w:t xml:space="preserve"> A mesma amostra de 200 avaliações é codificada duas vezes, com intervalo mínimo de 14 dias. A primeira codificação termina em 02/10; a segunda começa em 16/10.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Emenda ao registro prévio.</w:t>
      </w:r>
      <w:r>
        <w:rPr>
          <w:rFonts w:ascii="Arial" w:cs="Arial" w:eastAsia="Arial" w:hAnsi="Arial"/>
          <w:sz w:val="20"/>
          <w:szCs w:val="20"/>
        </w:rPr>
        <w:t xml:space="preserve"> Os ajustes feitos na parte exploratória da base são registrados até 23/10. Só depois disso a parte confirmatória é aberta.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Contagem de ocupação na São Jogue.</w:t>
      </w:r>
      <w:r>
        <w:rPr>
          <w:rFonts w:ascii="Arial" w:cs="Arial" w:eastAsia="Arial" w:hAnsi="Arial"/>
          <w:sz w:val="20"/>
          <w:szCs w:val="20"/>
        </w:rPr>
        <w:t xml:space="preserve"> Visitas sorteadas no sábado, 03/10; visitas de retorno no domingo, 18/10. A estimativa de ocupação depende delas.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Registro de premissas.</w:t>
      </w:r>
      <w:r>
        <w:rPr>
          <w:rFonts w:ascii="Arial" w:cs="Arial" w:eastAsia="Arial" w:hAnsi="Arial"/>
          <w:sz w:val="20"/>
          <w:szCs w:val="20"/>
        </w:rPr>
        <w:t xml:space="preserve"> O modelo financeiro só é montado quando ocupação, ticket médio e custos têm faixa e fonte.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Contagem de ocupação na São Jogue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contagem é a única coleta presencial do trabalho. Ela mede quantas pessoas entram na luderia, quanto tempo ficam e quantas notas fiscais são emitidas.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Quatro visitas no total</w:t>
      </w:r>
      <w:r>
        <w:rPr>
          <w:rFonts w:ascii="Arial" w:cs="Arial" w:eastAsia="Arial" w:hAnsi="Arial"/>
          <w:sz w:val="20"/>
          <w:szCs w:val="20"/>
        </w:rPr>
        <w:t xml:space="preserve">, duas em cada unidade da São Jogue: uma sorteada e uma de retorno.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Visitas sorteadas</w:t>
      </w:r>
      <w:r>
        <w:rPr>
          <w:rFonts w:ascii="Arial" w:cs="Arial" w:eastAsia="Arial" w:hAnsi="Arial"/>
          <w:sz w:val="20"/>
          <w:szCs w:val="20"/>
        </w:rPr>
        <w:t xml:space="preserve"> no sábado, 03/10, as duas unidades no mesmo dia, na quinzena após o pagamento dos servidores estaduais da Bahia (29/09 para inativos e pensionistas; 30/09 para ativos). O sorteio escolhe só a hora de início de cada visita: cada hora cheia entre 12h00 e 19h00 é uma possibilidade. As horas de início das duas unidades distam no mínimo 2 horas.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Visitas de retorno</w:t>
      </w:r>
      <w:r>
        <w:rPr>
          <w:rFonts w:ascii="Arial" w:cs="Arial" w:eastAsia="Arial" w:hAnsi="Arial"/>
          <w:sz w:val="20"/>
          <w:szCs w:val="20"/>
        </w:rPr>
        <w:t xml:space="preserve"> 15 dias depois de cada visita sorteada, na mesma unidade e na mesma hora de início: domingo, 18/10.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 fiscal:</w:t>
      </w:r>
      <w:r>
        <w:rPr>
          <w:rFonts w:ascii="Arial" w:cs="Arial" w:eastAsia="Arial" w:hAnsi="Arial"/>
          <w:sz w:val="20"/>
          <w:szCs w:val="20"/>
        </w:rPr>
        <w:t xml:space="preserve"> em cada visita, o número da NFC-e é registrado no início e no fim, com uma compra própria. A diferença entre a visita sorteada e a de retorno dá as notas emitidas em 15 dias. A diferença dentro da mesma visita, comparada às entradas contadas, dá as pessoas por nota.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Observação do lado de fora</w:t>
      </w:r>
      <w:r>
        <w:rPr>
          <w:rFonts w:ascii="Arial" w:cs="Arial" w:eastAsia="Arial" w:hAnsi="Arial"/>
          <w:sz w:val="20"/>
          <w:szCs w:val="20"/>
        </w:rPr>
        <w:t xml:space="preserve">, com duração fixa de 3 horas. O início e o fim de cada visita são registrados, e os resultados são calculados por hora observada. Entradas e saídas dos grupos são registradas continuamente; pessoas no interior e mesas ocupadas, a cada 30 minutos.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Sorteio:</w:t>
      </w:r>
      <w:r>
        <w:rPr>
          <w:rFonts w:ascii="Arial" w:cs="Arial" w:eastAsia="Arial" w:hAnsi="Arial"/>
          <w:sz w:val="20"/>
          <w:szCs w:val="20"/>
        </w:rPr>
        <w:t xml:space="preserve"> feito na planilha contagem_sorteio_visitas.xlsx antes da primeira visita. Dias e horários sem funcionamento ficam de fora.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Fonte das datas de pagamento: Governo da Bahia, Tabela de Pagamentos 2026 dos servidores estaduais.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Cronograma semanal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semanas vão de sábado a sexta-feira. A versão final para a banca tem 16/11 como data de referência, e a defesa ocorre no final de novembro. Feriados nacionais no período: 12/10, 02/11 e 20/11.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4"/>
        <w:gridCol w:w="1428"/>
        <w:gridCol w:w="5713"/>
        <w:gridCol w:w="3428"/>
        <w:gridCol w:w="2287"/>
      </w:tblGrid>
      <w:tr>
        <w:trPr>
          <w:cantSplit/>
          <w:tblHeader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Semana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Coleta e análise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Escrita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12/09 a 18/09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de trabalhos acadêmicos com temas e recortes similares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das variáveis de interesse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Coleta das bases públicas (IBGE, CAGED, FipeZap, Simples Nacional, Banco Central)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dos estabelecimentos nas capitais pelo Google Maps e definição dos critérios de filtragem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Recorte dos estabelecimentos com mais de 100 avaliações nas 14 metrópoles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prévio (14/09) e emenda 2 (18/09)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Cronograma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18/09: cronograma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19/09 a 25/09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Curadoria manual e lista final de estabelecimentos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 da coleta das avaliações do último mês em uma amostra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Início da coleta das avaliações com texto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Elaboração do manual de codificação das avaliações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Início da coleta dos cardápios (preços e itens com preparo)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Sorteio das visitas e formulário de observação da contagem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Projeto: hipóteses, quadro de variáveis e modelo de análise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2 (Referencial teórico)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26/09 a 02/10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da coleta das avaliações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Divisão da base em parte exploratória e parte confirmatória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Primeira codificação das 200 avaliações da amostra (até 02/10)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dos cardápios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Sorteio das horas das visitas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final do projeto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3 (Metodologia)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02/10: projeto consolidado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03/10 a 09/10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Visitas sorteadas (03/10)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de dados secundários sobre o setor de bares, lanchonetes e espaços de jogos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 descritiva dos concorrentes (preço, cardápio e avaliação por metrópole)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Cotações em Salvador (ponto, mobiliário e acervo)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do modelo financeiro (premissas, cálculos e cenários)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5: seções 5.1 (setor), 5.4 (fornecedores) e 5.5 (PESTEL) e esboço das cinco forças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8 (Aspectos jurídicos)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10/10 a 16/10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Organização das bases e do dicionário de dados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Segunda codificação das 200 avaliações (a partir de 16/10)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Primeira versão do registro de premissas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5: seção 5.3 (concorrência)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6: rascunho das seções 6.3 (preço) e 6.4 (bairro e ponto em Salvador)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16/10: coleta em estágio avançado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17/10 a 23/10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Visitas de retorno (18/10)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Estimativa de ocupação e fluxo, em faixa, pelas notas fiscais e pela contagem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Concordância entre as duas codificações e revisão do dicionário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Análises da parte exploratória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Emenda ao registro prévio (até 23/10)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financeiro versão 1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7 (Plano operacional)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Esboço do cap. 9 (Plano financeiro)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24/10 a 30/10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da parte confirmatória (rodada única)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Estatísticas descritivas das avaliações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Viabilidade nos três cenários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sensibilidade e pontos de ruptura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5: seção 5.2 (público-alvo), depois do fim da análise das avaliações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6: seções 6.1, 6.2 e 6.6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Cap. 9 completo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Rascunho do cap. 10 (Análise de riscos)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30/10: primeira versão dos resultados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31/10 a 06/11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Ajustes finais no modelo financeiro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Tabelas e figuras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de Monte Carlo (opcional)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Caps. 5, 6 e 10 completos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Caps. 4 (Sumário executivo) e 11 (Considerações finais)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da introdução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Apêndices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Referências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06/11: versão completa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07/11 a 13/11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Atualização do site de apresentação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Ajustes pedidos pela orientação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de estilo e das normas ABNT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Conferência das referências pendentes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Roteiro e slides da apresentação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14/11 a 20/11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Preparação da apresentação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16/11: versão final para a banca</w:t>
            </w:r>
          </w:p>
        </w:tc>
      </w:tr>
      <w:tr>
        <w:trPr>
          <w:cantSplit/>
          <w:tblHeader w:val="false"/>
        </w:trPr>
        <w:tc>
          <w:tcPr>
            <w:tcW w:type="dxa" w:w="17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21/11 a 27/11</w:t>
            </w:r>
          </w:p>
        </w:tc>
        <w:tc>
          <w:tcPr>
            <w:tcW w:type="dxa" w:w="5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4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Ensaios da apresentação</w:t>
            </w:r>
          </w:p>
        </w:tc>
        <w:tc>
          <w:tcPr>
            <w:tcW w:type="dxa" w:w="22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Defesa (data a definir)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Capítulos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8"/>
        <w:gridCol w:w="4371"/>
        <w:gridCol w:w="4371"/>
      </w:tblGrid>
      <w:tr>
        <w:trPr>
          <w:cantSplit/>
          <w:tblHeader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Capítulo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Rascunho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 completa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Introdução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 (revisão)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Referencial teórico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25/09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Metodologia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02/10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Sumário executivo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Análise de mercado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09/10 (5.1, 5.4, 5.5)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16/10 (5.3)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30/10 (5.2)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Plano de marketing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16/10 (6.3, 6.4)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30/10 (6.1, 6.2, 6.5, 6.6)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Plano operacional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23/10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Aspectos jurídicos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09/10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Plano financeiro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23/10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30/10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Riscos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30/10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Considerações finais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  <w:tr>
        <w:trPr>
          <w:cantSplit/>
          <w:tblHeader w:val="false"/>
        </w:trPr>
        <w:tc>
          <w:tcPr>
            <w:tcW w:type="dxa" w:w="5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Referências e apêndices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Contínuo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06/11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Plano de corte em caso de atraso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uma entrega atrasar mais de três dias, os itens abaixo saem do escopo, nesta ordem. Os itens cortados entram nas considerações finais como próximos passos.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Simulação de Monte Carlo. A análise de sensibilidade e os pontos de ruptura permanecem.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de jogos (Ludopedia e BoardGameGeek).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Atualização do site de apresentação. As figuras do texto permanecem.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Contagem de ocupação reduzida a uma unidade (visita sorteada e visita de retorno).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Não entram no plano de corte:</w:t>
      </w:r>
      <w:r>
        <w:rPr>
          <w:rFonts w:ascii="Arial" w:cs="Arial" w:eastAsia="Arial" w:hAnsi="Arial"/>
          <w:sz w:val="20"/>
          <w:szCs w:val="20"/>
        </w:rPr>
        <w:t xml:space="preserve"> registro prévio, validação da codificação e registro de premissas. Custam pouco e sustentam a confiabilidade dos resultados.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2026-10-02T23:34:12.931Z</dcterms:created>
  <dcterms:modified xsi:type="dcterms:W3CDTF">2026-10-02T23:34:12.932Z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