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480" w:line="360"/>
        <w:ind w:firstLine="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 ANÁLISE ESTRATÉGICA E DE RISCOS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10.1 MATRIZ SWOT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luderia entra num mercado com uma referência forte e um custo fixo alto. O Quadro 10.1 resume os pontos internos e externos que sustentam essa leitura.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10.1 – Matriz SWOT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7"/>
        <w:gridCol w:w="2451"/>
        <w:gridCol w:w="2453"/>
      </w:tblGrid>
      <w:tr>
        <w:trPr>
          <w:cantSplit/>
          <w:tblHeader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Preço da referência aceito pelo público: taxa de R$ 28,00 no fim de semana com 4,8 estrelas em 787 avaliações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 (B1; seção 6.3)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na Pituba, 1º da matriz de bairros em todos os pesos testados, a até 1.000 m do metrô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Instrutor dedicado ao salão em todas as horas abertas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7.3 e 7.5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Fraquezas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Folha com encargos de 38,6% da receita e aluguel de 16,0%, contra 25,1% e 4,0% no setor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9.8; IBGE, PAS 2024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sem cotação: reforma, mobiliário e cozinha em N6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nova contra uma rede com duas unidades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Salvador com uma só luderia no recorte do B1, a São Jogue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5.3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unidade da São Jogue entre os bairros mais bem colocados da matriz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Seção 6.4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Ameaças</w:t>
            </w: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Selic de 14,0% e TMA real de 15%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BCB, set/2026; seção 9.2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de Salvador com alta de 18,9% em 12 meses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jul/2026</w:t>
            </w:r>
          </w:p>
        </w:tc>
      </w:tr>
      <w:tr>
        <w:trPr>
          <w:cantSplit/>
          <w:tblHeader w:val="false"/>
        </w:trPr>
        <w:tc>
          <w:tcPr>
            <w:tcW w:type="dxa" w:w="41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</w:p>
        </w:tc>
        <w:tc>
          <w:tcPr>
            <w:tcW w:type="dxa" w:w="245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Reação da São Jogue com uma terceira unidade ou preço menor</w:t>
            </w:r>
          </w:p>
        </w:tc>
        <w:tc>
          <w:tcPr>
            <w:tcW w:type="dxa" w:w="2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Seções 5.3 e 6.3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cruzamento da matriz aponta uma estratégia. A luderia usa as forças de preço e ponto para ocupar um bairro sem luderia (FO) e corrige a fraqueza de custo fixo antes de investir (DO): equipe dimensionada pelo fluxo e área no limite inferior da faixa. Contra a reação da concorrente, o diferencial é o serviço de mesa, não o preço (FA).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10.2 CENÁRIOS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plano não é viável no cenário provável com o quadro de 12 pessoas: o VPL é negativo em R$ 479 mil (seção 9.6). Com a equipe de 8 pessoas do cap. 7, o VPL provável sobe para -R$ 214 mil e o ponto de equilíbrio operacional cai de R$ 70,4 mil para R$ 61,5 mil por mês, contra receita madura de R$ 73,1 mil (Quadro 10.2).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10.2 – Indicadores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411"/>
        <w:gridCol w:w="1411"/>
        <w:gridCol w:w="1411"/>
        <w:gridCol w:w="1412"/>
      </w:tblGrid>
      <w:tr>
        <w:trPr>
          <w:cantSplit/>
          <w:tblHeader/>
        </w:trPr>
        <w:tc>
          <w:tcPr>
            <w:tcW w:type="dxa" w:w="34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411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Provável, equipe do cap. 7</w:t>
            </w:r>
          </w:p>
        </w:tc>
        <w:tc>
          <w:tcPr>
            <w:tcW w:type="dxa" w:w="1412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490.374,00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-213.787,00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mensal madura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34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Ponto de equilíbrio mensal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atinge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70.411,00</w:t>
            </w:r>
          </w:p>
        </w:tc>
        <w:tc>
          <w:tcPr>
            <w:tcW w:type="dxa" w:w="1411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61.545,00</w:t>
            </w:r>
          </w:p>
        </w:tc>
        <w:tc>
          <w:tcPr>
            <w:tcW w:type="dxa" w:w="1412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atinge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(31/10/2026).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do mesmo lado da faixa e servem de limite, não de previsão. O pessimista descreve um salão de 8 mesas com grupos de 2,8 pessoas, permanência de 137 minutos e ocupação de 25% no fim de semana: uma luderia que não forma público. O otimista descreve grupos de 4,4 pessoas que ficam 83 minutos, com ocupação de 45%: o comportamento das noites mais cheias medidas, estendido à semana inteira.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10.3 PREMISSAS CRÍTICAS E PONTOS DE RUPTURA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decidem a viabilidade: permanência, pessoas por grupo e ocupação de fim de semana e de dia útil (Figura 9.1). O Quadro 10.3 compara o provável com o ponto de ruptura de cada uma, com a equipe do cap. 7.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10.3 – Ruptura das premissas críticas com a equipe do cap. 7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1548"/>
        <w:gridCol w:w="1548"/>
        <w:gridCol w:w="1548"/>
        <w:gridCol w:w="1109"/>
      </w:tblGrid>
      <w:tr>
        <w:trPr>
          <w:cantSplit/>
          <w:tblHeader/>
        </w:trPr>
        <w:tc>
          <w:tcPr>
            <w:tcW w:type="dxa" w:w="33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 (VPL = 0)</w:t>
            </w:r>
          </w:p>
        </w:tc>
        <w:tc>
          <w:tcPr>
            <w:tcW w:type="dxa" w:w="15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Medido no B3</w:t>
            </w:r>
          </w:p>
        </w:tc>
        <w:tc>
          <w:tcPr>
            <w:tcW w:type="dxa" w:w="110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(R04)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41,5%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29,9% a 66,9% nas noites; média de 46,1%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(R05)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23,2%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medida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(R08)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R$ 24,00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R$ 30,94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R$ 23,91 nas notas dos observadores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33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(C03)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123 m²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se aplica</w:t>
            </w:r>
          </w:p>
        </w:tc>
        <w:tc>
          <w:tcPr>
            <w:tcW w:type="dxa" w:w="110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 modelo do cap. 9 e no Bloco B3 (2026).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A ocupação de fim de semana tem a menor distância até a ruptura: 6,5 pontos percentuais. A média das noites medidas (46,1%) fica acima da ruptura, mas mede só o horário de pico; o dia inteiro de sábado e domingo fica abaixo. A ocupação de dia útil é a fraqueza de evidência do plano: é premissa crítica sustentada só por estimativa do autor (N6), o que viola a regra de robustez (</w:t>
      </w:r>
      <w:r>
        <w:rPr>
          <w:rFonts w:ascii="Arial" w:cs="Arial" w:eastAsia="Arial" w:hAnsi="Arial"/>
          <w:sz w:val="24"/>
          <w:szCs w:val="24"/>
        </w:rPr>
        <w:t xml:space="preserve">_instrucoes/8_financeiro.md</w:t>
      </w:r>
      <w:r>
        <w:rPr>
          <w:rFonts w:ascii="Arial" w:cs="Arial" w:eastAsia="Arial" w:hAnsi="Arial"/>
          <w:sz w:val="24"/>
          <w:szCs w:val="24"/>
        </w:rPr>
        <w:t xml:space="preserve">). Nenhuma visita foi feita em dia útil.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Combinações pequenas tornam o VPL positivo. Com a equipe do cap. 7, ocupação de 40% no fim de semana e de 20% no dia útil dá VPL de R$ 33 mil; gasto com A&amp;B de R$ 32,00, com as demais no provável, dá R$ 33 mil; área de 150 m² com gasto de R$ 28,00 dá R$ 23 mil. Com o quadro de 12 pessoas, nenhuma dessas combinações basta.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10.4 MATRIZ DE RISCOS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Os riscos de maior impacto são os de demanda e de custo fixo. O Quadro 10.4 classifica cada risco pela probabilidade e pelo impacto, com a evidência que sustenta a classificação.</w:t>
      </w:r>
    </w:p>
    <w:p>
      <w:pPr>
        <w:keepNext/>
        <w:spacing w:after="0" w:before="240" w:line="2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10.4 – Matriz de riscos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5"/>
        <w:gridCol w:w="1591"/>
        <w:gridCol w:w="1591"/>
        <w:gridCol w:w="1591"/>
        <w:gridCol w:w="1593"/>
      </w:tblGrid>
      <w:tr>
        <w:trPr>
          <w:cantSplit/>
          <w:tblHeader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dia útil abaixo de 18%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N6; nenhuma visita em dia útil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Ocupação de fim de semana abaixo de 41,5%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Noites de 29,9% a 66,9%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acima de R$ 54,15 por m² na Pituba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 só para Salvador inteira; alta de 18,9% em 12 meses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cozinha acima do provável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cotação (N6)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Abertura de unidade da São Jogue perto do ponto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Mercado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Rede com duas unidades (B3)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Lotação dos bombeiros abaixo de 48 assentos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do projeto do imóvel (seção 7.2)</w:t>
            </w:r>
          </w:p>
        </w:tc>
      </w:tr>
      <w:tr>
        <w:trPr>
          <w:cantSplit/>
          <w:tblHeader w:val="false"/>
        </w:trPr>
        <w:tc>
          <w:tcPr>
            <w:tcW w:type="dxa" w:w="27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Perda e desgaste do acervo acima de 10% ao ano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159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Baixo</w:t>
            </w:r>
          </w:p>
        </w:tc>
        <w:tc>
          <w:tcPr>
            <w:tcW w:type="dxa" w:w="15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 (C13)</w:t>
            </w:r>
          </w:p>
        </w:tc>
      </w:tr>
    </w:tbl>
    <w:p>
      <w:pPr>
        <w:keepNext w:val="false"/>
        <w:spacing w:after="240" w:before="0" w:line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Fonte: elaborado pelo próprio autor com base nos caps. 5 a 9.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10.5 CONTINGÊNCIA E MONITORAMENTO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depende de três validações. Primeiro, a ocupação de dia útil precisa de medida própria: uma visita de segunda a quinta à São Jogue, com o mesmo app, troca o N6 por N5. Na sequência, o ponto e a reforma precisam de cotação na Pituba, com área de 150 a 180 m². Por fim, um evento piloto com o acervo inicial mede o gasto com A&amp;B por pessoa fora das mesas dos observadores. O plano só segue se as três confirmarem a combinação da seção 10.3.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Depois da abertura, quatro indicadores semanais acompanham as premissas críticas. O limite de alerta de cada um sai do ponto de ruptura: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fim de semana: alerta abaixo de 41,5% por quatro semanas seguidas;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ocupação de dia útil: alerta abaixo de 23%;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gasto com A&amp;B por pessoa, pelas notas: alerta abaixo de R$ 24,00;</w:t>
      </w:r>
    </w:p>
    <w:p>
      <w:pPr>
        <w:pStyle w:val="ListParagraph"/>
        <w:numPr>
          <w:ilvl w:val="0"/>
          <w:numId w:val="2"/>
        </w:numPr>
        <w:spacing w:after="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permanência média, pela reserva: alerta acima de 120 minutos.</w:t>
      </w:r>
    </w:p>
    <w:p>
      <w:pPr>
        <w:spacing w:after="284" w:line="360"/>
        <w:ind w:firstLine="567"/>
        <w:jc w:val="both"/>
      </w:pPr>
      <w:r>
        <w:rPr>
          <w:rFonts w:ascii="Arial" w:cs="Arial" w:eastAsia="Arial" w:hAnsi="Arial"/>
          <w:sz w:val="24"/>
          <w:szCs w:val="24"/>
        </w:rPr>
        <w:t xml:space="preserve">Cada alerta tem uma ação. Ocupação baixa no dia útil leva a reduzir o horário de segunda a quinta e a equipe do dia. Ocupação baixa no fim de semana leva a eventos e torneios nas noites de sexta. Gasto baixo com A&amp;B leva a rever o cardápio e a oferta do instrutor na mesa. A responsabilidade pelos indicadores é do gerente, com revisão mensal pelo sócio.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 w:val="false"/>
      <w:b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2026-10-31T16:06:11.356Z</dcterms:created>
  <dcterms:modified xsi:type="dcterms:W3CDTF">2026-10-31T16:06:11.356Z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