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ANÁLISE DE MERCADO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 ANÁLISE DO SETOR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Serviços às famílias no Brasil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serviços prestados às famílias cresceram acima da inflação depois da pandemia. A receita bruta do segmento passou de R$ 223,9 bilhões, em 2019, para R$ 388,9 bilhões, em 2023, com ganho real em torno de 36% (IBGE, PAS, tabela 2611)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lazer cresceu mais que a alimentação e atraiu novas empresas. Entre 2019 e 2023, a receita das atividades culturais, recreativas e esportivas subiu 95,4%, e a dos serviços de alimentação, 67,7% (IBGE, PAS, tabela 2611). No mesmo período, o número de empresas de alimentação caiu 8,7%, e o de atividades culturais e recreativas cresceu 35,1% (IBGE, PAS, tabela 2619). A luderia disputa clientes como bar, onde a concorrência é por escala, e se diferencia como lazer, onde há espaço para entrantes.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Em 2024, os gastos com pessoal equivaleram a 25,1% da receita operacional líquida dos serviços de alimentação, o consumo de mercadorias a 26,8% e o aluguel a 4,0% (IBGE, PAS 2024, tabela 10758)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Esses percentuais são o teto de comparação das premissas de custo do cap. 9.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Jogos de tabuleiro e luderias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jogos de tabuleiro e cartas passaram de 9,1% para 13,1% das vendas da indústria de brinquedos entre 2017 e 2025 (ABRINQ, 2026). O número sustenta o crescimento do hábito de jogar, não a demanda por luderias. Não há levantamento oficial nem setorial sobre luderias, e o formato não tem código próprio na CNAE (cap. 8.1): o tamanho do segmento é medido pelo Bloco B1 (seção 5.3).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Alimentação fora do lar na Bahia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fora do domicílio pesa mais no orçamento baiano que na média nacional. Na Bahia, a alimentação fora do domicílio respondia por 36,1% da despesa familiar com alimentação, contra 32,8% no Brasil, e as bebidas alcoólicas consumidas fora de casa, por 2,6%, contra 1,5% (IBGE, POF 2017-2018). A propensão local favorece um modelo de receita apoiado em alimentos e bebidas, com o jogo como motivo da visita. O dado entra como evidência de hábito (N2), não como gasto atual.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 PÚBLICO-ALVO E SEGMENTAÇÃO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População e renda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público em número, mas com renda menor. A população estimada em 2026 é de 2.559.945 habitantes (IBGE, Estimativas da População), e 30,5% dos residentes tinham de 20 a 39 anos no Censo 2022. O rendimento médio do trabalho, de R$ 3.417,00 no 2º trimestre de 2026, coloca Salvador em 22º lugar entre as 27 capitais, e o rendimento domiciliar per capita caiu de R$ 1.985,00, em 2023, para R$ 1.900,00, em 2025 (IBGE, PNAD Contínua). A renda menor pesa na definição do preço de entrada (6.3), e o ponto precisa estar onde a renda se concentra (6.4).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O que o público valoriza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atendimento é o tema mais citado nas avaliações: aparece em 55,7% delas, seguido de alimentos e bebidas (40,6%) e acervo (26,9%) (Bloco B2, provisório). A explicação de regras pela equipe aparece em 16,4% e, quando negativa, acompanha nota média de 2,83. Preço aparece em 12,8%, com nota média de 3,11 nas menções negativas. A decisão afetada é o quadro de pessoal, com instrutor de jogos, e o peso do cardápio na proposta de valor.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[Pendente: ocasiões de consumo (B2) e tamanho do público em Salvador.]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 ANÁLISE DA CONCORRÊNCIA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Concorrentes nas 14 metrópoles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Bloco B1 identificou 54 luderias com mais de 100 avaliações no Google Maps nas 14 metrópoles da REGIC (IBGE, 2020), em outubro de 2026. São Paulo concentra 19; Belo Horizonte, Brasília e Curitiba têm seis cada; Rio de Janeiro, cinco; Florianópolis, três; Fortaleza e Porto Alegre, duas; Belém, Goiânia, Recife, Salvador e Vitória, uma; Manaus não tem nenhuma (Bloco B1, 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nota mediana é 4,7 (de 4,2 a 5,0), e o volume mediano de avaliações é 621 (de 105 a 5.137). Nota alta é condição de entrada no mercado, não diferencial; o volume de avaliações separa as casas e alimenta a estimativa de fluxo.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Densidade e concorrência em Salvador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a menor oferta de luderias por habitante entre as metrópoles com ao menos uma casa: cerca de 0,04 por 100 mil habitantes, contra 0,16 em São Paulo e 0,33 em Curitiba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A baixa densidade indica espaço para um segundo concorrente, mas também pode refletir a renda menor, e a ocupação observada na São Jogue (Bloco B3) testa as duas leituras.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São Jogue é a única luderia de Salvador no recorte. A unidade Bela Vista tem nota 4,8, 787 avaliações e abre 68 horas por semana; a Paralela, mais nova, tem 16 avaliações. As duas ficam no eixo da Avenida Paralela, o que orienta a escolha de bairro (6.4). O aluguel de jogos para levar para casa é o substituto mais próximo, com seis acervos em Salvador na plataforma Acervo de Jogos, mas não compete com a ocasião social.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Acervo e preço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dos concorrentes tem mediana de 468 títulos (de 190 a 1.357), nas 17 casas com acervo conhecido. O couvert ou taxa de entrada foi encontrado em 22 dos 53 concorrentes, com mediana de R$ 20,00 por pessoa (de R$ 5,00 a R$ 40,00); a Ludus declara que não cobra, e nos outros 30 o couvert não foi encontrado. Entre as que divulgam a política, o couvert é a regra (6.3). O consumo por pessoa, uma bebida e uma entrada ou prato, tem mediana de R$ 50,25 em 36 casas, com faixa interquartil de R$ 38,38 a R$ 65,70, e de R$ 48,50 na São Jogue (Bloco B1, 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 Cinco forças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5.1 – Cinco forças aplicadas à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Força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Rivalidade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no formato, alta no bar comum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luderia no recorte (B1); alimentação concentra receita (PAS)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 de entrantes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barato frente à cozinha; barreira na curadoria e na explicação de jogos (B2)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Substitutos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Bares, aluguel de jogos, lazer em casa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fornecedores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 a 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com várias lojas (5.4); A&amp;B com muitos distribuidores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clientes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abaixo da média das capitais (5.2.1); custo de troca baixo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 FORNECEDORES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Em oito lojas especializadas, 2.342 jogos tinham preço mediano de R$ 130,00, com faixa interquartil de R$ 69,90 a R$ 249,88 (Bloco B1, 2026). Um acervo do tamanho mediano dos concorrentes custaria cerca de R$ 61 mil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[Pendente: alimentos e bebidas, mobiliário e equipamentos.]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5.5 MACROAMBIENTE (PESTEL)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Econômico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juros altos encarecem o capital. A meta da Selic estava em 14,00% ao ano em setembro de 2026, e o mercado espera 12,00% no fim de 2027 (BCB, SGS e Focus). A taxa de desconto do cap. 9 parte dessa curva.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inflação da alimentação fora do domicílio corre acima da geral, e mais em Salvador. Em 12 meses até agosto de 2026, o IPCA subiu 3,64% em Salvador, e a alimentação fora do domicílio, 6,55% (IBGE, IPCA). Por isso, o reajuste de preço do cap. 9 usa o subitem de Salvador.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aluguel comercial em Salvador chegou a R$ 54,15 por m² em julho de 2026, alta de 18,9% em 12 meses, contra 7,8% em São Paulo (FIPE, Índice FipeZAP). O aluguel é o principal custo fixo e entra como premissa de risco na escolha do ponto (6.4) e na sensibilidade (cap. 9).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Político-legal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enquadramento tributário e a licença são tratados no cap. 8. No mercado, pesam a transição da reforma tributária sobre o consumo (Lei Complementar n. 214/2025)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 e a regulação municipal de ruído e horário </w:t>
      </w:r>
      <w:r>
        <w:rPr>
          <w:rFonts w:ascii="Arial" w:cs="Arial" w:eastAsia="Arial" w:hAnsi="Arial"/>
          <w:sz w:val="24"/>
          <w:szCs w:val="24"/>
        </w:rPr>
        <w:t xml:space="preserve">[BUSCAR]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Tecnológico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divulgação das luderias acontece nas redes sociais. As 49 luderias com perfil no Instagram têm mediana de 14.021 seguidores, e a São Jogue tem 38.492 (Bloco B1, 2026). O Instagram é o canal principal do plano de comunicação (cap. 6).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São Paulo: Associação Brasileira dos Fabricantes de Brinquedos, 2026. </w:t>
      </w:r>
      <w:r>
        <w:rPr>
          <w:rFonts w:ascii="Arial" w:cs="Arial" w:eastAsia="Arial" w:hAnsi="Arial"/>
          <w:sz w:val="24"/>
          <w:szCs w:val="24"/>
        </w:rPr>
        <w:t xml:space="preserve">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Gerenciador de Séries Temporais (SGS)</w:t>
      </w:r>
      <w:r>
        <w:rPr>
          <w:rFonts w:ascii="Arial" w:cs="Arial" w:eastAsia="Arial" w:hAnsi="Arial"/>
          <w:sz w:val="24"/>
          <w:szCs w:val="24"/>
        </w:rPr>
        <w:t xml:space="preserve">: séries 432, 1619 e 13522. Brasília, 2026. Acesso em: 14 out.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Relatório Focus</w:t>
      </w:r>
      <w:r>
        <w:rPr>
          <w:rFonts w:ascii="Arial" w:cs="Arial" w:eastAsia="Arial" w:hAnsi="Arial"/>
          <w:sz w:val="24"/>
          <w:szCs w:val="24"/>
        </w:rPr>
        <w:t xml:space="preserve">: expectativas de mercado de 11 set. 2026. Brasília,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FUNDAÇÃO INSTITUTO DE PESQUISAS ECONÔMICAS (FIPE).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Índice FipeZAP</w:t>
      </w:r>
      <w:r>
        <w:rPr>
          <w:rFonts w:ascii="Arial" w:cs="Arial" w:eastAsia="Arial" w:hAnsi="Arial"/>
          <w:sz w:val="24"/>
          <w:szCs w:val="24"/>
        </w:rPr>
        <w:t xml:space="preserve">: locação comercial, julho de 2026. São Paulo,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Censo Demográfico 2022</w:t>
      </w:r>
      <w:r>
        <w:rPr>
          <w:rFonts w:ascii="Arial" w:cs="Arial" w:eastAsia="Arial" w:hAnsi="Arial"/>
          <w:sz w:val="24"/>
          <w:szCs w:val="24"/>
        </w:rPr>
        <w:t xml:space="preserve">: população residente por idade. Rio de Janeiro: IBGE, 2023. </w:t>
      </w:r>
      <w:r>
        <w:rPr>
          <w:rFonts w:ascii="Arial" w:cs="Arial" w:eastAsia="Arial" w:hAnsi="Arial"/>
          <w:sz w:val="24"/>
          <w:szCs w:val="24"/>
        </w:rPr>
        <w:t xml:space="preserve">[AV ano]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Estimativas da população residente</w:t>
      </w:r>
      <w:r>
        <w:rPr>
          <w:rFonts w:ascii="Arial" w:cs="Arial" w:eastAsia="Arial" w:hAnsi="Arial"/>
          <w:sz w:val="24"/>
          <w:szCs w:val="24"/>
        </w:rPr>
        <w:t xml:space="preserve">: 2026. Rio de Janeiro: IBGE,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Anual de Serviços (PAS)</w:t>
      </w:r>
      <w:r>
        <w:rPr>
          <w:rFonts w:ascii="Arial" w:cs="Arial" w:eastAsia="Arial" w:hAnsi="Arial"/>
          <w:sz w:val="24"/>
          <w:szCs w:val="24"/>
        </w:rPr>
        <w:t xml:space="preserve">: tabelas 2611, 2619 e 10758. Rio de Janeiro: IBGE, 2025-2026. </w:t>
      </w:r>
      <w:r>
        <w:rPr>
          <w:rFonts w:ascii="Arial" w:cs="Arial" w:eastAsia="Arial" w:hAnsi="Arial"/>
          <w:sz w:val="24"/>
          <w:szCs w:val="24"/>
        </w:rPr>
        <w:t xml:space="preserve">[AV ano de cada edição]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de Orçamentos Familiares 2017-2018</w:t>
      </w:r>
      <w:r>
        <w:rPr>
          <w:rFonts w:ascii="Arial" w:cs="Arial" w:eastAsia="Arial" w:hAnsi="Arial"/>
          <w:sz w:val="24"/>
          <w:szCs w:val="24"/>
        </w:rPr>
        <w:t xml:space="preserve">: tabelas 6715 e 6972. Rio de Janeiro: IBGE, 2019.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Nacional por Amostra de Domicílios Contínua</w:t>
      </w:r>
      <w:r>
        <w:rPr>
          <w:rFonts w:ascii="Arial" w:cs="Arial" w:eastAsia="Arial" w:hAnsi="Arial"/>
          <w:sz w:val="24"/>
          <w:szCs w:val="24"/>
        </w:rPr>
        <w:t xml:space="preserve">: tabelas 5436 e 7395. Rio de Janeiro: IBGE, 2026.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Regiões de influência das cidades 2018</w:t>
      </w:r>
      <w:r>
        <w:rPr>
          <w:rFonts w:ascii="Arial" w:cs="Arial" w:eastAsia="Arial" w:hAnsi="Arial"/>
          <w:sz w:val="24"/>
          <w:szCs w:val="24"/>
        </w:rPr>
        <w:t xml:space="preserve">. Rio de Janeiro: IBGE, 2020.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Nacional de Índices de Preços ao Consumidor</w:t>
      </w:r>
      <w:r>
        <w:rPr>
          <w:rFonts w:ascii="Arial" w:cs="Arial" w:eastAsia="Arial" w:hAnsi="Arial"/>
          <w:sz w:val="24"/>
          <w:szCs w:val="24"/>
        </w:rPr>
        <w:t xml:space="preserve">: IPCA, tabela 7060. Rio de Janeiro: IBGE,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2026-10-31T16:06:11.536Z</dcterms:created>
  <dcterms:modified xsi:type="dcterms:W3CDTF">2026-10-31T16:06:11.536Z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