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8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 ANÁLISE DE MERCADO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ANÁLISE DO SETOR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5.1.1 Serviços às famílias no Brasil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serviços prestados às famílias cresceram acima da inflação depois da pandemia. A receita bruta do segmento passou de R$ 223,9 bilhões, em 2019, para R$ 388,9 bilhões, em 2023, com ganho real em torno de 36% (IBGE, PAS, tabela 2611) </w:t>
      </w:r>
      <w:r>
        <w:rPr>
          <w:rFonts w:ascii="Arial" w:cs="Arial" w:eastAsia="Arial" w:hAnsi="Arial"/>
          <w:sz w:val="24"/>
          <w:szCs w:val="24"/>
        </w:rPr>
        <w:t xml:space="preserve">[script]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lazer cresceu mais que a alimentação e atraiu novas empresas. Entre 2019 e 2023, a receita das atividades culturais, recreativas e esportivas subiu 95,4%, e a dos serviços de alimentação, 67,7% (IBGE, PAS, tabela 2611). No mesmo período, o número de empresas de alimentação caiu 8,7%, e o de atividades culturais e recreativas cresceu 35,1% (IBGE, PAS, tabela 2619). A luderia disputa clientes como bar, onde a concorrência é por escala, e se diferencia como lazer, onde há espaço para entrantes.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Em 2024, os gastos com pessoal equivaleram a 25,1% da receita operacional líquida dos serviços de alimentação, o consumo de mercadorias a 26,8% e o aluguel a 4,0% (IBGE, PAS 2024, tabela 10758) </w:t>
      </w:r>
      <w:r>
        <w:rPr>
          <w:rFonts w:ascii="Arial" w:cs="Arial" w:eastAsia="Arial" w:hAnsi="Arial"/>
          <w:sz w:val="24"/>
          <w:szCs w:val="24"/>
        </w:rPr>
        <w:t xml:space="preserve">[script]</w:t>
      </w:r>
      <w:r>
        <w:rPr>
          <w:rFonts w:ascii="Arial" w:cs="Arial" w:eastAsia="Arial" w:hAnsi="Arial"/>
          <w:sz w:val="24"/>
          <w:szCs w:val="24"/>
        </w:rPr>
        <w:t xml:space="preserve">. Esses percentuais são o teto de comparação das premissas de custo do cap. 9.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5.1.2 Jogos de tabuleiro e luderias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jogos de tabuleiro e cartas passaram de 9,1% para 13,1% das vendas da indústria de brinquedos entre 2017 e 2025 (ABRINQ, 2026). O número sustenta o crescimento do hábito de jogar, não a demanda por luderias. Não há levantamento oficial nem setorial sobre luderias, e o formato não tem código próprio na CNAE (cap. 8.1): o tamanho do segmento é medido pelo Bloco B1 (seção 5.3).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5.1.3 Alimentação fora do lar na Bahia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consumo fora do domicílio pesa mais no orçamento baiano que na média nacional. Na Bahia, a alimentação fora do domicílio respondia por 36,1% da despesa familiar com alimentação, contra 32,8% no Brasil, e as bebidas alcoólicas consumidas fora de casa, por 2,6%, contra 1,5% (IBGE, POF 2017-2018). A propensão local favorece um modelo de receita apoiado em alimentos e bebidas, com o jogo como motivo da visita. O dado entra como evidência de hábito (N2), não como gasto atual.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PÚBLICO-ALVO E SEGMENTAÇÃO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5.2.1 População e renda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Salvador tem público em número, mas com renda menor. A população estimada em 2026 é de 2.559.945 habitantes (IBGE, Estimativas da População), e 30,5% dos residentes tinham de 20 a 39 anos no Censo 2022. O rendimento médio do trabalho, de R$ 3.417,00 no 2º trimestre de 2026, coloca Salvador em 22º lugar entre as 27 capitais, e o rendimento domiciliar per capita caiu de R$ 1.985,00, em 2023, para R$ 1.900,00, em 2025 (IBGE, PNAD Contínua). A renda menor pesa na definição do preço de entrada (6.3), e o ponto precisa estar onde a renda se concentra (6.4).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5.2.2 O que o público valoriza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atendimento é o tema mais citado nas avaliações: aparece em 55,7% delas, seguido de alimentos e bebidas (40,6%) e acervo (26,9%) (Bloco B2, provisório). A explicação de regras pela equipe aparece em 16,4% e, quando negativa, acompanha nota média de 2,83. Preço aparece em 12,8%, com nota média de 3,11 nas menções negativas. A decisão afetada é o quadro de pessoal, com instrutor de jogos, e o peso do cardápio na proposta de valor.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[Pendente: ocasiões de consumo (B2) e tamanho do público em Salvador.]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 ANÁLISE DA CONCORRÊNCIA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5.3.1 Concorrentes nas 14 metrópoles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Bloco B1 identificou 54 luderias com mais de 100 avaliações no Google Maps nas 14 metrópoles da REGIC (IBGE, 2020), em outubro de 2026. São Paulo concentra 19; Belo Horizonte, Brasília e Curitiba têm seis cada; Rio de Janeiro, cinco; Florianópolis, três; Fortaleza e Porto Alegre, duas; Belém, Goiânia, Recife, Salvador e Vitória, uma; Manaus não tem nenhuma (Bloco B1, 2026).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nota mediana é 4,7 (de 4,2 a 5,0), e o volume mediano de avaliações é 621 (de 105 a 5.137). Nota alta é condição de entrada no mercado, não diferencial; o volume de avaliações separa as casas e alimenta a estimativa de fluxo.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5.3.2 Densidade e concorrência em Salvador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Salvador tem a menor oferta de luderias por habitante entre as metrópoles com ao menos uma casa: cerca de 0,04 por 100 mil habitantes, contra 0,16 em São Paulo e 0,33 em Curitiba </w:t>
      </w:r>
      <w:r>
        <w:rPr>
          <w:rFonts w:ascii="Arial" w:cs="Arial" w:eastAsia="Arial" w:hAnsi="Arial"/>
          <w:sz w:val="24"/>
          <w:szCs w:val="24"/>
        </w:rPr>
        <w:t xml:space="preserve">[script]</w:t>
      </w:r>
      <w:r>
        <w:rPr>
          <w:rFonts w:ascii="Arial" w:cs="Arial" w:eastAsia="Arial" w:hAnsi="Arial"/>
          <w:sz w:val="24"/>
          <w:szCs w:val="24"/>
        </w:rPr>
        <w:t xml:space="preserve">. A baixa densidade indica espaço para um segundo concorrente, mas também pode refletir a renda menor, e a ocupação observada na São Jogue (Bloco B3) testa as duas leituras.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São Jogue é a única luderia de Salvador no recorte. A unidade Bela Vista tem nota 4,8, 787 avaliações e abre 68 horas por semana; a Paralela, mais nova, tem 16 avaliações. As duas ficam no eixo da Avenida Paralela, o que orienta a escolha de bairro (6.4). O aluguel de jogos para levar para casa é o substituto mais próximo, com seis acervos em Salvador na plataforma Acervo de Jogos, mas não compete com a ocasião social.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5.3.3 Acervo e preço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acervo dos concorrentes tem mediana de 468 títulos (de 190 a 1.357), nas 17 casas com acervo conhecido. O couvert ou taxa de entrada foi encontrado em 22 dos 53 concorrentes, com mediana de R$ 20,00 por pessoa (de R$ 5,00 a R$ 40,00); a Ludus declara que não cobra, e nos outros 30 o couvert não foi encontrado. Entre as que divulgam a política, o couvert é a regra (6.3). O consumo por pessoa, uma bebida e uma entrada ou prato, tem mediana de R$ 50,25 em 36 casas, com faixa interquartil de R$ 38,38 a R$ 65,70, e de R$ 48,50 na São Jogue (Bloco B1, 2026).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5.3.4 Cinco forças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5.1 – Cinco forças aplicadas à luderia em Salvador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7"/>
        <w:gridCol w:w="2451"/>
        <w:gridCol w:w="2453"/>
      </w:tblGrid>
      <w:tr>
        <w:trPr>
          <w:cantSplit/>
          <w:tblHeader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Força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Intensidade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Evidência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Rivalidade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Baixa no formato, alta no bar comum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luderia no recorte (B1); alimentação concentra receita (PAS)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Ameaça de entrantes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Acervo barato frente à cozinha; barreira na curadoria e na explicação de jogos (B2)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Substitutos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Bares, aluguel de jogos, lazer em casa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Poder dos fornecedores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Baixo a médio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Jogos com várias lojas (5.4); A&amp;B com muitos distribuidores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Poder dos clientes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Renda abaixo da média das capitais (5.2.1); custo de troca baixo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elaboração própria.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5.4 FORNECEDORES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Em oito lojas especializadas, 2.342 jogos tinham preço mediano de R$ 130,00, com faixa interquartil de R$ 69,90 a R$ 249,88 (Bloco B1, 2026). Um acervo do tamanho mediano dos concorrentes custaria cerca de R$ 61 mil </w:t>
      </w:r>
      <w:r>
        <w:rPr>
          <w:rFonts w:ascii="Arial" w:cs="Arial" w:eastAsia="Arial" w:hAnsi="Arial"/>
          <w:sz w:val="24"/>
          <w:szCs w:val="24"/>
        </w:rPr>
        <w:t xml:space="preserve">[script]</w:t>
      </w:r>
      <w:r>
        <w:rPr>
          <w:rFonts w:ascii="Arial" w:cs="Arial" w:eastAsia="Arial" w:hAnsi="Arial"/>
          <w:sz w:val="24"/>
          <w:szCs w:val="24"/>
        </w:rPr>
        <w:t xml:space="preserve">. </w:t>
      </w:r>
      <w:r>
        <w:rPr>
          <w:rFonts w:ascii="Arial" w:cs="Arial" w:eastAsia="Arial" w:hAnsi="Arial"/>
          <w:sz w:val="24"/>
          <w:szCs w:val="24"/>
        </w:rPr>
        <w:t xml:space="preserve">[Pendente: alimentos e bebidas, mobiliário e equipamentos.]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5.5 MACROAMBIENTE (PESTEL)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5.5.1 Econômico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juros altos encarecem o capital. A meta da Selic estava em 14,00% ao ano em setembro de 2026, e o mercado espera 12,00% no fim de 2027 (BCB, SGS e Focus). A taxa de desconto do cap. 9 parte dessa curva.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inflação da alimentação fora do domicílio corre acima da geral, e mais em Salvador. Em 12 meses até agosto de 2026, o IPCA subiu 3,64% em Salvador, e a alimentação fora do domicílio, 6,55% (IBGE, IPCA). Por isso, o reajuste de preço do cap. 9 usa o subitem de Salvador.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aluguel comercial em Salvador chegou a R$ 54,15 por m² em julho de 2026, alta de 18,9% em 12 meses, contra 7,8% em São Paulo (FIPE, Índice FipeZAP). O aluguel é o principal custo fixo e entra como premissa de risco na escolha do ponto (6.4) e na sensibilidade (cap. 9).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5.5.2 Político-legal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enquadramento tributário e a licença são tratados no cap. 8. No mercado, pesam a transição da reforma tributária sobre o consumo (Lei Complementar n. 214/2025) </w:t>
      </w:r>
      <w:r>
        <w:rPr>
          <w:rFonts w:ascii="Arial" w:cs="Arial" w:eastAsia="Arial" w:hAnsi="Arial"/>
          <w:sz w:val="24"/>
          <w:szCs w:val="24"/>
        </w:rPr>
        <w:t xml:space="preserve">[AV]</w:t>
      </w:r>
      <w:r>
        <w:rPr>
          <w:rFonts w:ascii="Arial" w:cs="Arial" w:eastAsia="Arial" w:hAnsi="Arial"/>
          <w:sz w:val="24"/>
          <w:szCs w:val="24"/>
        </w:rPr>
        <w:t xml:space="preserve"> e a regulação municipal de ruído e horário </w:t>
      </w:r>
      <w:r>
        <w:rPr>
          <w:rFonts w:ascii="Arial" w:cs="Arial" w:eastAsia="Arial" w:hAnsi="Arial"/>
          <w:sz w:val="24"/>
          <w:szCs w:val="24"/>
        </w:rPr>
        <w:t xml:space="preserve">[BUSCAR]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5.5.3 Tecnológico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divulgação das luderias acontece nas redes sociais. As 49 luderias com perfil no Instagram têm mediana de 14.021 seguidores, e a São Jogue tem 38.492 (Bloco B1, 2026). O Instagram é o canal principal do plano de comunicação (cap. 6).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Referências citadas neste capítulo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ABRINQ.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Anuário da Abrinq 2026</w:t>
      </w:r>
      <w:r>
        <w:rPr>
          <w:rFonts w:ascii="Arial" w:cs="Arial" w:eastAsia="Arial" w:hAnsi="Arial"/>
          <w:sz w:val="24"/>
          <w:szCs w:val="24"/>
        </w:rPr>
        <w:t xml:space="preserve">. São Paulo: Associação Brasileira dos Fabricantes de Brinquedos, 2026. </w:t>
      </w:r>
      <w:r>
        <w:rPr>
          <w:rFonts w:ascii="Arial" w:cs="Arial" w:eastAsia="Arial" w:hAnsi="Arial"/>
          <w:sz w:val="24"/>
          <w:szCs w:val="24"/>
        </w:rPr>
        <w:t xml:space="preserve">[AV]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BANCO CENTRAL DO BRASIL (BCB).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Sistema Gerenciador de Séries Temporais (SGS)</w:t>
      </w:r>
      <w:r>
        <w:rPr>
          <w:rFonts w:ascii="Arial" w:cs="Arial" w:eastAsia="Arial" w:hAnsi="Arial"/>
          <w:sz w:val="24"/>
          <w:szCs w:val="24"/>
        </w:rPr>
        <w:t xml:space="preserve">: séries 432, 1619 e 13522. Brasília, 2026. Acesso em: 14 out. 2026.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BANCO CENTRAL DO BRASIL (BCB).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Relatório Focus</w:t>
      </w:r>
      <w:r>
        <w:rPr>
          <w:rFonts w:ascii="Arial" w:cs="Arial" w:eastAsia="Arial" w:hAnsi="Arial"/>
          <w:sz w:val="24"/>
          <w:szCs w:val="24"/>
        </w:rPr>
        <w:t xml:space="preserve">: expectativas de mercado de 11 set. 2026. Brasília, 2026.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FUNDAÇÃO INSTITUTO DE PESQUISAS ECONÔMICAS (FIPE).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Índice FipeZAP</w:t>
      </w:r>
      <w:r>
        <w:rPr>
          <w:rFonts w:ascii="Arial" w:cs="Arial" w:eastAsia="Arial" w:hAnsi="Arial"/>
          <w:sz w:val="24"/>
          <w:szCs w:val="24"/>
        </w:rPr>
        <w:t xml:space="preserve">: locação comercial, julho de 2026. São Paulo, 2026.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IBGE.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Censo Demográfico 2022</w:t>
      </w:r>
      <w:r>
        <w:rPr>
          <w:rFonts w:ascii="Arial" w:cs="Arial" w:eastAsia="Arial" w:hAnsi="Arial"/>
          <w:sz w:val="24"/>
          <w:szCs w:val="24"/>
        </w:rPr>
        <w:t xml:space="preserve">: população residente por idade. Rio de Janeiro: IBGE, 2023. </w:t>
      </w:r>
      <w:r>
        <w:rPr>
          <w:rFonts w:ascii="Arial" w:cs="Arial" w:eastAsia="Arial" w:hAnsi="Arial"/>
          <w:sz w:val="24"/>
          <w:szCs w:val="24"/>
        </w:rPr>
        <w:t xml:space="preserve">[AV ano]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IBGE.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Estimativas da população residente</w:t>
      </w:r>
      <w:r>
        <w:rPr>
          <w:rFonts w:ascii="Arial" w:cs="Arial" w:eastAsia="Arial" w:hAnsi="Arial"/>
          <w:sz w:val="24"/>
          <w:szCs w:val="24"/>
        </w:rPr>
        <w:t xml:space="preserve">: 2026. Rio de Janeiro: IBGE, 2026.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IBGE.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Pesquisa Anual de Serviços (PAS)</w:t>
      </w:r>
      <w:r>
        <w:rPr>
          <w:rFonts w:ascii="Arial" w:cs="Arial" w:eastAsia="Arial" w:hAnsi="Arial"/>
          <w:sz w:val="24"/>
          <w:szCs w:val="24"/>
        </w:rPr>
        <w:t xml:space="preserve">: tabelas 2611, 2619 e 10758. Rio de Janeiro: IBGE, 2025-2026. </w:t>
      </w:r>
      <w:r>
        <w:rPr>
          <w:rFonts w:ascii="Arial" w:cs="Arial" w:eastAsia="Arial" w:hAnsi="Arial"/>
          <w:sz w:val="24"/>
          <w:szCs w:val="24"/>
        </w:rPr>
        <w:t xml:space="preserve">[AV ano de cada edição]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IBGE.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Pesquisa de Orçamentos Familiares 2017-2018</w:t>
      </w:r>
      <w:r>
        <w:rPr>
          <w:rFonts w:ascii="Arial" w:cs="Arial" w:eastAsia="Arial" w:hAnsi="Arial"/>
          <w:sz w:val="24"/>
          <w:szCs w:val="24"/>
        </w:rPr>
        <w:t xml:space="preserve">: tabelas 6715 e 6972. Rio de Janeiro: IBGE, 2019.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IBGE.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Pesquisa Nacional por Amostra de Domicílios Contínua</w:t>
      </w:r>
      <w:r>
        <w:rPr>
          <w:rFonts w:ascii="Arial" w:cs="Arial" w:eastAsia="Arial" w:hAnsi="Arial"/>
          <w:sz w:val="24"/>
          <w:szCs w:val="24"/>
        </w:rPr>
        <w:t xml:space="preserve">: tabelas 5436 e 7395. Rio de Janeiro: IBGE, 2026.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IBGE.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Regiões de influência das cidades 2018</w:t>
      </w:r>
      <w:r>
        <w:rPr>
          <w:rFonts w:ascii="Arial" w:cs="Arial" w:eastAsia="Arial" w:hAnsi="Arial"/>
          <w:sz w:val="24"/>
          <w:szCs w:val="24"/>
        </w:rPr>
        <w:t xml:space="preserve">. Rio de Janeiro: IBGE, 2020.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IBGE.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Sistema Nacional de Índices de Preços ao Consumidor</w:t>
      </w:r>
      <w:r>
        <w:rPr>
          <w:rFonts w:ascii="Arial" w:cs="Arial" w:eastAsia="Arial" w:hAnsi="Arial"/>
          <w:sz w:val="24"/>
          <w:szCs w:val="24"/>
        </w:rPr>
        <w:t xml:space="preserve">: IPCA, tabela 7060. Rio de Janeiro: IBGE, 2026.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2026-10-31T15:23:13.656Z</dcterms:created>
  <dcterms:modified xsi:type="dcterms:W3CDTF">2026-10-31T15:23:13.657Z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