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80" w:line="3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 METODOLOGIA</w:t>
      </w:r>
    </w:p>
    <w:p>
      <w:pPr>
        <w:pStyle w:val="Heading1"/>
        <w:keepNext/>
        <w:spacing w:after="240" w:before="36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3.1 CARACTERIZAÇÃO DO TRABALHO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trabalho é um plano de negócios baseado em evidências. Cada decisão do plano — abrir ou não, onde, com que formato, preço, acervo e investimento — liga-se a um dado, e cada dado a uma fonte e a um nível de confiança. O método é defendido pela confiabilidade do número gerado, não pela teoria que o cerca.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pesquisa é aplicada, descritivo-exploratória e quantitativa, com análise de conteúdo das avaliações. O delineamento é transversal: os dados descrevem o mercado em outubro de 2026.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Três termos são usados sempre no mesmo sentido.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Luderia</w:t>
      </w:r>
      <w:r>
        <w:rPr>
          <w:rFonts w:ascii="Arial" w:cs="Arial" w:eastAsia="Arial" w:hAnsi="Arial"/>
          <w:sz w:val="24"/>
          <w:szCs w:val="24"/>
        </w:rPr>
        <w:t xml:space="preserve"> é o estabelecimento que combina alimentos e bebidas com acervo de jogos de mesa para uso no local; abrange os formatos chamados ludobar e quiz-bar.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Concorrente</w:t>
      </w:r>
      <w:r>
        <w:rPr>
          <w:rFonts w:ascii="Arial" w:cs="Arial" w:eastAsia="Arial" w:hAnsi="Arial"/>
          <w:sz w:val="24"/>
          <w:szCs w:val="24"/>
        </w:rPr>
        <w:t xml:space="preserve"> é a luderia aprovada na curadoria do Bloco B1.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Avaliação</w:t>
      </w:r>
      <w:r>
        <w:rPr>
          <w:rFonts w:ascii="Arial" w:cs="Arial" w:eastAsia="Arial" w:hAnsi="Arial"/>
          <w:sz w:val="24"/>
          <w:szCs w:val="24"/>
        </w:rPr>
        <w:t xml:space="preserve"> é a avaliação com texto publicada no Google Maps. Os demais termos — taxa de ocupação, fluxo, permanência, giro, ticket médio e velocidade de avaliações — são definidos na primeira vez em que aparecem.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trabalho não usa questionários de opinião ou de intenção de compra. O entrevistado declara o que faria, não o que faz. As premissas vêm de bases públicas, de rastros digitais dos concorrentes e da contagem direta de ocupação.</w:t>
      </w:r>
    </w:p>
    <w:p>
      <w:pPr>
        <w:pStyle w:val="Heading1"/>
        <w:keepNext/>
        <w:spacing w:after="240" w:before="36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3.2 HIERARQUIA DE EVIDÊNCIAS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Cada premissa do plano recebe um nível de evidência, de N1 a N6 (Quadro 3.1). A escala ordena a confiabilidade da fonte do número: N1 é a mais confiável. Premissa sustentada por mais de uma fonte registra todos os níveis, como "N3 + N5".</w:t>
      </w:r>
    </w:p>
    <w:p>
      <w:pPr>
        <w:keepNext/>
        <w:spacing w:after="0" w:before="240" w:line="2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Quadro 3.1 – Níveis de evidência das premissas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14"/>
        <w:gridCol w:w="3628"/>
        <w:gridCol w:w="3629"/>
      </w:tblGrid>
      <w:tr>
        <w:trPr>
          <w:cantSplit/>
          <w:tblHeader/>
        </w:trPr>
        <w:tc>
          <w:tcPr>
            <w:tcW w:type="dxa" w:w="18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Nível</w:t>
            </w:r>
          </w:p>
        </w:tc>
        <w:tc>
          <w:tcPr>
            <w:tcW w:type="dxa" w:w="362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Tipo de evidência</w:t>
            </w:r>
          </w:p>
        </w:tc>
        <w:tc>
          <w:tcPr>
            <w:tcW w:type="dxa" w:w="362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Exemplo no trabalho</w:t>
            </w:r>
          </w:p>
        </w:tc>
      </w:tr>
      <w:tr>
        <w:trPr>
          <w:cantSplit/>
          <w:tblHeader w:val="false"/>
        </w:trPr>
        <w:tc>
          <w:tcPr>
            <w:tcW w:type="dxa" w:w="18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N1</w:t>
            </w:r>
          </w:p>
        </w:tc>
        <w:tc>
          <w:tcPr>
            <w:tcW w:type="dxa" w:w="362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Orçamento, cotação, contrato ou tabela oficial</w:t>
            </w:r>
          </w:p>
        </w:tc>
        <w:tc>
          <w:tcPr>
            <w:tcW w:type="dxa" w:w="362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Alíquotas do Simples Nacional</w:t>
            </w:r>
          </w:p>
        </w:tc>
      </w:tr>
      <w:tr>
        <w:trPr>
          <w:cantSplit/>
          <w:tblHeader w:val="false"/>
        </w:trPr>
        <w:tc>
          <w:tcPr>
            <w:tcW w:type="dxa" w:w="18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N2</w:t>
            </w:r>
          </w:p>
        </w:tc>
        <w:tc>
          <w:tcPr>
            <w:tcW w:type="dxa" w:w="362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Dado público estruturado</w:t>
            </w:r>
          </w:p>
        </w:tc>
        <w:tc>
          <w:tcPr>
            <w:tcW w:type="dxa" w:w="362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IBGE, Novo CAGED, FipeZap, Banco Central</w:t>
            </w:r>
          </w:p>
        </w:tc>
      </w:tr>
      <w:tr>
        <w:trPr>
          <w:cantSplit/>
          <w:tblHeader w:val="false"/>
        </w:trPr>
        <w:tc>
          <w:tcPr>
            <w:tcW w:type="dxa" w:w="18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N3</w:t>
            </w:r>
          </w:p>
        </w:tc>
        <w:tc>
          <w:tcPr>
            <w:tcW w:type="dxa" w:w="362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Benchmark de concorrentes medido pelo autor</w:t>
            </w:r>
          </w:p>
        </w:tc>
        <w:tc>
          <w:tcPr>
            <w:tcW w:type="dxa" w:w="362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Preços, horários e acervos do Bloco B1</w:t>
            </w:r>
          </w:p>
        </w:tc>
      </w:tr>
      <w:tr>
        <w:trPr>
          <w:cantSplit/>
          <w:tblHeader w:val="false"/>
        </w:trPr>
        <w:tc>
          <w:tcPr>
            <w:tcW w:type="dxa" w:w="18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N4</w:t>
            </w:r>
          </w:p>
        </w:tc>
        <w:tc>
          <w:tcPr>
            <w:tcW w:type="dxa" w:w="362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Referência setorial ou relatório</w:t>
            </w:r>
          </w:p>
        </w:tc>
        <w:tc>
          <w:tcPr>
            <w:tcW w:type="dxa" w:w="362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Margens típicas de bares e restaurantes</w:t>
            </w:r>
          </w:p>
        </w:tc>
      </w:tr>
      <w:tr>
        <w:trPr>
          <w:cantSplit/>
          <w:tblHeader w:val="false"/>
        </w:trPr>
        <w:tc>
          <w:tcPr>
            <w:tcW w:type="dxa" w:w="18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N5</w:t>
            </w:r>
          </w:p>
        </w:tc>
        <w:tc>
          <w:tcPr>
            <w:tcW w:type="dxa" w:w="362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Coleta primária comportamental própria</w:t>
            </w:r>
          </w:p>
        </w:tc>
        <w:tc>
          <w:tcPr>
            <w:tcW w:type="dxa" w:w="362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Contagem direta de ocupação (Bloco B3)</w:t>
            </w:r>
          </w:p>
        </w:tc>
      </w:tr>
      <w:tr>
        <w:trPr>
          <w:cantSplit/>
          <w:tblHeader w:val="false"/>
        </w:trPr>
        <w:tc>
          <w:tcPr>
            <w:tcW w:type="dxa" w:w="18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N6</w:t>
            </w:r>
          </w:p>
        </w:tc>
        <w:tc>
          <w:tcPr>
            <w:tcW w:type="dxa" w:w="362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Estimativa do autor</w:t>
            </w:r>
          </w:p>
        </w:tc>
        <w:tc>
          <w:tcPr>
            <w:tcW w:type="dxa" w:w="362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Ocupação em dia útil</w:t>
            </w:r>
          </w:p>
        </w:tc>
      </w:tr>
    </w:tbl>
    <w:p>
      <w:pPr>
        <w:keepNext w:val="false"/>
        <w:spacing w:after="240" w:before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Fonte: elaboração própria, com base em _instrucoes/8_financeiro.md.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escala tem uma regra de uso: nenhuma premissa crítica — uma das 3 a 5 premissas de maior impacto no VPL no tornado — fica só em N6. Quando não há alternativa, a premissa recebe faixa larga e destaque na análise de riscos (cap. 10).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Uma segunda hierarquia ordena o tipo de dado pela proximidade com o consumo: compra com dinheiro, registro transacional, observação direta, rastro digital e, por último, opinião declarada. No mesmo tipo, prevalece o dado absoluto, calibrado, local, recente e medido.</w:t>
      </w:r>
    </w:p>
    <w:p>
      <w:pPr>
        <w:pStyle w:val="Heading1"/>
        <w:keepNext/>
        <w:spacing w:after="240" w:before="36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3.3 FONTES E INSTRUMENTOS DE COLETA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coleta organiza-se em quatro blocos, em ordem de relevância para as decisões do plano (Quadro 3.2). Os Blocos B1 e B2 são censos da fonte: o script coleta todos os estabelecimentos e todas as avaliações do recorte. O Bloco B3 é a única coleta primária. O Bloco B4 reúne bases públicas extraídas por inteiro.</w:t>
      </w:r>
    </w:p>
    <w:p>
      <w:pPr>
        <w:keepNext/>
        <w:spacing w:after="0" w:before="240" w:line="2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Quadro 3.2 – Blocos de coleta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43"/>
        <w:gridCol w:w="2926"/>
        <w:gridCol w:w="1950"/>
        <w:gridCol w:w="1952"/>
      </w:tblGrid>
      <w:tr>
        <w:trPr>
          <w:cantSplit/>
          <w:tblHeader/>
        </w:trPr>
        <w:tc>
          <w:tcPr>
            <w:tcW w:type="dxa" w:w="224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Bloco</w:t>
            </w:r>
          </w:p>
        </w:tc>
        <w:tc>
          <w:tcPr>
            <w:tcW w:type="dxa" w:w="29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Fonte</w:t>
            </w:r>
          </w:p>
        </w:tc>
        <w:tc>
          <w:tcPr>
            <w:tcW w:type="dxa" w:w="19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Recorte</w:t>
            </w:r>
          </w:p>
        </w:tc>
        <w:tc>
          <w:tcPr>
            <w:tcW w:type="dxa" w:w="195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Uso no plano</w:t>
            </w:r>
          </w:p>
        </w:tc>
      </w:tr>
      <w:tr>
        <w:trPr>
          <w:cantSplit/>
          <w:tblHeader w:val="false"/>
        </w:trPr>
        <w:tc>
          <w:tcPr>
            <w:tcW w:type="dxa" w:w="224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B1 — Concorrentes</w:t>
            </w:r>
          </w:p>
        </w:tc>
        <w:tc>
          <w:tcPr>
            <w:tcW w:type="dxa" w:w="29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Google Places API; Google Maps; site, Instagram, cardápio e lista de acervo de cada concorrente</w:t>
            </w:r>
          </w:p>
        </w:tc>
        <w:tc>
          <w:tcPr>
            <w:tcW w:type="dxa" w:w="19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Luderias com mais de 100 avaliações nas 14 metrópoles da REGIC 2018 (IBGE) e suas regiões metropolitanas: 54 concorrentes</w:t>
            </w:r>
          </w:p>
        </w:tc>
        <w:tc>
          <w:tcPr>
            <w:tcW w:type="dxa" w:w="195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Concorrência, preço, cardápio, ponto, acervo inicial, ticket médio</w:t>
            </w:r>
          </w:p>
        </w:tc>
      </w:tr>
      <w:tr>
        <w:trPr>
          <w:cantSplit/>
          <w:tblHeader w:val="false"/>
        </w:trPr>
        <w:tc>
          <w:tcPr>
            <w:tcW w:type="dxa" w:w="224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B2 — Avaliações recentes</w:t>
            </w:r>
          </w:p>
        </w:tc>
        <w:tc>
          <w:tcPr>
            <w:tcW w:type="dxa" w:w="29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Página pública de avaliações de cada concorrente no Google Maps</w:t>
            </w:r>
          </w:p>
        </w:tc>
        <w:tc>
          <w:tcPr>
            <w:tcW w:type="dxa" w:w="19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Todas as avaliações com rótulo de data até "3 meses atrás", inclusive, na data da coleta</w:t>
            </w:r>
          </w:p>
        </w:tc>
        <w:tc>
          <w:tcPr>
            <w:tcW w:type="dxa" w:w="195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Proposta de valor, reclamações, ticket médio, tamanho do grupo, jogos citados</w:t>
            </w:r>
          </w:p>
        </w:tc>
      </w:tr>
      <w:tr>
        <w:trPr>
          <w:cantSplit/>
          <w:tblHeader w:val="false"/>
        </w:trPr>
        <w:tc>
          <w:tcPr>
            <w:tcW w:type="dxa" w:w="224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B3 — Contagem direta</w:t>
            </w:r>
          </w:p>
        </w:tc>
        <w:tc>
          <w:tcPr>
            <w:tcW w:type="dxa" w:w="29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Observação nas duas unidades da São Jogue, com leitura da NFC-e</w:t>
            </w:r>
          </w:p>
        </w:tc>
        <w:tc>
          <w:tcPr>
            <w:tcW w:type="dxa" w:w="19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 visitas, sexta e sábado à noite, out/2026</w:t>
            </w:r>
          </w:p>
        </w:tc>
        <w:tc>
          <w:tcPr>
            <w:tcW w:type="dxa" w:w="195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Taxa de ocupação, permanência, tamanho do grupo, fluxo, calibração</w:t>
            </w:r>
          </w:p>
        </w:tc>
      </w:tr>
      <w:tr>
        <w:trPr>
          <w:cantSplit/>
          <w:tblHeader w:val="false"/>
        </w:trPr>
        <w:tc>
          <w:tcPr>
            <w:tcW w:type="dxa" w:w="224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B4 — Bases públicas</w:t>
            </w:r>
          </w:p>
        </w:tc>
        <w:tc>
          <w:tcPr>
            <w:tcW w:type="dxa" w:w="29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IBGE, Novo CAGED, FipeZap, Simples Nacional, Banco Central, CONCLA</w:t>
            </w:r>
          </w:p>
        </w:tc>
        <w:tc>
          <w:tcPr>
            <w:tcW w:type="dxa" w:w="19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Salvador e demais capitais; séries de 2017 a 2026</w:t>
            </w:r>
          </w:p>
        </w:tc>
        <w:tc>
          <w:tcPr>
            <w:tcW w:type="dxa" w:w="195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Público, aluguel, salários, tributos, taxa de desconto</w:t>
            </w:r>
          </w:p>
        </w:tc>
      </w:tr>
    </w:tbl>
    <w:p>
      <w:pPr>
        <w:keepNext w:val="false"/>
        <w:spacing w:after="240" w:before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Fonte: elaboração própria.</w:t>
      </w:r>
    </w:p>
    <w:p>
      <w:pPr>
        <w:pStyle w:val="Heading2"/>
        <w:keepNext/>
        <w:spacing w:after="120" w:before="24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3.3.1 Bloco B1 — Concorrentes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busca pela Google Places API levantou 164 candidatos com mais de 100 avaliações nas 14 capitais classificadas como metrópole pela REGIC 2018 (IBGE) e em suas regiões metropolitanas. A curadoria manual aprovou 54 concorrentes. Cada concorrente pertence a uma única metrópole, pelo endereço. São Paulo reúne 19; Salvador tem 1, a São Jogue; Manaus não tem nenhum. A distribuição completa está no Apêndice E.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corte de 100 avaliações delimita concorrentes estabelecidos. Casas novas ou pequenas ficam fora: o recorte descreve quem já opera com volume, que é a referência de preço e de fluxo para o plano.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De cada concorrente, são registrados a avaliação média, o volume de avaliações, o horário de funcionamento (Places API), a política de cobrança, o cardápio, o acervo de jogos e o entorno. Os cardápios têm categorias fixas — bebidas, entradas, pratos principais, sobremesas e couvert ou taxa de jogo — e preço em reais na data da coleta. Item com vários tamanhos ou combos entra nas medianas só pela linha de referência: cardápio mais recente, sem combo, no menor tamanho. Quando o couvert não aparece no cardápio, ele é buscado no site, na imprensa e nos posts e destaques do Instagram da casa, com a data da publicação.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Os acervos vêm de qualquer concorrente que publique a lista de jogos, em plataformas como Acervo de Jogos e Ludopedia, no site ou em PDF. A cesta de jogos reúne os títulos presentes em 15 ou mais dos 30 acervos coletados. O preço de cada título é levantado em lojas online e expresso em faixa, do menor preço ao máximo, com a mediana como valor provável. A cesta sustenta o custo do acervo inicial (cap. 9).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entorno é medido no Google Maps. São contados as estações de metrô, trem, VLT e BRT e os shoppings de porte num raio de 500 m e de 1.000 m de cada concorrente, e é medida a distância em linha reta até a estação e o shopping mais próximos. Shopping de porte é o que tem 1.000 avaliações ou mais no Maps; os limiares de 500 e 5.000 avaliações servem de sensibilidade.</w:t>
      </w:r>
    </w:p>
    <w:p>
      <w:pPr>
        <w:pStyle w:val="Heading2"/>
        <w:keepNext/>
        <w:spacing w:after="120" w:before="24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3.3.2 Bloco B2 — Avaliações recentes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recorte reúne todas as avaliações com texto cujo rótulo de data seja de até "3 meses atrás", inclusive, na data da coleta. O rótulo "3 meses atrás" cobre de 90 a 119 dias. O número de avaliações no recorte, dividido pela duração da janela, dá a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velocidade de avaliações</w:t>
      </w:r>
      <w:r>
        <w:rPr>
          <w:rFonts w:ascii="Arial" w:cs="Arial" w:eastAsia="Arial" w:hAnsi="Arial"/>
          <w:sz w:val="24"/>
          <w:szCs w:val="24"/>
        </w:rPr>
        <w:t xml:space="preserve">, em avaliações com texto por mês.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coleta foi feita por script no navegador, em outubro de 2026, com cópia do texto, da nota, do rótulo de data e das notas por aspecto. O nome do autor da avaliação é trocado por um código na própria coleta. O script só conta uma avaliação como lida com o texto expandido; avaliação que ficou cortada é marcada, e o concorrente é coletado de novo. Nos 49 concorrentes da lista original, o recorte reuniu 2.218 avaliações, 1.440 delas com texto. Com as cinco luderias incluídas depois, a base de codificação tem 1.628 avaliações.</w:t>
      </w:r>
    </w:p>
    <w:p>
      <w:pPr>
        <w:pStyle w:val="Heading2"/>
        <w:keepNext/>
        <w:spacing w:after="120" w:before="24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3.3.3 Bloco B3 — Contagem direta de ocupação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contagem direta é a âncora absoluta do trabalho: mede pessoas, grupos, permanência e taxa de ocupação na São Jogue, única luderia de Salvador, nas unidades Bela Vista e Paralela.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Foram quatro visitas, duas por unidade, sempre na noite de sexta ou sábado: Bela Vista em 10/10 (sábado) e 16/10 (sexta); Paralela em 17/10 (sábado) e 30/10/2026 (sexta). Os dias medem o movimento máximo da semana. As visitas duraram de 2,5 a 3,3 horas, com 10,9 horas observadas no total, e as taxas são calculadas por hora observada.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observador fica dentro do salão, sentado a uma mesa como cliente. A mesa do próprio observador não entra nos registros — nem o grupo, nem as pessoas, nem o comportamento — e sai do denominador da taxa de ocupação. Registram-se a entrada e a saída de cada grupo na porta e, em cada mesa, a hora em que o grupo senta e sai, o número de pessoas, as crianças, os jogos e as chamadas ao instrutor. Grupo que já estava no salão na chegada é estoque inicial; grupo ainda no salão ao fim da visita tem permanência censurada. As quatro visitas registraram 27 grupos de mesa, com 101 pessoas.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instrumento é um aplicativo de observação para Android, desenvolvido para o trabalho. Ele grava cada registro na hora e exporta um arquivo CSV por conteúdo — visita, grupos de mesa, porta, contagens de mesas, estrutura da unidade e preços —, descrito no Apêndice G. Os originais são guardados sem edição; correções ficam numa lista à parte, com o motivo.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taxa de ocupação</w:t>
      </w:r>
      <w:r>
        <w:rPr>
          <w:rFonts w:ascii="Arial" w:cs="Arial" w:eastAsia="Arial" w:hAnsi="Arial"/>
          <w:sz w:val="24"/>
          <w:szCs w:val="24"/>
        </w:rPr>
        <w:t xml:space="preserve"> é a proporção das mesas ocupadas, em média, no período observado. O cálculo é feito minuto a minuto, a partir dos intervalos de entrada e saída dos grupos de mesa. O denominador é o número de mesas da unidade, menos a do observador: 10 na Bela Vista e 9 na Paralela. A ocupação dos assentos segue a mesma lógica, sobre os 48 lugares por turno do site de reservas, menos as pessoas da mesa do observador.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NFC-e de uma compra do autor no início e no fim de cada visita dá a série e o número da nota. A diferença entre as duas visitas da mesma unidade dá as notas emitidas no intervalo: 183 na Bela Vista, de 10/10 a 16/10 (6 dias), e 209 na Paralela, de 17/10 a 30/10/2026 (13 dias). As duas unidades só emitem a nota quando o cliente pede. As notas emitidas são, portanto, um piso das vendas.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Os pedidos de cada mesa — categoria, quantidade e hora de chegada — foram registrados em parte das visitas. Como não cobrem as quatro, entram só como descrição, sem sustentar premissa.</w:t>
      </w:r>
    </w:p>
    <w:p>
      <w:pPr>
        <w:pStyle w:val="Heading2"/>
        <w:keepNext/>
        <w:spacing w:after="120" w:before="24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3.3.4 Bloco B4 — Bases públicas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As bases públicas dão o tamanho e a renda do público (Censo 2022, estimativas de população e PNAD Contínua), o aluguel (FipeZap), os salários (Novo CAGED), os tributos (Simples Nacional e CONCLA), as margens do setor (Pesquisa Anual de Serviços), o gasto das famílias (POF 2017-2018, corrigida pelo IPCA) e a taxa de desconto (Banco Central). Cada série guarda o recorte e a data de referência; a lista completa está no Apêndice H.</w:t>
      </w:r>
    </w:p>
    <w:p>
      <w:pPr>
        <w:pStyle w:val="Heading1"/>
        <w:keepNext/>
        <w:spacing w:after="240" w:before="36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3.4 TRATAMENTO DOS DADOS</w:t>
      </w:r>
    </w:p>
    <w:p>
      <w:pPr>
        <w:pStyle w:val="Heading2"/>
        <w:keepNext/>
        <w:spacing w:after="120" w:before="24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3.4.1 Pipeline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Os dados percorrem três etapas, cada uma com scripts próprios: coleta, tratamento e análise. Os brutos — textos integrais e listas com nomes de pessoas — ficam fora do repositório público. O trabalho e o repositório divulgam só dados processados. Todo sorteio usa semente fixa registrada no código, e qualquer número do texto pode ser gerado de novo a partir dos scripts.</w:t>
      </w:r>
    </w:p>
    <w:p>
      <w:pPr>
        <w:pStyle w:val="Heading2"/>
        <w:keepNext/>
        <w:spacing w:after="120" w:before="24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3.4.2 Codificação das avaliações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As avaliações são codificadas por análise de conteúdo (BARDIN, 2011) </w:t>
      </w:r>
      <w:r>
        <w:rPr>
          <w:rFonts w:ascii="Arial" w:cs="Arial" w:eastAsia="Arial" w:hAnsi="Arial"/>
          <w:sz w:val="24"/>
          <w:szCs w:val="24"/>
        </w:rPr>
        <w:t xml:space="preserve">[AV]</w:t>
      </w:r>
      <w:r>
        <w:rPr>
          <w:rFonts w:ascii="Arial" w:cs="Arial" w:eastAsia="Arial" w:hAnsi="Arial"/>
          <w:sz w:val="24"/>
          <w:szCs w:val="24"/>
        </w:rPr>
        <w:t xml:space="preserve">. A unidade de registro é o tema: trecho que expressa um juízo sobre um atributo do concorrente. A unidade de contexto é a avaliação inteira, mais as notas por aspecto do Google quando o texto é ambíguo. A enumeração é por presença: tema citado duas vezes na mesma avaliação conta uma vez.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dicionário de temas tem 22 temas, os mesmos para elogio e crítica: a coluna em que o tema entra dá a polaridade. Os temas cobrem jogos (variedade e curadoria do acervo, conservação, explicação dos jogos), equipe e serviço, comida e bebida, preço, ambiente e regras da casa. Cada tema tem definição, exemplos do que entra e do que não entra e regra para os casos de fronteira. Ocasião da visita, público e aluguel de jogos vão para uma coluna de contexto, sem polaridade. A codificação foi feita com apoio de inteligência artificial, pelo dicionário, e é validada contra a recodificação do autor (seção 3.4.3). Do texto saem ainda o tamanho do grupo, os valores em reais e os jogos citados.</w:t>
      </w:r>
    </w:p>
    <w:p>
      <w:pPr>
        <w:pStyle w:val="Heading2"/>
        <w:keepNext/>
        <w:spacing w:after="120" w:before="24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3.4.3 Validação da coleta e da codificação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validação estima o erro que sobra depois que o dado é obtido. A referência é o modelo de erro total da pesquisa, que separa o erro amostral do erro não amostral: cobertura, medida e processamento (GROVES et al., 2009; BIEMER, 2010) </w:t>
      </w:r>
      <w:r>
        <w:rPr>
          <w:rFonts w:ascii="Arial" w:cs="Arial" w:eastAsia="Arial" w:hAnsi="Arial"/>
          <w:sz w:val="24"/>
          <w:szCs w:val="24"/>
        </w:rPr>
        <w:t xml:space="preserve">[AV]</w:t>
      </w:r>
      <w:r>
        <w:rPr>
          <w:rFonts w:ascii="Arial" w:cs="Arial" w:eastAsia="Arial" w:hAnsi="Arial"/>
          <w:sz w:val="24"/>
          <w:szCs w:val="24"/>
        </w:rPr>
        <w:t xml:space="preserve">. A adaptação desse modelo a dados de plataformas digitais está em Amaya, Biemer e Kinyon (2020) </w:t>
      </w:r>
      <w:r>
        <w:rPr>
          <w:rFonts w:ascii="Arial" w:cs="Arial" w:eastAsia="Arial" w:hAnsi="Arial"/>
          <w:sz w:val="24"/>
          <w:szCs w:val="24"/>
        </w:rPr>
        <w:t xml:space="preserve">[AV]</w:t>
      </w:r>
      <w:r>
        <w:rPr>
          <w:rFonts w:ascii="Arial" w:cs="Arial" w:eastAsia="Arial" w:hAnsi="Arial"/>
          <w:sz w:val="24"/>
          <w:szCs w:val="24"/>
        </w:rPr>
        <w:t xml:space="preserve">. O procedimento muda com a natureza de cada bloco (Quadro 3.3).</w:t>
      </w:r>
    </w:p>
    <w:p>
      <w:pPr>
        <w:keepNext/>
        <w:spacing w:after="0" w:before="240" w:line="2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Quadro 3.3 – Validação por bloco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4"/>
        <w:gridCol w:w="2134"/>
        <w:gridCol w:w="2134"/>
        <w:gridCol w:w="2349"/>
      </w:tblGrid>
      <w:tr>
        <w:trPr>
          <w:cantSplit/>
          <w:tblHeader/>
        </w:trPr>
        <w:tc>
          <w:tcPr>
            <w:tcW w:type="dxa" w:w="245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Bloco</w:t>
            </w:r>
          </w:p>
        </w:tc>
        <w:tc>
          <w:tcPr>
            <w:tcW w:type="dxa" w:w="2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Erro amostral</w:t>
            </w:r>
          </w:p>
        </w:tc>
        <w:tc>
          <w:tcPr>
            <w:tcW w:type="dxa" w:w="2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Erro a validar</w:t>
            </w:r>
          </w:p>
        </w:tc>
        <w:tc>
          <w:tcPr>
            <w:tcW w:type="dxa" w:w="234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Instrumento</w:t>
            </w:r>
          </w:p>
        </w:tc>
      </w:tr>
      <w:tr>
        <w:trPr>
          <w:cantSplit/>
          <w:tblHeader w:val="false"/>
        </w:trPr>
        <w:tc>
          <w:tcPr>
            <w:tcW w:type="dxa" w:w="245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B1 e B2</w:t>
            </w:r>
          </w:p>
        </w:tc>
        <w:tc>
          <w:tcPr>
            <w:tcW w:type="dxa" w:w="2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Não há: censo da fonte</w:t>
            </w:r>
          </w:p>
        </w:tc>
        <w:tc>
          <w:tcPr>
            <w:tcW w:type="dxa" w:w="2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Fidelidade do script à página; completude; cobertura do Google Maps</w:t>
            </w:r>
          </w:p>
        </w:tc>
        <w:tc>
          <w:tcPr>
            <w:tcW w:type="dxa" w:w="234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Amostra de auditoria; contagem na página; buscas independentes e Instagram</w:t>
            </w:r>
          </w:p>
        </w:tc>
      </w:tr>
      <w:tr>
        <w:trPr>
          <w:cantSplit/>
          <w:tblHeader w:val="false"/>
        </w:trPr>
        <w:tc>
          <w:tcPr>
            <w:tcW w:type="dxa" w:w="245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B3</w:t>
            </w:r>
          </w:p>
        </w:tc>
        <w:tc>
          <w:tcPr>
            <w:tcW w:type="dxa" w:w="2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Há: quatro noites representam a operação</w:t>
            </w:r>
          </w:p>
        </w:tc>
        <w:tc>
          <w:tcPr>
            <w:tcW w:type="dxa" w:w="2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Omissão de registro; erro de contagem</w:t>
            </w:r>
          </w:p>
        </w:tc>
        <w:tc>
          <w:tcPr>
            <w:tcW w:type="dxa" w:w="234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Fechamento do saldo; comparação entre porta, mesas e notas</w:t>
            </w:r>
          </w:p>
        </w:tc>
      </w:tr>
      <w:tr>
        <w:trPr>
          <w:cantSplit/>
          <w:tblHeader w:val="false"/>
        </w:trPr>
        <w:tc>
          <w:tcPr>
            <w:tcW w:type="dxa" w:w="245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B4</w:t>
            </w:r>
          </w:p>
        </w:tc>
        <w:tc>
          <w:tcPr>
            <w:tcW w:type="dxa" w:w="2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Não há na extração</w:t>
            </w:r>
          </w:p>
        </w:tc>
        <w:tc>
          <w:tcPr>
            <w:tcW w:type="dxa" w:w="2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Processamento: código, filtro, unidade, deflação</w:t>
            </w:r>
          </w:p>
        </w:tc>
        <w:tc>
          <w:tcPr>
            <w:tcW w:type="dxa" w:w="234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Reconciliação com a tabela publicada; soma das linhas igual ao total</w:t>
            </w:r>
          </w:p>
        </w:tc>
      </w:tr>
    </w:tbl>
    <w:p>
      <w:pPr>
        <w:keepNext w:val="false"/>
        <w:spacing w:after="240" w:before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Fonte: elaboração própria.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Nos Blocos B1 e B2, a amostra estima a taxa de erro do script. Cada coleta tem uma amostra de auditoria sorteada por script, com semente fixa: 20% dos concorrentes e do entorno, estratificados por capital e faixa de volume; 200 avaliações, 200 posts do Instagram, 200 itens de cardápio e 200 jogos, com mínimo de 3 por concorrente. Cada unidade sorteada é conferida na página. A taxa de erro de cada variável sai com intervalo de confiança de 95% pelo método de Wilson (1927) </w:t>
      </w:r>
      <w:r>
        <w:rPr>
          <w:rFonts w:ascii="Arial" w:cs="Arial" w:eastAsia="Arial" w:hAnsi="Arial"/>
          <w:sz w:val="24"/>
          <w:szCs w:val="24"/>
        </w:rPr>
        <w:t xml:space="preserve">[AV]</w:t>
      </w:r>
      <w:r>
        <w:rPr>
          <w:rFonts w:ascii="Arial" w:cs="Arial" w:eastAsia="Arial" w:hAnsi="Arial"/>
          <w:sz w:val="24"/>
          <w:szCs w:val="24"/>
        </w:rPr>
        <w:t xml:space="preserve">. A variável é aceita quando o limite superior do intervalo fica em 5% ou menos: com 200 conferências, isso admite até 3 erros. Variável reprovada tem o script corrigido e o estrato coletado de novo.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amostra das avaliações inclui todos os concorrentes. A razão é o padrão das falhas: elas se concentram em certas páginas, e um concorrente fora da amostra esconderia a falha. Erro concentrado num grupo gera viés, e o tamanho da base não o dilui (MENG, 2018) </w:t>
      </w:r>
      <w:r>
        <w:rPr>
          <w:rFonts w:ascii="Arial" w:cs="Arial" w:eastAsia="Arial" w:hAnsi="Arial"/>
          <w:sz w:val="24"/>
          <w:szCs w:val="24"/>
        </w:rPr>
        <w:t xml:space="preserve">[AV]</w:t>
      </w:r>
      <w:r>
        <w:rPr>
          <w:rFonts w:ascii="Arial" w:cs="Arial" w:eastAsia="Arial" w:hAnsi="Arial"/>
          <w:sz w:val="24"/>
          <w:szCs w:val="24"/>
        </w:rPr>
        <w:t xml:space="preserve">. Por isso, a completude é conferida em todos os concorrentes: o número de avaliações com texto no recorte, contado na página, é comparado ao coletado.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cobertura do Bloco B1 é checada por buscas manuais nas capitais e por uma bola de neve no Instagram: conta seguida por três ou mais concorrentes vira candidata e é classificada à mão. A sobreposição das duas listas estima a cobertura por captura e recaptura, como limite inferior.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codificação das avaliações é validada por recodificação cega. O autor codifica de novo 139 avaliações sorteadas com estratificação, sem ver a primeira codificação. A concordância é medida pelo kappa de Cohen (COHEN, 1960) </w:t>
      </w:r>
      <w:r>
        <w:rPr>
          <w:rFonts w:ascii="Arial" w:cs="Arial" w:eastAsia="Arial" w:hAnsi="Arial"/>
          <w:sz w:val="24"/>
          <w:szCs w:val="24"/>
        </w:rPr>
        <w:t xml:space="preserve">[AV]</w:t>
      </w:r>
      <w:r>
        <w:rPr>
          <w:rFonts w:ascii="Arial" w:cs="Arial" w:eastAsia="Arial" w:hAnsi="Arial"/>
          <w:sz w:val="24"/>
          <w:szCs w:val="24"/>
        </w:rPr>
        <w:t xml:space="preserve">, por tema, com aceitação a partir de 0,70. Tema abaixo do critério tem a definição revista; se continuar abaixo, é reportado como exploratório e não sustenta premissa sozinho.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No Bloco B3 não há gravação para auditar depois. A validação usa a consistência do próprio registro: a contagem inicial mais as entradas e menos as saídas é comparada às contagens periódicas de mesas, e os grupos sem saída são separados entre censurados, ainda no salão, e omissões. As três estimativas de fluxo — pela porta, pelas mesas e pelas notas — são comparadas em cada visita. Dado não anotado é tratado como faltante, sem imputação.</w:t>
      </w:r>
    </w:p>
    <w:p>
      <w:pPr>
        <w:pStyle w:val="Heading1"/>
        <w:keepNext/>
        <w:spacing w:after="240" w:before="36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3.5 TÉCNICAS DE ANÁLISE E CONTROLES</w:t>
      </w:r>
    </w:p>
    <w:p>
      <w:pPr>
        <w:pStyle w:val="Heading2"/>
        <w:keepNext/>
        <w:spacing w:after="120" w:before="24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3.5.1 Análises por área do plano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No marketing, a análise de penalidade e recompensa — nota média com e sem crítica a cada tema, ponderada por concorrente — separa os atributos obrigatórios dos que diferenciam. Os cardápios são comparados por categoria e por metrópole.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No operacional, as reclamações são ordenadas pela frequência de cada tema negativo; o tamanho dos grupos e a permanência do Bloco B3 dimensionam as mesas.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No financeiro, cada premissa crítica tem técnica e limitação próprias. A taxa de ocupação de fim de semana vem da contagem direta. O ticket médio vem do consumo por pessoa — uma bebida e uma entrada ou prato, por metrópole, com o couvert somado só onde foi encontrado (cesta completa) —, calibrada pelos valores citados nas avaliações e pelos preços da São Jogue e checada contra a POF. A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permanência</w:t>
      </w:r>
      <w:r>
        <w:rPr>
          <w:rFonts w:ascii="Arial" w:cs="Arial" w:eastAsia="Arial" w:hAnsi="Arial"/>
          <w:sz w:val="24"/>
          <w:szCs w:val="24"/>
        </w:rPr>
        <w:t xml:space="preserve"> — tempo entre a entrada e a saída de um grupo — sai das visitas; o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giro</w:t>
      </w:r>
      <w:r>
        <w:rPr>
          <w:rFonts w:ascii="Arial" w:cs="Arial" w:eastAsia="Arial" w:hAnsi="Arial"/>
          <w:sz w:val="24"/>
          <w:szCs w:val="24"/>
        </w:rPr>
        <w:t xml:space="preserve">, número de grupos que uma mesa recebe por dia, é o horário de funcionamento dividido pela permanência média.</w:t>
      </w:r>
    </w:p>
    <w:p>
      <w:pPr>
        <w:pStyle w:val="Heading2"/>
        <w:keepNext/>
        <w:spacing w:after="120" w:before="24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3.5.2 Calibração do fluxo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fluxo</w:t>
      </w:r>
      <w:r>
        <w:rPr>
          <w:rFonts w:ascii="Arial" w:cs="Arial" w:eastAsia="Arial" w:hAnsi="Arial"/>
          <w:sz w:val="24"/>
          <w:szCs w:val="24"/>
        </w:rPr>
        <w:t xml:space="preserve"> é o número de visitantes por semana. Na São Jogue, ele é estimado por dois caminhos independentes. O primeiro usa as notas fiscais: notas emitidas no intervalo entre as visitas, por dia, vezes sete, vezes as pessoas por nota observadas. Como a nota só sai a pedido, esse caminho dá o limite inferior. O segundo usa a contagem: pessoas por hora no movimento máximo vezes as horas de funcionamento do fim de semana, o que dá o limite superior. A divergência entre os dois define a faixa da premissa.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calibração estende a medida aos demais concorrentes. A velocidade de avaliações da São Jogue, dividida pelo seu fluxo estimado, dá a razão entre avaliações e visitantes. A velocidade de avaliações de cada concorrente, dividida por essa razão, estima o seu fluxo, sempre em faixa. O resultado entra no registro de premissas com nível N5 + N3.</w:t>
      </w:r>
    </w:p>
    <w:p>
      <w:pPr>
        <w:pStyle w:val="Heading2"/>
        <w:keepNext/>
        <w:spacing w:after="120" w:before="24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3.5.3 Controles estatísticos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As análises com avaliações dão peso igual a cada concorrente, para que os mais movimentados não dominem o resultado. Toda proporção ou média usada em premissa vem com intervalo de confiança. Os resultados são refeitos sem os cinco concorrentes de maior volume e sem os de menos de 10 avaliações no recorte.</w:t>
      </w:r>
    </w:p>
    <w:p>
      <w:pPr>
        <w:pStyle w:val="Heading1"/>
        <w:keepNext/>
        <w:spacing w:after="240" w:before="36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3.6 MATRIZ DE EVIDÊNCIAS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matriz liga cada decisão do plano à pergunta que ela responde, ao dado usado, à fonte e ao nível de evidência (Quadro 3.4). Toda premissa crítica do cap. 9 aparece nela.</w:t>
      </w:r>
    </w:p>
    <w:p>
      <w:pPr>
        <w:keepNext/>
        <w:spacing w:after="0" w:before="240" w:line="2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Quadro 3.4 – Matriz de evidências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5"/>
        <w:gridCol w:w="1591"/>
        <w:gridCol w:w="1591"/>
        <w:gridCol w:w="2387"/>
        <w:gridCol w:w="797"/>
      </w:tblGrid>
      <w:tr>
        <w:trPr>
          <w:cantSplit/>
          <w:tblHeader/>
        </w:trPr>
        <w:tc>
          <w:tcPr>
            <w:tcW w:type="dxa" w:w="270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Decisão</w:t>
            </w:r>
          </w:p>
        </w:tc>
        <w:tc>
          <w:tcPr>
            <w:tcW w:type="dxa" w:w="159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Pergunta</w:t>
            </w:r>
          </w:p>
        </w:tc>
        <w:tc>
          <w:tcPr>
            <w:tcW w:type="dxa" w:w="159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Dado usado</w:t>
            </w:r>
          </w:p>
        </w:tc>
        <w:tc>
          <w:tcPr>
            <w:tcW w:type="dxa" w:w="238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Fonte</w:t>
            </w:r>
          </w:p>
        </w:tc>
        <w:tc>
          <w:tcPr>
            <w:tcW w:type="dxa" w:w="79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Nível</w:t>
            </w:r>
          </w:p>
        </w:tc>
      </w:tr>
      <w:tr>
        <w:trPr>
          <w:cantSplit/>
          <w:tblHeader w:val="false"/>
        </w:trPr>
        <w:tc>
          <w:tcPr>
            <w:tcW w:type="dxa" w:w="270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 que bairro abrir?</w:t>
            </w:r>
          </w:p>
        </w:tc>
        <w:tc>
          <w:tcPr>
            <w:tcW w:type="dxa" w:w="159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Onde está o público, longe da concorrência e com aluguel compatível?</w:t>
            </w:r>
          </w:p>
        </w:tc>
        <w:tc>
          <w:tcPr>
            <w:tcW w:type="dxa" w:w="159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População, idade e renda; localização da São Jogue; aluguel; entorno</w:t>
            </w:r>
          </w:p>
        </w:tc>
        <w:tc>
          <w:tcPr>
            <w:tcW w:type="dxa" w:w="238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Censo 2022; PNAD Contínua; B1; FipeZap</w:t>
            </w:r>
          </w:p>
        </w:tc>
        <w:tc>
          <w:tcPr>
            <w:tcW w:type="dxa" w:w="79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N2 + N3</w:t>
            </w:r>
          </w:p>
        </w:tc>
      </w:tr>
      <w:tr>
        <w:trPr>
          <w:cantSplit/>
          <w:tblHeader w:val="false"/>
        </w:trPr>
        <w:tc>
          <w:tcPr>
            <w:tcW w:type="dxa" w:w="270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Qual modelo de cobrança?</w:t>
            </w:r>
          </w:p>
        </w:tc>
        <w:tc>
          <w:tcPr>
            <w:tcW w:type="dxa" w:w="159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Qual modelo o mercado pratica e qual gera menos reclamação de preço?</w:t>
            </w:r>
          </w:p>
        </w:tc>
        <w:tc>
          <w:tcPr>
            <w:tcW w:type="dxa" w:w="159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Política de cobrança; críticas a preço</w:t>
            </w:r>
          </w:p>
        </w:tc>
        <w:tc>
          <w:tcPr>
            <w:tcW w:type="dxa" w:w="238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B1 e B2</w:t>
            </w:r>
          </w:p>
        </w:tc>
        <w:tc>
          <w:tcPr>
            <w:tcW w:type="dxa" w:w="79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N3</w:t>
            </w:r>
          </w:p>
        </w:tc>
      </w:tr>
      <w:tr>
        <w:trPr>
          <w:cantSplit/>
          <w:tblHeader w:val="false"/>
        </w:trPr>
        <w:tc>
          <w:tcPr>
            <w:tcW w:type="dxa" w:w="270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Que cardápio oferecer?</w:t>
            </w:r>
          </w:p>
        </w:tc>
        <w:tc>
          <w:tcPr>
            <w:tcW w:type="dxa" w:w="159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Qual o peso da comida na nota e que itens e preços o mercado pratica?</w:t>
            </w:r>
          </w:p>
        </w:tc>
        <w:tc>
          <w:tcPr>
            <w:tcW w:type="dxa" w:w="159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Temas de comida × nota; cardápios</w:t>
            </w:r>
          </w:p>
        </w:tc>
        <w:tc>
          <w:tcPr>
            <w:tcW w:type="dxa" w:w="238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B1 e B2</w:t>
            </w:r>
          </w:p>
        </w:tc>
        <w:tc>
          <w:tcPr>
            <w:tcW w:type="dxa" w:w="79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N3</w:t>
            </w:r>
          </w:p>
        </w:tc>
      </w:tr>
      <w:tr>
        <w:trPr>
          <w:cantSplit/>
          <w:tblHeader w:val="false"/>
        </w:trPr>
        <w:tc>
          <w:tcPr>
            <w:tcW w:type="dxa" w:w="270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Qual ticket médio projetar?</w:t>
            </w:r>
          </w:p>
        </w:tc>
        <w:tc>
          <w:tcPr>
            <w:tcW w:type="dxa" w:w="159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Quanto uma pessoa gasta por visita?</w:t>
            </w:r>
          </w:p>
        </w:tc>
        <w:tc>
          <w:tcPr>
            <w:tcW w:type="dxa" w:w="159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Consumo por pessoa do cardápio; valores citados; NFC-e; POF</w:t>
            </w:r>
          </w:p>
        </w:tc>
        <w:tc>
          <w:tcPr>
            <w:tcW w:type="dxa" w:w="238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B1, B2, B3 e B4</w:t>
            </w:r>
          </w:p>
        </w:tc>
        <w:tc>
          <w:tcPr>
            <w:tcW w:type="dxa" w:w="79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N3 + N5 + N2</w:t>
            </w:r>
          </w:p>
        </w:tc>
      </w:tr>
      <w:tr>
        <w:trPr>
          <w:cantSplit/>
          <w:tblHeader w:val="false"/>
        </w:trPr>
        <w:tc>
          <w:tcPr>
            <w:tcW w:type="dxa" w:w="270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Qual taxa de ocupação projetar?</w:t>
            </w:r>
          </w:p>
        </w:tc>
        <w:tc>
          <w:tcPr>
            <w:tcW w:type="dxa" w:w="159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Quantas mesas um concorrente comparável ocupa?</w:t>
            </w:r>
          </w:p>
        </w:tc>
        <w:tc>
          <w:tcPr>
            <w:tcW w:type="dxa" w:w="159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Ocupação minuto a minuto; notas emitidas (piso); velocidade de avaliações calibrada</w:t>
            </w:r>
          </w:p>
        </w:tc>
        <w:tc>
          <w:tcPr>
            <w:tcW w:type="dxa" w:w="238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B2 e B3</w:t>
            </w:r>
          </w:p>
        </w:tc>
        <w:tc>
          <w:tcPr>
            <w:tcW w:type="dxa" w:w="79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N5 + N3</w:t>
            </w:r>
          </w:p>
        </w:tc>
      </w:tr>
      <w:tr>
        <w:trPr>
          <w:cantSplit/>
          <w:tblHeader w:val="false"/>
        </w:trPr>
        <w:tc>
          <w:tcPr>
            <w:tcW w:type="dxa" w:w="270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Qual giro projetar?</w:t>
            </w:r>
          </w:p>
        </w:tc>
        <w:tc>
          <w:tcPr>
            <w:tcW w:type="dxa" w:w="159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Quanto tempo uma mesa fica ocupada?</w:t>
            </w:r>
          </w:p>
        </w:tc>
        <w:tc>
          <w:tcPr>
            <w:tcW w:type="dxa" w:w="159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Permanência observada; modelos de cobrança</w:t>
            </w:r>
          </w:p>
        </w:tc>
        <w:tc>
          <w:tcPr>
            <w:tcW w:type="dxa" w:w="238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B1 e B3</w:t>
            </w:r>
          </w:p>
        </w:tc>
        <w:tc>
          <w:tcPr>
            <w:tcW w:type="dxa" w:w="79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N5</w:t>
            </w:r>
          </w:p>
        </w:tc>
      </w:tr>
      <w:tr>
        <w:trPr>
          <w:cantSplit/>
          <w:tblHeader w:val="false"/>
        </w:trPr>
        <w:tc>
          <w:tcPr>
            <w:tcW w:type="dxa" w:w="270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Quantas mesas e de que tamanho?</w:t>
            </w:r>
          </w:p>
        </w:tc>
        <w:tc>
          <w:tcPr>
            <w:tcW w:type="dxa" w:w="159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Quantas pessoas ocupam cada mesa?</w:t>
            </w:r>
          </w:p>
        </w:tc>
        <w:tc>
          <w:tcPr>
            <w:tcW w:type="dxa" w:w="159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Tamanho do grupo citado e observado</w:t>
            </w:r>
          </w:p>
        </w:tc>
        <w:tc>
          <w:tcPr>
            <w:tcW w:type="dxa" w:w="238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B2 e B3</w:t>
            </w:r>
          </w:p>
        </w:tc>
        <w:tc>
          <w:tcPr>
            <w:tcW w:type="dxa" w:w="79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N3 + N5</w:t>
            </w:r>
          </w:p>
        </w:tc>
      </w:tr>
      <w:tr>
        <w:trPr>
          <w:cantSplit/>
          <w:tblHeader w:val="false"/>
        </w:trPr>
        <w:tc>
          <w:tcPr>
            <w:tcW w:type="dxa" w:w="270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Qual acervo inicial?</w:t>
            </w:r>
          </w:p>
        </w:tc>
        <w:tc>
          <w:tcPr>
            <w:tcW w:type="dxa" w:w="159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Que jogos o público cita, quais os concorrentes têm e quanto custam?</w:t>
            </w:r>
          </w:p>
        </w:tc>
        <w:tc>
          <w:tcPr>
            <w:tcW w:type="dxa" w:w="159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Jogos citados; acervos; cesta de jogos</w:t>
            </w:r>
          </w:p>
        </w:tc>
        <w:tc>
          <w:tcPr>
            <w:tcW w:type="dxa" w:w="238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B1 e B2</w:t>
            </w:r>
          </w:p>
        </w:tc>
        <w:tc>
          <w:tcPr>
            <w:tcW w:type="dxa" w:w="79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N3</w:t>
            </w:r>
          </w:p>
        </w:tc>
      </w:tr>
      <w:tr>
        <w:trPr>
          <w:cantSplit/>
          <w:tblHeader w:val="false"/>
        </w:trPr>
        <w:tc>
          <w:tcPr>
            <w:tcW w:type="dxa" w:w="270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Qual regime tributário?</w:t>
            </w:r>
          </w:p>
        </w:tc>
        <w:tc>
          <w:tcPr>
            <w:tcW w:type="dxa" w:w="159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Qual a carga sobre a receita projetada?</w:t>
            </w:r>
          </w:p>
        </w:tc>
        <w:tc>
          <w:tcPr>
            <w:tcW w:type="dxa" w:w="159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Alíquotas</w:t>
            </w:r>
          </w:p>
        </w:tc>
        <w:tc>
          <w:tcPr>
            <w:tcW w:type="dxa" w:w="238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LC 123/2006; CONCLA</w:t>
            </w:r>
          </w:p>
        </w:tc>
        <w:tc>
          <w:tcPr>
            <w:tcW w:type="dxa" w:w="79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N1</w:t>
            </w:r>
          </w:p>
        </w:tc>
      </w:tr>
      <w:tr>
        <w:trPr>
          <w:cantSplit/>
          <w:tblHeader w:val="false"/>
        </w:trPr>
        <w:tc>
          <w:tcPr>
            <w:tcW w:type="dxa" w:w="270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Qual taxa de desconto?</w:t>
            </w:r>
          </w:p>
        </w:tc>
        <w:tc>
          <w:tcPr>
            <w:tcW w:type="dxa" w:w="159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Qual o custo de oportunidade do capital?</w:t>
            </w:r>
          </w:p>
        </w:tc>
        <w:tc>
          <w:tcPr>
            <w:tcW w:type="dxa" w:w="159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Selic e IPCA projetados</w:t>
            </w:r>
          </w:p>
        </w:tc>
        <w:tc>
          <w:tcPr>
            <w:tcW w:type="dxa" w:w="238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Banco Central (Focus)</w:t>
            </w:r>
          </w:p>
        </w:tc>
        <w:tc>
          <w:tcPr>
            <w:tcW w:type="dxa" w:w="79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N2</w:t>
            </w:r>
          </w:p>
        </w:tc>
      </w:tr>
    </w:tbl>
    <w:p>
      <w:pPr>
        <w:keepNext w:val="false"/>
        <w:spacing w:after="240" w:before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Fonte: elaboração própria.</w:t>
      </w:r>
    </w:p>
    <w:p>
      <w:pPr>
        <w:pStyle w:val="Heading1"/>
        <w:keepNext/>
        <w:spacing w:after="240" w:before="36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3.7 ASPECTOS ÉTICOS E LEGAIS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As avaliações são informações de acesso público. O nome de usuário, único dado que identificaria o autor, é trocado por um código aleatório na coleta, e nem nome nem link são guardados. Trechos citados são curtos e sem elemento identificador.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contagem direta é observação agregada, feita dentro de espaço comercial aberto ao público, com o observador sentado como cliente. Não há fotos de pessoas, registro de características individuais nem interação com clientes. O número da NFC-e vem de nota emitida para compra do próprio autor.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tratamento segue a Lei nº 13.709/2018 (Lei Geral de Proteção de Dados) e a Resolução CNS nº 510/2016, que trata das pesquisas em ciências humanas e sociais com dados de acesso público e informações agregadas </w:t>
      </w:r>
      <w:r>
        <w:rPr>
          <w:rFonts w:ascii="Arial" w:cs="Arial" w:eastAsia="Arial" w:hAnsi="Arial"/>
          <w:sz w:val="24"/>
          <w:szCs w:val="24"/>
        </w:rPr>
        <w:t xml:space="preserve">[AV]</w:t>
      </w:r>
      <w:r>
        <w:rPr>
          <w:rFonts w:ascii="Arial" w:cs="Arial" w:eastAsia="Arial" w:hAnsi="Arial"/>
          <w:sz w:val="24"/>
          <w:szCs w:val="24"/>
        </w:rPr>
        <w:t xml:space="preserve">. A dispensa de submissão ao Comitê de Ética foi consultada com a orientação.</w:t>
      </w:r>
    </w:p>
    <w:p>
      <w:pPr>
        <w:pStyle w:val="Heading1"/>
        <w:keepNext/>
        <w:spacing w:after="240" w:before="36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3.8 LIMITAÇÕES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método mede bem o que acontece nos concorrentes estabelecidos e no movimento máximo da São Jogue; mede mal a média da semana e a variação ao longo do ano. Cada limitação entra na faixa da premissa que ela afeta (Quadro 3.5).</w:t>
      </w:r>
    </w:p>
    <w:p>
      <w:pPr>
        <w:keepNext/>
        <w:spacing w:after="0" w:before="240" w:line="2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Quadro 3.5 – Limitações e tratamento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67"/>
        <w:gridCol w:w="2451"/>
        <w:gridCol w:w="2453"/>
      </w:tblGrid>
      <w:tr>
        <w:trPr>
          <w:cantSplit/>
          <w:tblHeader/>
        </w:trPr>
        <w:tc>
          <w:tcPr>
            <w:tcW w:type="dxa" w:w="41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Limitação</w:t>
            </w:r>
          </w:p>
        </w:tc>
        <w:tc>
          <w:tcPr>
            <w:tcW w:type="dxa" w:w="245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Efeito</w:t>
            </w:r>
          </w:p>
        </w:tc>
        <w:tc>
          <w:tcPr>
            <w:tcW w:type="dxa" w:w="24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Tratamento</w:t>
            </w:r>
          </w:p>
        </w:tc>
      </w:tr>
      <w:tr>
        <w:trPr>
          <w:cantSplit/>
          <w:tblHeader w:val="false"/>
        </w:trPr>
        <w:tc>
          <w:tcPr>
            <w:tcW w:type="dxa" w:w="41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Autosseleção de quem avalia</w:t>
            </w:r>
          </w:p>
        </w:tc>
        <w:tc>
          <w:tcPr>
            <w:tcW w:type="dxa" w:w="245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Experiências extremas e usuários ativos ficam sobrerrepresentados</w:t>
            </w:r>
          </w:p>
        </w:tc>
        <w:tc>
          <w:tcPr>
            <w:tcW w:type="dxa" w:w="24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Peso igual por concorrente; declarada</w:t>
            </w:r>
          </w:p>
        </w:tc>
      </w:tr>
      <w:tr>
        <w:trPr>
          <w:cantSplit/>
          <w:tblHeader w:val="false"/>
        </w:trPr>
        <w:tc>
          <w:tcPr>
            <w:tcW w:type="dxa" w:w="41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Recorte de três meses de avaliações</w:t>
            </w:r>
          </w:p>
        </w:tc>
        <w:tc>
          <w:tcPr>
            <w:tcW w:type="dxa" w:w="245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Não mede sazonalidade; o rótulo do Google é arredondado</w:t>
            </w:r>
          </w:p>
        </w:tc>
        <w:tc>
          <w:tcPr>
            <w:tcW w:type="dxa" w:w="24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 da coleta registrada; sazonalidade como premissa com faixa</w:t>
            </w:r>
          </w:p>
        </w:tc>
      </w:tr>
      <w:tr>
        <w:trPr>
          <w:cantSplit/>
          <w:tblHeader w:val="false"/>
        </w:trPr>
        <w:tc>
          <w:tcPr>
            <w:tcW w:type="dxa" w:w="41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Corte de 100 avaliações</w:t>
            </w:r>
          </w:p>
        </w:tc>
        <w:tc>
          <w:tcPr>
            <w:tcW w:type="dxa" w:w="245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Exclui casas novas ou pequenas</w:t>
            </w:r>
          </w:p>
        </w:tc>
        <w:tc>
          <w:tcPr>
            <w:tcW w:type="dxa" w:w="24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Total da busca apresentado ao lado do recorte</w:t>
            </w:r>
          </w:p>
        </w:tc>
      </w:tr>
      <w:tr>
        <w:trPr>
          <w:cantSplit/>
          <w:tblHeader w:val="false"/>
        </w:trPr>
        <w:tc>
          <w:tcPr>
            <w:tcW w:type="dxa" w:w="41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Contagem em um só estabelecimento, quatro noites de sexta e sábado</w:t>
            </w:r>
          </w:p>
        </w:tc>
        <w:tc>
          <w:tcPr>
            <w:tcW w:type="dxa" w:w="245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Ocupação do movimento máximo supera a média da semana; a razão de calibração pode não valer em outros locais</w:t>
            </w:r>
          </w:p>
        </w:tc>
        <w:tc>
          <w:tcPr>
            <w:tcW w:type="dxa" w:w="24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Contagem como limite superior; notas como piso; ocupação no tornado</w:t>
            </w:r>
          </w:p>
        </w:tc>
      </w:tr>
      <w:tr>
        <w:trPr>
          <w:cantSplit/>
          <w:tblHeader w:val="false"/>
        </w:trPr>
        <w:tc>
          <w:tcPr>
            <w:tcW w:type="dxa" w:w="41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NFC-e só a pedido do cliente</w:t>
            </w:r>
          </w:p>
        </w:tc>
        <w:tc>
          <w:tcPr>
            <w:tcW w:type="dxa" w:w="245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Notas emitidas são piso das vendas</w:t>
            </w:r>
          </w:p>
        </w:tc>
        <w:tc>
          <w:tcPr>
            <w:tcW w:type="dxa" w:w="24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Caminho das notas como limite inferior; retomada em 11.3</w:t>
            </w:r>
          </w:p>
        </w:tc>
      </w:tr>
      <w:tr>
        <w:trPr>
          <w:cantSplit/>
          <w:tblHeader w:val="false"/>
        </w:trPr>
        <w:tc>
          <w:tcPr>
            <w:tcW w:type="dxa" w:w="41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Um único intervalo de notas por unidade (6 e 13 dias, abaixo dos 15 planejados)</w:t>
            </w:r>
          </w:p>
        </w:tc>
        <w:tc>
          <w:tcPr>
            <w:tcW w:type="dxa" w:w="245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Não capta a variação do mês nem a sazonalidade</w:t>
            </w:r>
          </w:p>
        </w:tc>
        <w:tc>
          <w:tcPr>
            <w:tcW w:type="dxa" w:w="24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Notas por dia em faixa; retomada em 11.3</w:t>
            </w:r>
          </w:p>
        </w:tc>
      </w:tr>
      <w:tr>
        <w:trPr>
          <w:cantSplit/>
          <w:tblHeader w:val="false"/>
        </w:trPr>
        <w:tc>
          <w:tcPr>
            <w:tcW w:type="dxa" w:w="41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Observação dentro do salão</w:t>
            </w:r>
          </w:p>
        </w:tc>
        <w:tc>
          <w:tcPr>
            <w:tcW w:type="dxa" w:w="245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mesa do observador ocupa um lugar; nem todas as mesas são vistas ao mesmo tempo</w:t>
            </w:r>
          </w:p>
        </w:tc>
        <w:tc>
          <w:tcPr>
            <w:tcW w:type="dxa" w:w="24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Mesa do observador fora do denominador; contagens periódicas</w:t>
            </w:r>
          </w:p>
        </w:tc>
      </w:tr>
      <w:tr>
        <w:trPr>
          <w:cantSplit/>
          <w:tblHeader w:val="false"/>
        </w:trPr>
        <w:tc>
          <w:tcPr>
            <w:tcW w:type="dxa" w:w="41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Permanência censurada pelo início e fim da visita</w:t>
            </w:r>
          </w:p>
        </w:tc>
        <w:tc>
          <w:tcPr>
            <w:tcW w:type="dxa" w:w="245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Subestima a permanência dos grupos longos</w:t>
            </w:r>
          </w:p>
        </w:tc>
        <w:tc>
          <w:tcPr>
            <w:tcW w:type="dxa" w:w="24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Censurados sinalizados e contados à parte</w:t>
            </w:r>
          </w:p>
        </w:tc>
      </w:tr>
      <w:tr>
        <w:trPr>
          <w:cantSplit/>
          <w:tblHeader w:val="false"/>
        </w:trPr>
        <w:tc>
          <w:tcPr>
            <w:tcW w:type="dxa" w:w="41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Falhas do script de coleta</w:t>
            </w:r>
          </w:p>
        </w:tc>
        <w:tc>
          <w:tcPr>
            <w:tcW w:type="dxa" w:w="245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Registros perdidos ou campos errados, concentrados em algumas páginas</w:t>
            </w:r>
          </w:p>
        </w:tc>
        <w:tc>
          <w:tcPr>
            <w:tcW w:type="dxa" w:w="24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Auditoria com taxa de erro e IC 95%; recoleta do estrato</w:t>
            </w:r>
          </w:p>
        </w:tc>
      </w:tr>
      <w:tr>
        <w:trPr>
          <w:cantSplit/>
          <w:tblHeader w:val="false"/>
        </w:trPr>
        <w:tc>
          <w:tcPr>
            <w:tcW w:type="dxa" w:w="41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Erro de codificação das avaliações</w:t>
            </w:r>
          </w:p>
        </w:tc>
        <w:tc>
          <w:tcPr>
            <w:tcW w:type="dxa" w:w="245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Viés nos temas</w:t>
            </w:r>
          </w:p>
        </w:tc>
        <w:tc>
          <w:tcPr>
            <w:tcW w:type="dxa" w:w="24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Recodificação cega com kappa; tema reprovado vira exploratório</w:t>
            </w:r>
          </w:p>
        </w:tc>
      </w:tr>
      <w:tr>
        <w:trPr>
          <w:cantSplit/>
          <w:tblHeader w:val="false"/>
        </w:trPr>
        <w:tc>
          <w:tcPr>
            <w:tcW w:type="dxa" w:w="41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FipeZap por cidade e POF de 2017-2018</w:t>
            </w:r>
          </w:p>
        </w:tc>
        <w:tc>
          <w:tcPr>
            <w:tcW w:type="dxa" w:w="245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Aluguel sem distinção de bairro; valores defasados</w:t>
            </w:r>
          </w:p>
        </w:tc>
        <w:tc>
          <w:tcPr>
            <w:tcW w:type="dxa" w:w="24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Faixa larga; correção pelo IPCA; cotação do ponto antes de investir</w:t>
            </w:r>
          </w:p>
        </w:tc>
      </w:tr>
    </w:tbl>
    <w:p>
      <w:pPr>
        <w:keepNext w:val="false"/>
        <w:spacing w:after="240" w:before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Fonte: elaboração própria.</w:t>
      </w:r>
    </w:p>
    <w:sectPr>
      <w:footerReference w:type="default" r:id="rId7"/>
      <w:pgSz w:w="11906" w:h="16838" w:orient="portrait"/>
      <w:pgMar w:top="1701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09" w:hanging="284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9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Arial" w:cs="Arial" w:eastAsia="Arial" w:hAnsi="Arial"/>
      <w:b/>
      <w:bCs/>
      <w:color w:val="000000"/>
      <w:sz w:val="24"/>
      <w:szCs w:val="24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color w:val="000000"/>
      <w:sz w:val="24"/>
      <w:szCs w:val="24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2026-10-31T14:25:11.244Z</dcterms:created>
  <dcterms:modified xsi:type="dcterms:W3CDTF">2026-10-31T14:25:11.249Z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