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PROJETO DE TCC - PLANO DE NEGÓCIOS DE UMA LUDERIA EM SALVADOR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ESTRUTURA DA PESQUISA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Problema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consumo de lazer está se deslocando da posse de bens para a vivência de experiências. A pesquisa em comportamento do consumidor mostra que compras de experiências geram mais satisfação que compras de bens materiais (GILOVICH; KUMAR; JAMPOL, 2015). Essa preferência é mais forte nas gerações mais novas: nos Estados Unidos, 78% dos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millennials</w:t>
      </w:r>
      <w:r>
        <w:rPr>
          <w:rFonts w:ascii="Arial" w:cs="Arial" w:eastAsia="Arial" w:hAnsi="Arial"/>
          <w:sz w:val="24"/>
          <w:szCs w:val="24"/>
        </w:rPr>
        <w:t xml:space="preserve"> declararam preferir gastar com uma experiência a comprar um bem desejado (EVENTBRITE, 2014). O varejo físico acompanha esse movimento. Nos shopping centers brasileiros, as operações de lazer passaram de 1,4% para 2,2% do total de lojas entre 2019 e 2023, segundo dados da Abrasce (MERCADO&amp;CONSUMO, 2025).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se insere nessa tendência. O formato combina alimentação, bebidas e acesso a um acervo de jogos de tabuleiro e cartas em uma mesma ocasião social. A demanda por jogos também cresce: os jogos de tabuleiro e cartas passaram de 9,1% para 13,1% das vendas da indústria de brinquedos entre 2017 e 2025 (ABRINQ, 2026). No exterior, o formato integra o setor de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no Reino Unido, 46% dos adultos jogaram jogos de tabuleiro nos últimos seis meses, e 88% esperam de bares uma experiência que não conseguem ter em casa (KAM INSIGHT, 2022).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investimento nesse formato enfrenta, contudo, um problema de evidência. Não há levantamento setorial sobre luderias no Brasil, e as premissas que concentram o risco do negócio - taxa de ocupação e ticket médio - costumam ser estimadas sem fonte. O único estudo de viabilidade identificado sobre o formato analisa um caso isolado (ASAKURA; SILVA; MELLO, 2018).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Questão de pesquisa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luderia em Salvador é viável, e sob quais condições de ponto, preço e ocupação?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Objetivo geral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Avaliar a viabilidade mercadológica, operacional e econômico-financeira de uma luderia em Salvador, a partir de premissas sustentadas por dados secundários públicos e por observação direta.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Objetivos específicos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Analisar o mercado e a concorrência de luderias nas 14 metrópoles brasileiras, com destaque para Salvador, quanto a avaliação, preço e cardápio.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Definir o posicionamento e o composto de marketing a partir dos aspectos que mais pesam na satisfação dos clientes.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Estimar a demanda, a taxa de ocupação e o giro de mesas a partir de observação direta e de avaliações calibradas.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Dimensionar a estrutura operacional e os requisitos jurídicos do negócio.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Projetar investimentos, receitas, custos e indicadores de viabilidade a partir de premissas rastreáveis.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Identificar as premissas críticas e os pontos de ruptura do negócio.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Propor um plano de contingência e as validações necessárias antes do investimento.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Pressupostos e hipóteses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Pressupostos</w:t>
      </w:r>
      <w:r>
        <w:rPr>
          <w:rFonts w:ascii="Arial" w:cs="Arial" w:eastAsia="Arial" w:hAnsi="Arial"/>
          <w:sz w:val="24"/>
          <w:szCs w:val="24"/>
        </w:rPr>
        <w:t xml:space="preserve"> (orientam o desenho, verificados ao longo da análise):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P1:</w:t>
      </w:r>
      <w:r>
        <w:rPr>
          <w:rFonts w:ascii="Arial" w:cs="Arial" w:eastAsia="Arial" w:hAnsi="Arial"/>
          <w:sz w:val="24"/>
          <w:szCs w:val="24"/>
        </w:rPr>
        <w:t xml:space="preserve"> a taxa de ocupação e o ticket médio concentram a maior parte da incerteza sobre o resultado financeiro.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P2:</w:t>
      </w:r>
      <w:r>
        <w:rPr>
          <w:rFonts w:ascii="Arial" w:cs="Arial" w:eastAsia="Arial" w:hAnsi="Arial"/>
          <w:sz w:val="24"/>
          <w:szCs w:val="24"/>
        </w:rPr>
        <w:t xml:space="preserve"> a velocidade de avaliações, calibrada por observação direta, estima o fluxo relativo de clientes com faixa de incerteza aceitável para a decisão.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Hipóteses confirmatórias</w:t>
      </w:r>
      <w:r>
        <w:rPr>
          <w:rFonts w:ascii="Arial" w:cs="Arial" w:eastAsia="Arial" w:hAnsi="Arial"/>
          <w:sz w:val="24"/>
          <w:szCs w:val="24"/>
        </w:rPr>
        <w:t xml:space="preserve"> (registradas antes da análise e testadas na metade confirmatória da base):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H1 - Aspectos da experiência:</w:t>
      </w:r>
      <w:r>
        <w:rPr>
          <w:rFonts w:ascii="Arial" w:cs="Arial" w:eastAsia="Arial" w:hAnsi="Arial"/>
          <w:sz w:val="24"/>
          <w:szCs w:val="24"/>
        </w:rPr>
        <w:t xml:space="preserve"> menções negativas a atendimento e a ambiente associam-se a uma redução da nota maior que a de menções negativas a comida e bebida, controlado o estabelecimento.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H3 - Preço:</w:t>
      </w:r>
      <w:r>
        <w:rPr>
          <w:rFonts w:ascii="Arial" w:cs="Arial" w:eastAsia="Arial" w:hAnsi="Arial"/>
          <w:sz w:val="24"/>
          <w:szCs w:val="24"/>
        </w:rPr>
        <w:t xml:space="preserve"> a proporção de avaliações com reclamação de preço difere entre as políticas de cobrança (couvert, por hora, consumação mínima).</w:t>
      </w:r>
    </w:p>
    <w:p>
      <w:pPr>
        <w:pStyle w:val="ListParagraph"/>
        <w:numPr>
          <w:ilvl w:val="0"/>
          <w:numId w:val="3"/>
        </w:numPr>
        <w:spacing w:after="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H5 - Ticket:</w:t>
      </w:r>
      <w:r>
        <w:rPr>
          <w:rFonts w:ascii="Arial" w:cs="Arial" w:eastAsia="Arial" w:hAnsi="Arial"/>
          <w:sz w:val="24"/>
          <w:szCs w:val="24"/>
        </w:rPr>
        <w:t xml:space="preserve"> a mediana dos valores por pessoa citados nas avaliações fica dentro da faixa da cesta de cardápio do próprio estabelecimento.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hipóteses H2 (comida) e H4 (jornada da ocasião) foram retiradas na emenda 2 do registro prévio, junto com o histórico dos avaliadores e a comparação entre modelos de alimentação e bebidas. Os códigos das hipóteses mantidas não mudam.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Análises exploratórias</w:t>
      </w:r>
      <w:r>
        <w:rPr>
          <w:rFonts w:ascii="Arial" w:cs="Arial" w:eastAsia="Arial" w:hAnsi="Arial"/>
          <w:sz w:val="24"/>
          <w:szCs w:val="24"/>
        </w:rPr>
        <w:t xml:space="preserve"> (sem hipótese prévia): ranking de reclamações; relação entre menções a comida e nota; jogos citados; velocidade de avaliações e calibração do fluxo.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QUADRO TEÓRICO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01 -</w:t>
      </w:r>
      <w:r>
        <w:rPr>
          <w:rFonts w:ascii="Arial" w:cs="Arial" w:eastAsia="Arial" w:hAnsi="Arial"/>
          <w:sz w:val="20"/>
          <w:szCs w:val="20"/>
        </w:rPr>
        <w:t xml:space="preserve"> Termos e conceitos adotados na pesquisa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4716"/>
        <w:gridCol w:w="2723"/>
      </w:tblGrid>
      <w:tr>
        <w:trPr>
          <w:cantSplit/>
          <w:tblHeader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Definição adotada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negócios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que descreve o negócio, seu mercado, sua operação e suas projeções financeiras, usado para orientar a decisão de investimento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DORNELAS [A VERIFICAR]; SEBRAE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de viabilidade econômica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que verifica, por demonstrações projetadas e indicadores, se o investimento gera retorno financeiro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ASAKURA; SILVA; MELLO (2018)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Estabelecimento de alimentação e bebidas que oferece acesso a um acervo de jogos de tabuleiro e cartas como parte central da experiência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Competitive socialising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Segmento da hospitalidade que combina atividade de jogo, alimentação e bebidas em uma ocasião social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 INSIGHT (2022)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Ferramenta que define o posicionamento pelos atributos a eliminar, reduzir, elevar e criar em relação ao padrão do setor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KIM; MAUBORGNE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Obrigatórios: sua ausência gera insatisfação, sua presença não gera destaque. Atrativos: sua presença gera satisfação, sua ausência não gera reclamação. Base da análise de penalidade e recompensa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KANO et al. (1984)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 competitivas; PESTEL; SWOT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Diagnóstico da estrutura competitiva, do macroambiente e da posição do negócio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PORTER [A VERIFICAR]; SEBRAE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conteúdo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Codificação sistemática de textos em categorias definidas por regras explícitas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BARDIN (2011)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Concordância entre codificadores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Grau de acordo entre duas codificações independentes, descontado o acordo esperado ao acaso (kappa)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COHEN (1960)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prévio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datado de hipóteses, variáveis e análises antes do acesso aos dados, que separa resultados confirmatórios de exploratórios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descobertas falsas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esperada de falsos positivos entre os resultados significativos; controlada em testes múltiplos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BENJAMINI; HOCHBERG (1995)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avaliações com texto por mês de um estabelecimento, no recorte das publicadas até "um mês atrás"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dos lugares disponíveis efetivamente ocupados em um período de funcionamento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 de mesa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grupos que ocupam uma mesa em um período, inverso da permanência média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Nível de evidência (N1-N6)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confiabilidade das premissas: N1 cotação, contrato ou tabela oficial; N2 dado público estruturado; N3 benchmark medido pelo autor; N4 relatório setorial; N5 coleta primária comportamental; N6 estimativa do autor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VPL, TIR, payback descontado e ponto de equilíbrio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ASSAF NETO [A VERIFICAR]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 crítica e ponto de ruptura</w:t>
            </w:r>
          </w:p>
        </w:tc>
        <w:tc>
          <w:tcPr>
            <w:tcW w:type="dxa" w:w="47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 crítica: a de maior impacto no VPL na análise de sensibilidade. Ponto de ruptura: valor da premissa que torna o VPL igual a zero</w:t>
            </w:r>
          </w:p>
        </w:tc>
        <w:tc>
          <w:tcPr>
            <w:tcW w:type="dxa" w:w="27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Elaborado pelo autor com base em ASSAF NETO [A VERIFICAR]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CARACTERIZAÇÃO METODOLÓGICA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Tipo e abordagem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Quanto à natureza, a pesquisa é aplicada. Quanto aos objetivos, é descritivo-exploratória, com hipóteses confirmatórias registradas previamente. A abordagem é quantitativa, com análise de conteúdo. O delineamento é transversal.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pesquisa usa dados secundários públicos e uma coleta primária comportamental: a contagem direta de ocupação, com leitura do número da nota fiscal. Questionários não são usados: esses instrumentos geram dados atitudinais e estão sujeitos a vieses de amostragem e de não-resposta. Cada premissa do plano recebe um nível de evidência (N1-N6), e as premissas críticas são testadas por triangulação e análise de sensibilidade.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Instrumentos e procedimentos de coleta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02 -</w:t>
      </w:r>
      <w:r>
        <w:rPr>
          <w:rFonts w:ascii="Arial" w:cs="Arial" w:eastAsia="Arial" w:hAnsi="Arial"/>
          <w:sz w:val="20"/>
          <w:szCs w:val="20"/>
        </w:rPr>
        <w:t xml:space="preserve"> Instrumentos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975"/>
        <w:gridCol w:w="3233"/>
        <w:gridCol w:w="1798"/>
      </w:tblGrid>
      <w:tr>
        <w:trPr>
          <w:cantSplit/>
          <w:tblHeader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- Estabelecimentos e cardápios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 (extração manual); site, Instagram e cardápio digital; OpenStreetMap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por termo nas capitais, filtro e curadoria manual; recorte de estabelecimentos com mais de 100 avaliações nas 14 metrópoles da REGIC (IBGE); notas por aspecto (comida, ambiente, serviço) e localização em shopping, por extração manual; registro de preço e acervo; shoppings e estações de metrô em 500 m e 1.000 m; itens e preços do cardápio por categoria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Estabelecimentos coletados (164 candidatos no recorte, curadoria pendente; 100 a 150 esperados); cardápios previstos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- Avaliações recentes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pública de avaliações no Google Maps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integral de todas as avaliações com texto publicadas até "um mês atrás", por estabelecimento, com data da coleta registrada; pseudonimização do autor na coleta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Previsto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- Contagem direta de ocupação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padronizado de observação; nota fiscal (NFC-e)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Duas unidades da São Jogue (Salvador); 4 visitas de 3 horas, do lado de fora, em horários planejados para o pico de fluxo provável: 2 no sábado, 03/10/2026, com entrada às 19h, e 2 de retorno 15 dias depois (domingo, 18/10/2026), com entrada às 18h, na mesma unidade; registro de entradas e saídas de grupos, contagem a cada 30 minutos e número da NFC-e no início e no fim de cada visita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Previsto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- Bases públicas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(Censo 2022, estimativas populacionais, POF, PNAD Contínua, PAS, CONCLA); Novo CAGED; FipeZap; LC 123/2006; Banco Central (SGS e Focus)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das variáveis para Salvador (por bairro, quando disponível) e para as demais capitais, como comparação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Coletado em 14/09/2026</w:t>
            </w:r>
          </w:p>
        </w:tc>
      </w:tr>
      <w:tr>
        <w:trPr>
          <w:cantSplit/>
          <w:tblHeader w:val="false"/>
        </w:trPr>
        <w:tc>
          <w:tcPr>
            <w:tcW w:type="dxa" w:w="20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- Jogos</w:t>
            </w:r>
          </w:p>
        </w:tc>
        <w:tc>
          <w:tcPr>
            <w:tcW w:type="dxa" w:w="19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da Ludopedia e raspagem; BoardGameGeek</w:t>
            </w:r>
          </w:p>
        </w:tc>
        <w:tc>
          <w:tcPr>
            <w:tcW w:type="dxa" w:w="32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Contadores de usuário e características; 563 jogos</w:t>
            </w:r>
          </w:p>
        </w:tc>
        <w:tc>
          <w:tcPr>
            <w:tcW w:type="dxa" w:w="17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Coletado; pode ser retirado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 análise, as hipóteses, variáveis e técnicas são registradas em documento datado no repositório. Os avaliadores são sorteados em uma metade exploratória, usada para construir e validar o dicionário de codificação, e uma metade confirmatória, usada uma única vez para testar as hipóteses. O dicionário é validado em 200 avaliações da metade exploratória, codificadas manualmente duas vezes: pelo autor e por uma segunda pessoa com o manual de codificação. Na falta da segunda pessoa, o autor recodifica a amostra após no mínimo 14 dias, sem consultar a primeira codificação. O critério de aceitação é kappa e F1 iguais ou superiores a 0,70 por variável.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público. O nome do usuário é substituído por código aleatório na coleta, e as demais variáveis não permitem identificação. O trabalho divulga apenas dados processados. A contagem direta é observação agregada, feita do lado de fora de espaço comercial aberto ao público, sem fotos nem registro de características individuais (Lei nº 13.709/2018; Resolução CNS nº 510/2016).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QUADRO DE ITENS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a pesquisa não usa questionários, os itens correspondem às variáveis registradas em cada instrumento.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03 -</w:t>
      </w:r>
      <w:r>
        <w:rPr>
          <w:rFonts w:ascii="Arial" w:cs="Arial" w:eastAsia="Arial" w:hAnsi="Arial"/>
          <w:sz w:val="20"/>
          <w:szCs w:val="20"/>
        </w:rPr>
        <w:t xml:space="preserve"> Itens dos instrumentos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"/>
        <w:gridCol w:w="1995"/>
        <w:gridCol w:w="1632"/>
        <w:gridCol w:w="1814"/>
        <w:gridCol w:w="2905"/>
      </w:tblGrid>
      <w:tr>
        <w:trPr>
          <w:cantSplit/>
          <w:tblHeader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 ou categoria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Mensuração ou codificação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no Google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 percebido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1 a 5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de avaliações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cobrança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Categórica: couvert, por hora, consumação mínima, outra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declarado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de títulos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Shoppings e estações de metrô no entorno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Praça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500 m e 1.000 m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 oferecidos no cardápio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Variedade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Presença por categoria (bebidas, entradas, principais, sobremesas); contagem de itens; contagem de itens que exigem preparo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de cada item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A08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Couvert ou taxa de jogo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A09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médias por aspecto (comida, ambiente, serviço)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Satisfação por atributo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1 a 5, por aspecto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A10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de funcionamento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Praça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Horas por semana; dias e horários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e localização em shopping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Praça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Cinco forças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Metrópole e bairro; binária (shopping ou rua)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 da avaliação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de 1 a 5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Aspectos mencionados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da experiência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obrigatórios e atrativos; análise de conteúdo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Binária por aspecto: ambiente, barulho, atendimento, explicação dos jogos, acervo, estado das peças, comida, bebida, preço, limpeza, conforto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Polaridade de cada aspecto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Satisfação por atributo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conteúdo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Categórica: positiva, negativa, neutra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mesa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em R$ citados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R$; tipo: por pessoa, conta total, item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Jogos citados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Binária por jogo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relativa e data da coleta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com texto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e saída de cada grupo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Fluxo; permanência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ocupação; giro de mesa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Horário; pessoas; observação censurada sinalizada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Saldo de pessoas no interior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 cada 30 minutos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de cada grupo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mesa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disponíveis e ocupadas visíveis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Capacidade; ocupação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única (disponíveis); a cada 30 minutos (ocupadas, quando visíveis)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da NFC-e no início e no fim da visita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Transações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sequencial; notas por dia e pessoas por nota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Unidade, data, tipo de visita, início e fim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Estrato da visita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Categórica; horário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Cobrança e preços aplicados na data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efetivo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Composto de marketing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 por bairro de Salvador e por município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mercado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de viabilidade econômica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média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Poder de compra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Estudo de viabilidade econômica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E03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alimentação fora de casa e recreação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potencial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por mês por família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E04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Receita, custos e pessoal em serviços de alimentação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setorial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R$; pessoas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E05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Remuneração média por ocupação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de pessoal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E06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fixo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R$/m² por mês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E07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 e CNAE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Tributos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da receita; código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E08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desconto e inflação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Indicadores de viabilidade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ao ano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F01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Contadores de usuário (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qt_tem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qt_teve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qt_quer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qt_favorito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Engajamento do jogo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Contagem; taxas derivadas</w:t>
            </w:r>
          </w:p>
        </w:tc>
      </w:tr>
      <w:tr>
        <w:trPr>
          <w:cantSplit/>
          <w:tblHeader w:val="false"/>
        </w:trPr>
        <w:tc>
          <w:tcPr>
            <w:tcW w:type="dxa" w:w="7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F02</w:t>
            </w:r>
          </w:p>
        </w:tc>
        <w:tc>
          <w:tcPr>
            <w:tcW w:type="dxa" w:w="19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Duração, idade mínima, número de jogadores, mecânicas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 do jogo</w:t>
            </w:r>
          </w:p>
        </w:tc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 ERRC</w:t>
            </w:r>
          </w:p>
        </w:tc>
        <w:tc>
          <w:tcPr>
            <w:tcW w:type="dxa" w:w="29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Minutos; anos; contagem; categórica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MODELO DE ANÁLISE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04 -</w:t>
      </w:r>
      <w:r>
        <w:rPr>
          <w:rFonts w:ascii="Arial" w:cs="Arial" w:eastAsia="Arial" w:hAnsi="Arial"/>
          <w:sz w:val="20"/>
          <w:szCs w:val="20"/>
        </w:rPr>
        <w:t xml:space="preserve"> Modelo de análise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632"/>
        <w:gridCol w:w="3265"/>
        <w:gridCol w:w="1816"/>
      </w:tblGrid>
      <w:tr>
        <w:trPr>
          <w:cantSplit/>
          <w:tblHeader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específico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Dimensão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Variáveis ou categorias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Analisar o mercado e a concorrência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Concorrência; praça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Desempenho percebido; porte; preço; produto; variedade; entorno; tipo de ponto; horário; tamanho do mercado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A01-A11, E01, E02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Definir posicionamento e composto de marketing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Posicionamento; produto; preço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Atributos da experiência; satisfação por atributo; preço; variedade; acervo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A03, A06-A09, B01-B03, B06, F01-F02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Estimar demanda, ocupação e giro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Demanda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ocupação; transações; permanência; pessoas por mesa; velocidade de avaliações; tamanho do mercado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B04, B07, D01-D06, E01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Dimensionar operação e requisitos jurídicos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Operação; aspectos legais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Reclamações operacionais; capacidade; custo de pessoal; tributos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B02-B03, D01, D03-D04, E05, E07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Projetar investimentos, receitas, custos e indicadores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Viabilidade econômico-financeira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Ticket; preço efetivo; custos; benchmark setorial; taxa de desconto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A07-A08, B05, D07, E03-E08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Identificar premissas críticas e pontos de ruptura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 das premissas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Premissas do modelo financeiro com faixas e nível de evidência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itens que alimentam premissas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Propor contingência e validações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Risco do negócio</w:t>
            </w:r>
          </w:p>
        </w:tc>
        <w:tc>
          <w:tcPr>
            <w:tcW w:type="dxa" w:w="326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Premissas críticas; limitações da evidência</w:t>
            </w:r>
          </w:p>
        </w:tc>
        <w:tc>
          <w:tcPr>
            <w:tcW w:type="dxa" w:w="181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Saídas do objetivo 6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TÉCNICAS DE ANÁLISE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05 -</w:t>
      </w:r>
      <w:r>
        <w:rPr>
          <w:rFonts w:ascii="Arial" w:cs="Arial" w:eastAsia="Arial" w:hAnsi="Arial"/>
          <w:sz w:val="20"/>
          <w:szCs w:val="20"/>
        </w:rPr>
        <w:t xml:space="preserve"> Técnicas de análise por objetivo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6713"/>
      </w:tblGrid>
      <w:tr>
        <w:trPr>
          <w:cantSplit/>
          <w:tblHeader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Objetivo específico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Técnicas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Estatística descritiva por metrópole, com Salvador em destaque; comparação de cardápios (preço, variedade e itens); mapa de concorrentes; Cinco Forças; PESTEL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conteúdo com dicionário validado (kappa e F1); análise de penalidade e recompensa; regressão da nota com efeito fixo por estabelecimento (H1); comparação da proporção de reclamações de preço entre políticas de cobrança (H3); grade ERRC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hora e permanência; notas fiscais emitidas em 15 dias × pessoas por nota; modelo de calibração (visitantes estimados na São Jogue ÷ velocidade de avaliações → fluxo dos demais concorrentes); resultados em faixa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Ranking de reclamações com intervalo de confiança; dimensionamento de mesas e equipe; levantamento documental da legislação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Cesta de consumo por pessoa calibrada pelos valores citados (H5) e checada contra a POF; árvore de direcionadores; registro de premissas com faixas; DRE e fluxo de caixa projetados; VPL, TIR, payback descontado e ponto de equilíbrio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Análise de sensibilidade (gráfico tornado); ponto de ruptura; simulação de Monte Carlo (opcional)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Matriz SWOT; cenários pessimista, provável e otimista; matriz de riscos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Controles aplicados a todos os testes: registro prévio com divisão da base em metade exploratória e confirmatória; correção de Benjamini-Hochberg; tamanho de efeito junto ao valor-p; análise de sensibilidade com e sem os estabelecimentos de maior volume.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CONTRIBUIÇÕES ESPERADAS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Contribuições acadêmicas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produz o primeiro mapeamento das luderias estabelecidas nas 14 metrópoles brasileiras, com dados de avaliação, preço e cardápio. Além disso, propõe um método de plano de negócios baseado em evidências: premissas classificadas por nível de evidência, estimativa de ocupação por avaliações calibradas por observação direta e hipóteses registradas antes da análise. Esse método responde a uma fragilidade recorrente de planos de negócios: projeções apoiadas em premissas sem fonte e resultados sem controle de achados ao acaso.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Contribuições práticas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orienta decisões concretas de investimento: a escolha do bairro em Salvador, o modelo de cobrança, o dimensionamento de mesas e a composição do cardápio. O registro de premissas e o modelo financeiro dirigido por parâmetros permitem ao empreendedor atualizar as projeções à medida que novos dados surgem. Os pontos de ruptura indicam os valores mínimos de ocupação e ticket que sustentam o negócio e servem de indicadores de monitoramento após a abertura.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processo é replicável por outros negócios de lazer em fase de estruturação, que enfrentam a mesma ausência de dados sobre demanda e concorrência. O repositório de coleta e análise, o dicionário de dados e o site de apresentação ficam disponíveis como produto de consulta para empreendedores e pesquisadores do setor.</w:t>
      </w:r>
    </w:p>
    <w:p>
      <w:pPr>
        <w:pStyle w:val="Heading1"/>
        <w:pageBreakBefore/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ABRINQ.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Anuário da Abrinq 2026</w:t>
      </w:r>
      <w:r>
        <w:rPr>
          <w:rFonts w:ascii="Arial" w:cs="Arial" w:eastAsia="Arial" w:hAnsi="Arial"/>
          <w:sz w:val="24"/>
          <w:szCs w:val="24"/>
        </w:rPr>
        <w:t xml:space="preserve">. Associação Brasileira dos Fabricantes de Brinquedos,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ASAKURA, P. N.; SILVA, A. R. da; MELLO, D. A. Estudo de viabilidade econômica de um boardgame café no município de Ourinhos/SP.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Anais do CIC - FIO</w:t>
      </w:r>
      <w:r>
        <w:rPr>
          <w:rFonts w:ascii="Arial" w:cs="Arial" w:eastAsia="Arial" w:hAnsi="Arial"/>
          <w:sz w:val="24"/>
          <w:szCs w:val="24"/>
        </w:rPr>
        <w:t xml:space="preserve">, Ourinhos, 2018. Disponível em: http://www.cic.fio.edu.br/anaisCIC/anais2018/pdf/05_01.pdf. [Completar data de acesso.]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BARDIN, Laurence.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Análise de conteúdo</w:t>
      </w:r>
      <w:r>
        <w:rPr>
          <w:rFonts w:ascii="Arial" w:cs="Arial" w:eastAsia="Arial" w:hAnsi="Arial"/>
          <w:sz w:val="24"/>
          <w:szCs w:val="24"/>
        </w:rPr>
        <w:t xml:space="preserve">. São Paulo: Edições 70, 2011. [A VERIFICAR]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BENJAMINI, Yoav; HOCHBERG, Yosef. Controlling the false discovery rate: a practical and powerful approach to multiple testing.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the Royal Statistical Society: Series B</w:t>
      </w:r>
      <w:r>
        <w:rPr>
          <w:rFonts w:ascii="Arial" w:cs="Arial" w:eastAsia="Arial" w:hAnsi="Arial"/>
          <w:sz w:val="24"/>
          <w:szCs w:val="24"/>
        </w:rPr>
        <w:t xml:space="preserve">, 1995. [A VERIFICAR]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COHEN, Jacob. A coefficient of agreement for nominal scales.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Educational and Psychological Measurement</w:t>
      </w:r>
      <w:r>
        <w:rPr>
          <w:rFonts w:ascii="Arial" w:cs="Arial" w:eastAsia="Arial" w:hAnsi="Arial"/>
          <w:sz w:val="24"/>
          <w:szCs w:val="24"/>
        </w:rPr>
        <w:t xml:space="preserve">, 1960. [A VERIFICAR]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EVENTBRITE.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Millennials</w:t>
      </w:r>
      <w:r>
        <w:rPr>
          <w:rFonts w:ascii="Arial" w:cs="Arial" w:eastAsia="Arial" w:hAnsi="Arial"/>
          <w:sz w:val="24"/>
          <w:szCs w:val="24"/>
        </w:rPr>
        <w:t xml:space="preserve">: fueling the experience economy. Pesquisa conduzida pela Harris Poll, 2014. [A VERIFICAR: localizar o relatório original.]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GILOVICH, Thomas; KUMAR, Amit; JAMPOL, Lily. A wonderful life: experiential consumption and the pursuit of happiness.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Consumer Psychology</w:t>
      </w:r>
      <w:r>
        <w:rPr>
          <w:rFonts w:ascii="Arial" w:cs="Arial" w:eastAsia="Arial" w:hAnsi="Arial"/>
          <w:sz w:val="24"/>
          <w:szCs w:val="24"/>
        </w:rPr>
        <w:t xml:space="preserve">, v. 25, n. 1, p. 152-165, 2015. DOI: 10.1016/j.jcps.2014.08.004.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KAM INSIGHT.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Competitive socialising</w:t>
      </w:r>
      <w:r>
        <w:rPr>
          <w:rFonts w:ascii="Arial" w:cs="Arial" w:eastAsia="Arial" w:hAnsi="Arial"/>
          <w:sz w:val="24"/>
          <w:szCs w:val="24"/>
        </w:rPr>
        <w:t xml:space="preserve">: winning a new customer occasion. KAM Media, 2022. Disponível em: https://kaminsight.com/wp-content/uploads/sites/2044/2023/07/KAM-Competitive-Socialising-Feb-22.pdf. [Completar data de acesso.]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MERCADO&amp;CONSUMO. Lazer é a segunda maior motivação de ida a shopping centers.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Mercado&amp;Consumo</w:t>
      </w:r>
      <w:r>
        <w:rPr>
          <w:rFonts w:ascii="Arial" w:cs="Arial" w:eastAsia="Arial" w:hAnsi="Arial"/>
          <w:sz w:val="24"/>
          <w:szCs w:val="24"/>
        </w:rPr>
        <w:t xml:space="preserve">, 8 jan. 2025. Disponível em: https://mercadoeconsumo.com.br/08/01/2025/shopping-centers/lazer-e-a-segunda-maior-motivacao-de-ida-a-shopping-centers. Acesso em: 2 out. 2026. [Substituir pela publicação original da Abrasce, quando localizada.]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Obras marcadas [A VERIFICAR] no Quadro 01 constam em </w:t>
      </w:r>
      <w:r>
        <w:rPr>
          <w:rFonts w:ascii="Arial" w:cs="Arial" w:eastAsia="Arial" w:hAnsi="Arial"/>
          <w:sz w:val="24"/>
          <w:szCs w:val="24"/>
        </w:rPr>
        <w:t xml:space="preserve">_instrucoes/2_ref-teorico.md</w:t>
      </w:r>
      <w:r>
        <w:rPr>
          <w:rFonts w:ascii="Arial" w:cs="Arial" w:eastAsia="Arial" w:hAnsi="Arial"/>
          <w:sz w:val="24"/>
          <w:szCs w:val="24"/>
        </w:rPr>
        <w:t xml:space="preserve"> e devem ser conferidas antes da entrega.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2026-10-14T01:50:01.863Z</dcterms:created>
  <dcterms:modified xsi:type="dcterms:W3CDTF">2026-10-14T01:50:01.864Z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