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480" w:line="360"/>
        <w:ind w:firstLin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 ASPECTOS JURÍDICOS E LEGAIS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8.1 FORMA JURÍDICA E ENQUADRAMENTO TRIBUTÁRIO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luderia deve ser uma sociedade limitada, unipessoal se tiver um só sócio. A forma limita a responsabilidade do sócio ao capital (Lei n. 10.406/2002, art. 1.052) e, desde a Lei n. 13.874/2019, admite um único sócio. O empresário individual não separa o patrimônio pessoal, e o MEI não comporta a receita projetada nem o quadro de 12 empregados (LC n. 123/2006, art. 18-A)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As duas unidades da São Jogue são sociedades empresárias limitadas, com capital social de R$ 50 mil (Bela Vista, 2019) e R$ 150 mil (Paralela, 2025), ambas no Simples Nacional (Receita Federal, consulta ao CNPJ em 31/10/2026).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empresa entra no Simples Nacional como empresa de pequeno porte. A receita provável do ano 2, de R$ 877 mil, passa do teto da microempresa (R$ 360 mil) e fica abaixo do limite de R$ 4,8 milhões (LC n. 123/2006, art. 3º). Cada receita segue o anexo da atividade: o A&amp;B é revenda de mercadoria, no anexo I; a taxa de entrada é serviço de recreação, no anexo III, pela regra geral do art. 18, § 5º-F; o aluguel de jogos é locação de bem móvel, no anexo III sem a parcela do ISS (art. 18, § 4º, V). O modelo do cap. 9 tributa o aluguel pelo anexo III cheio, o que superestima o imposto em cerca de R$ 420,00 por ano (a parcela do ISS é 32,5% da alíquota do anexo III na 4ª faixa).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Simples custa menos da metade do Lucro Presumido (Tabela 8.1). A diferença vem sobretudo da contribuição patronal sobre a folha: no Simples, ela está dentro do DAS dos anexos I e III; no Lucro Presumido, soma 8,7% da receita.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8.1 – Tributos no ano maduro, cenário provável: Simples Nacional × Lucro Presumido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74"/>
        <w:gridCol w:w="2048"/>
        <w:gridCol w:w="2049"/>
      </w:tblGrid>
      <w:tr>
        <w:trPr>
          <w:cantSplit/>
          <w:tblHeader/>
        </w:trPr>
        <w:tc>
          <w:tcPr>
            <w:tcW w:type="dxa" w:w="497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Tributo</w:t>
            </w:r>
          </w:p>
        </w:tc>
        <w:tc>
          <w:tcPr>
            <w:tcW w:type="dxa" w:w="20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Simples Nacional</w:t>
            </w:r>
          </w:p>
        </w:tc>
        <w:tc>
          <w:tcPr>
            <w:tcW w:type="dxa" w:w="204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Lucro Presumido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IRPJ e CSLL (presunção de 8% e 12% no A&amp;B, 32% nos serviços)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DAS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44.666,64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PIS e Cofins cumulativos (3,65%)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DAS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32.018,15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ICMS sobre o A&amp;B (4%)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[AV]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DAS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16.817,09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 sobre a taxa de entrada (5%)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[AV]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DAS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22.299,13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Contribuição patronal sobre a folha (27,8%)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[AV]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DAS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76.294,80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88.729,00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192.095,81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 da receita bruta de R$ 877.210,00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10,1%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21,9%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própria, com LC n. 123/2006 (anexos I e III), Lei n. 9.249/1995 (arts. 15 e 20), Lei n. 9.718/1998 e Lei n. 8.212/1991 (art. 22); receita e folha do modelo do cap. 9.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carga do Simples entra no cap. 9 como 8,1% sobre o A&amp;B e 11,9% sobre os serviços no ano maduro, calculada pela tabela do anexo sobre a receita do ano. A reforma do consumo (EC n. 132/2023 e LC n. 214/2025) mantém o Simples e abre a opção de recolher IBS e CBS por fora a partir de 2027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; a opção só vale se a luderia vender para empresas que usem o crédito, o que não é o caso.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CNAE principal é 5611-2/01 (restaurantes e similares), pela cozinha própria com refeições, com 9329-8/99 (recreação e lazer), 4763-6/01 (venda de jogos), 7729-2/02 (locação de jogos) e 8230-0/01 (eventos) como secundários. A São Jogue usa 5611-2/03 (lanchonete) como principal e lista 5611-2/01, 9329-8/99, 4763-6/01 e 8230-0/01 entre os secundários (Receita Federal, 2026); as duas escolhas caem no anexo I. Descartou-se 5611-2/05 (bar com entretenimento): a CONCLA define o entretenimento dessa subclasse como música e apresentações, não jogos de mesa (CONCLA, 2026).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8.2 LICENÇAS, ALVARÁS E OBRIGAÇÕES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abertura e a operação dependem de nove obrigações (Quadro 8.1). O custo total entra no investimento pré-operacional do cap. 9 (premissa I06, R$ 20 mil no provável), ainda sem cotação.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8.1 – Obrigações legais para abrir e operar a luderia em Salvador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1"/>
        <w:gridCol w:w="1930"/>
        <w:gridCol w:w="1930"/>
        <w:gridCol w:w="1930"/>
      </w:tblGrid>
      <w:tr>
        <w:trPr>
          <w:cantSplit/>
          <w:tblHeader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Obrigação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Órgão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Efeito no plano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da empresa e CNPJ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JUCEB e Receita Federal, pela Redesim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 n. 11.598/2007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Primeiro passo; custo a cotar com o contador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Viabilidade de localização e alvará de funcionamento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Prefeitura de Salvador (Sedur)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LOUOS de Salvador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[AV]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Condiciona o ponto (cap. 7): zona que admita serviço de alimentação e lazer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Licença do Corpo de Bombeiros e lotação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CBMBA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 estadual n. 12.929/2013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[AV]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Lotação do salão define o teto de mesas (R01)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Licença sanitária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Vigilância sanitária municipal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RDC Anvisa n. 216/2004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Cozinha com fluxo, materiais e manual de boas práticas (cap. 7)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Venda de bebida alcoólica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 n. 8.069/1990, art. 243 (Lei n. 13.106/2015)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Proibida a menores de 18 anos; conferência de idade no caixa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Música ambiente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ECAD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 n. 9.610/1998, art. 68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Retribuição mensal, só se houver música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Prefeitura, no alvará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 n. 13.146/2015; ABNT NBR 9050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 acessível, sanitário adaptado e mesa acessível no projeto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de clientes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ANPD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 n. 13.709/2018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Reserva e cadastro com finalidade declarada e base legal de execução de contrato (art. 7º, V)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 fiscal ao consumidor (NFC-e)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Sefaz-BA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RICMS-BA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[AV]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Emissão em toda venda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emissão da NFC-e em toda venda muda a prática observada no setor. Nas visitas do B3, as duas unidades da São Jogue só emitiam a nota quando o cliente pedia; no restante, entregavam o comprovante da maquininha. O plano assume a emissão integral: a carga tributária do cap. 9 já incide sobre toda a receita.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8.3 CONTRATOS E PROPRIEDADE INTELECTUAL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contrato de locação deve ter prazo escrito de 5 anos. Esse prazo dá direito à ação renovatória (Lei n. 8.245/1991, art. 51) e coincide com o horizonte do cap. 9 e com a amortização da reforma. A garantia por caução fica limitada a três aluguéis (art. 38, § 2º), o valor da premissa I07. Em shopping, prevalecem as condições do contrato com o empreendedor (art. 54), o que explica a faixa pessimista de condomínio (C05). O reajuste anual por índice de preços é neutro no modelo, que usa preços constantes.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uso dos jogos comprados no salão não depende de licença. A Lei n. 9.610/1998 protege a reprodução da obra (art. 29); o exemplar adquirido pode ser emprestado à mesa e alugado como bem móvel. Copiar ou imprimir componentes e usar a marca de um jogo para divulgar torneio pago exige autorização do titular </w:t>
      </w:r>
      <w:r>
        <w:rPr>
          <w:rFonts w:ascii="Arial" w:cs="Arial" w:eastAsia="Arial" w:hAnsi="Arial"/>
          <w:sz w:val="24"/>
          <w:szCs w:val="24"/>
        </w:rPr>
        <w:t xml:space="preserve">[AV — conferir termos das editoras do acervo]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nome da luderia deve ser registrado no INPI antes da fachada e das redes sociais. A propriedade da marca vem do registro (Lei n. 9.279/1996, art. 129), nas classes de serviços de alimentação e de entretenimento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A busca de anterioridade precede a escolha do nome no cap. 6.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 w:val="false"/>
      <w:bCs w:val="false"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2026-10-31T16:06:11.211Z</dcterms:created>
  <dcterms:modified xsi:type="dcterms:W3CDTF">2026-10-31T16:06:11.212Z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