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PLANO FINANCEIRO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9.1 ÁRVORE DE DIRECIONADORES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da luderia depende de quatro grandezas físicas e de dois preços. As pessoas atendidas saem das mesas, do tamanho do grupo, do giro e da taxa de ocupação, e a receita sai dessas pessoas multiplicadas pela taxa de entrada e pelo gasto com alimentos e bebidas (A&amp;B). A ocupação separa-se em dia útil (segunda a quinta) e fim de semana (sexta a domingo), porque a taxa de entrada também muda. Cada folha da árvore corresponde a uma linha do registro de premissas (Quadro 9.1).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9.1 – Árvore de direcionadores do modelo financeiro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5241"/>
        <w:gridCol w:w="1815"/>
      </w:tblGrid>
      <w:tr>
        <w:trPr>
          <w:cantSplit/>
          <w:tblHeader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Direcionador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mês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× pessoas por grupo × giro semanal × taxa de ocupação × fator de rampa × semanas por mês, em separado para dia útil e fim de semana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 a R05, R11 a R14, M02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taxa de entrada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taxa do dia (útil ou fim de semana)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R06, R07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A&amp;B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gasto por pessoa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aluguel de jogos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aluguéis por mês × preço médio × fator de rampa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R09, R10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variáveis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 sobre a receita; CMV sobre o A&amp;B; taxa de cartão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C01, C02, aba simples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fixos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e condomínio; pessoal com encargos; pró-labore; utilidades; marketing; contabilidade; sistemas; reposição do acervo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 a C13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reforma; mobiliário; cozinha e bar; caixa; acervo; pré-operacional; caução; capital de giro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 a I08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usa preços constantes de outubro de 2026 e taxa mínima de atratividade (TMA) real. A projeção é mensal nos 60 meses, para capturar a rampa do ano 1, e anual nos demonstrativos.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9.2 REGISTRO DE PREMISSAS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tem 38 premissas, cada uma com faixa pessimista, provável e otimista, fonte e nível de evidência (Apêndice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). O Quadro 9.2 traz as que movem o VPL em mais de R$ 100 mil entre os extremos da faixa.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9.2 – Premissas de maior impacto no VPL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"/>
        <w:gridCol w:w="2286"/>
        <w:gridCol w:w="1067"/>
        <w:gridCol w:w="1067"/>
        <w:gridCol w:w="1067"/>
        <w:gridCol w:w="2286"/>
        <w:gridCol w:w="765"/>
      </w:tblGrid>
      <w:tr>
        <w:trPr>
          <w:cantSplit/>
          <w:tblHeader/>
        </w:trPr>
        <w:tc>
          <w:tcPr>
            <w:tcW w:type="dxa" w:w="53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76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noites de sexta e sábado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NFC-e; cardápio (B1)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Quadro de pessoal (pessoas)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CAGED (salários); autor (quadro)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(R$/m² ao mês)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64,36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54,15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Salvador, jul/2026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(R$/m²)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entrada, fim de semana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C07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Encargos sobre a folha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CLT; 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PAS 2023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dados dos Blocos B1, B3 e B4 (out/2026).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premissas de demanda vêm da contagem direta na São Jogue (B3): grupos de 3,6 pessoas em média, permanência média de 109 minutos e taxa de ocupação média de 46,1% nas quatro noites. As visitas mediram o pico da semana. Por isso, a ocupação de fim de semana do dia inteiro entra abaixo da noite (35% no provável), e a de dia útil é estimativa do autor (N6), em cerca de metade da de fim de semana.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preços seguem os da São Jogue (6.3): R$ 28,00 por pessoa de sexta a domingo e R$ 22,00 de segunda a quinta, por um turno de 3 horas. O gasto com A&amp;B de R$ 24,00 parte das NFC-e das mesas dos observadores (6.3). O valor fica abaixo do consumo por pessoa nos cardápios (R$ 50,25 na mediana dos concorrentes), porque os grupos fizeram de 0,5 a 1,7 pedidos por mesa (B3); o consumo de cardápio fica como teto, acima do otimista.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custos vêm de bases públicas sempre que possível: o aluguel do FipeZap, os salários das medianas de admissão em Salvador no Novo CAGED, quase todas no piso de R$ 1.625,09, e o CMV de 30% da PAS 2023. Área, reforma, mobiliário, cozinha e despesas gerais não têm cotação e ficam em N6.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TMA real provável é de 15% ao ano. A Selic meta de 14,0% (BCB, set/2026), descontado o IPCA esperado de 4,3% para 2027 (Focus), dá juro real de 9,3%, somado a um prêmio de 3 a 9 pontos percentuais pelo risco de pequeno negócio novo.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9.3 INVESTIMENTO INICIAL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inicial provável é de R$ 503 mil, com a reforma (36%) e o capital de giro (20%) como maiores itens (Tabela 9.1). O acervo de 322 títulos custa R$ 61 mil.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9.1 – Investimento inicial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1984"/>
        <w:gridCol w:w="1984"/>
        <w:gridCol w:w="1985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98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instalações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Mobiliário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e bar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informática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inicial de jogos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114.750,94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60.884,32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42.928,78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Gastos pré-operacionais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Caução do aluguel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42.471,00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29.241,00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de giro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206.274,85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102.105,31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56.403,39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investimento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capital de giro cobre dois meses de custos fixos. No ano 1, o EBITDA provável é negativo em R$ 114 mil: a reserva de R$ 102 mil não cobre o déficit inteiro, e o plano precisa de aporte adicional ou de rampa mais curta. O modelo supõe capital próprio, sem financiamento.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9.4 RECEITAS, CUSTOS E DESPESAS PROJETADOS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Na maturidade, o cenário provável atende 1.460 pessoas por mês, cerca de 48 por dia, e a receita bruta mensal chega a R$ 73,1 mil (Tabela 9.2). A rampa começa em 40% da ocupação madura e chega a 100% no mês 9.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9.2 – Receita e custos mensais no cenário provável, mês maduro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da receita bruta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37.165,22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50,8%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Alimentos e bebidas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35.035,60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47,9%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de jogos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73.100,81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7.394,05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10.510,68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14,4%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2.193,02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Pessoal com encargos (12 pessoas)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28.198,89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38,6%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Aluguel, condomínio e IPTU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11.696,40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Pró-labore e despesas gerais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11.157,37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operacional (EBITDA)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1.950,40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2,7%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(abas receitas e custos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pessoal é o maior custo: 12 pessoas em dois turnos, com folha de R$ 20,6 mil e encargos de 37%. O Simples Nacional custa 10,1% da receita, com o enquadramento do cap. 8.1.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9.5 DEMONSTRATIVOS PROJETADOS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cenário provável dá prejuízo contábil em todos os anos: o EBITDA é de R$ 23 mil por ano a partir do ano 2, menor que a depreciação de R$ 64 mil (Tabela 9.3).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9.3 – Demonstração do resultado projetada, cenário provável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 1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Anos 2 a 5 (cada)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679.838,00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877.210,00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-62.916,00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-88.729,00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CMV e 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-118.144,00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-152.444,00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de contribuição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498.777,00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636.037,00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Custos fixos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-113.855,00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Depreciação e amortização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Lucro líquido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-177.732,00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-40.472,00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dre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caixa repete o EBITDA, com o investimento no ano 0 e o retorno da caução e do capital de giro no ano 5, sem valor residual dos demais ativos.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9.6 INDICADORES DE VIABILIDADE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não é viável no cenário provável. O VPL a 15% real é negativo em R$ 479 mil, a TIR real é de -21,0% ao ano, e o investimento não se paga em 5 anos (Tabela 9.4). A receita madura fica só 3,8% acima do ponto de equilíbrio operacional, de R$ 70,4 mil por mês: o negócio cobre os custos, mas não remunera o investimento. Mesmo à TMA otimista de 12%, o VPL provável segue negativo em R$ 467 mil.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9.4 – Indicadores de viabilidade por cenário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 mensal madura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 do ano 5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-649.981,00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1.302.846,00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 real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-21,0%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394,0%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Payback descontado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 ano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no mesmo lado da faixa ao mesmo tempo: servem de limite, não de previsão. A decisão depende de onde as premissas críticas ficam (seção 9.7).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9.7 TRIANGULAÇÃO, SENSIBILIDADE E PONTO DE RUPTURA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9.7.1 Triangulação da receita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provável fica entre os pisos de venda das duas unidades da São Jogue. Pela numeração das NFC-e (B3), a Bela Vista emitiu 30,5 notas por dia e a Paralela, 16,1; a R$ 90,85 por nota, os pisos são de R$ 84,3 mil e R$ 44,5 mil por mês, contra R$ 73,1 mil do modelo. Como as notas só saem a pedido do cliente, os pisos subestimam a venda real: a comparação valida a ordem de grandeza, não o valor. A estimativa de demanda do cap. 6 completa a triangulação </w:t>
      </w:r>
      <w:r>
        <w:rPr>
          <w:rFonts w:ascii="Arial" w:cs="Arial" w:eastAsia="Arial" w:hAnsi="Arial"/>
          <w:sz w:val="24"/>
          <w:szCs w:val="24"/>
        </w:rPr>
        <w:t xml:space="preserve">[pendente]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9.7.2 Sensibilidade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concentram o risco: permanência média, pessoas por grupo e taxa de ocupação de fim de semana e de dia útil. Cada uma move o VPL em mais de R$ 600 mil entre os extremos da faixa (Figura 9.1). As três primeiras têm dado próprio (N5); a ocupação de dia útil é N6, o que viola a regra de robustez e exige destaque no cap. 10.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9.1 – Tornado: VPL com cada premissa no extremo da faixa e as demais no provável</w:t>
      </w:r>
    </w:p>
    <w:p>
      <w:pPr>
        <w:keepNext/>
        <w:spacing w:after="0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permanência pesa mais que a ocupação porque a taxa de entrada é cobrada por pessoa, não por hora: com a mesma ocupação, uma permanência menor gira mais grupos pela mesa. Esse efeito tem limite no turno de 3 horas.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9.7.3 Ponto de ruptura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é viável enquanto a taxa de ocupação de fim de semana ficar acima de 49,5%, com as demais premissas no provável (Tabela 9.5). Esse valor está acima do provável (35%) e da média das quatro noites (46,1%), mas abaixo do pico medido na Paralela (66,9%).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9.5 – Ponto de ruptura das premissas críticas (VPL = 0)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"/>
        <w:gridCol w:w="3359"/>
        <w:gridCol w:w="1567"/>
        <w:gridCol w:w="1567"/>
        <w:gridCol w:w="1795"/>
      </w:tblGrid>
      <w:tr>
        <w:trPr>
          <w:cantSplit/>
          <w:tblHeader/>
        </w:trPr>
        <w:tc>
          <w:tcPr>
            <w:tcW w:type="dxa" w:w="78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</w:t>
            </w:r>
          </w:p>
        </w:tc>
        <w:tc>
          <w:tcPr>
            <w:tcW w:type="dxa" w:w="179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testada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 a 137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 a 4,4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49,5%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a 45%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29,7%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a 25%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 11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Só a permanência tem ruptura dentro da faixa testada. O VPL fica positivo pela combinação de premissas: ocupação de 45% no fim de semana e de 23% no dia útil (VPL de R$ 55 mil), ou permanência de 95 minutos com ocupação de 42% no fim de semana (VPL de R$ 65 mil). A plausibilidade dessas combinações é discutida no cap. 10.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9.8 CHECAGENS DE COERÊNCIA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comporta a demanda com folga: as 48 pessoas por dia usam 25% da capacidade do salão, de 193 pessoas por dia (cap. 7).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e o ponto pesam mais que no setor. A folha com encargos custa 38,6% da receita, contra 25,1% de gastos com pessoal nos serviços de alimentação, e o aluguel com condomínio, 16,0%, contra 4,0% (IBGE, PAS 2024). Os dois custos explicam a margem baixa e indicam onde o cap. 7 pode cortar: quadro menor no dia útil ou ponto menor.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taxa de entrada de fim de semana, de R$ 28,00, supera a mediana de R$ 25,00 dos concorrentes (6.3). A São Jogue pratica esse preço com 4,8 estrelas em 787 avaliações, o que sustenta o posicionamento, desde que o plano reproduza a mesma experiência.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demanda projetada equivale a 17,5 mil visitas por ano, ou 0,7% da população de Salvador em 2026 (IBGE), abaixo da penetração que exigiria um mercado novo.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d407dc23bc13ce35fdf7cd2799a7486990e9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2026-10-31T16:06:11.598Z</dcterms:created>
  <dcterms:modified xsi:type="dcterms:W3CDTF">2026-10-31T16:06:11.598Z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