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keepNext/>
        <w:spacing w:after="480" w:line="360"/>
        <w:ind w:firstLine="0"/>
        <w:jc w:val="lef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9 PLANO FINANCEIRO</w:t>
      </w:r>
    </w:p>
    <w:p>
      <w:pPr>
        <w:pStyle w:val="Heading1"/>
        <w:keepNext/>
        <w:spacing w:after="240" w:before="360" w:line="3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9.1 ÁRVORE DE DIRECIONADORES</w:t>
      </w:r>
    </w:p>
    <w:p>
      <w:pPr>
        <w:spacing w:after="284" w:line="360"/>
        <w:ind w:firstLine="567"/>
        <w:jc w:val="both"/>
      </w:pPr>
      <w:r>
        <w:rPr>
          <w:rFonts w:ascii="Arial" w:cs="Arial" w:eastAsia="Arial" w:hAnsi="Arial"/>
          <w:sz w:val="24"/>
          <w:szCs w:val="24"/>
        </w:rPr>
        <w:t xml:space="preserve">A receita da luderia depende de quatro grandezas físicas e de dois preços. O número de pessoas atendidas sai das mesas, do tamanho do grupo, do giro e da taxa de ocupação; a receita sai dessas pessoas multiplicadas pela taxa de entrada e pelo gasto com alimentos e bebidas (A&amp;B). O giro segue o vocabulário do trabalho: horas abertas divididas pela permanência média. A ocupação separa-se em dia útil (segunda a quinta) e fim de semana (sexta a domingo), porque a taxa de entrada também muda nesses dias.</w:t>
      </w:r>
    </w:p>
    <w:p>
      <w:pPr>
        <w:spacing w:after="284" w:line="360"/>
        <w:ind w:firstLine="567"/>
        <w:jc w:val="both"/>
      </w:pPr>
      <w:r>
        <w:rPr>
          <w:rFonts w:ascii="Arial" w:cs="Arial" w:eastAsia="Arial" w:hAnsi="Arial"/>
          <w:sz w:val="24"/>
          <w:szCs w:val="24"/>
        </w:rPr>
        <w:t xml:space="preserve">Os custos dividem-se em variáveis, proporcionais à receita, e fixos, que não mudam com o fluxo. O Quadro 9.1 resume a decomposição; cada folha corresponde a uma linha do registro de premissas (seção 9.2).</w:t>
      </w:r>
    </w:p>
    <w:p>
      <w:pPr>
        <w:keepNext/>
        <w:spacing w:after="0" w:before="240" w:line="240"/>
        <w:jc w:val="center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Quadro 9.1 – Árvore de direcionadores do modelo financeiro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15"/>
        <w:gridCol w:w="5241"/>
        <w:gridCol w:w="1815"/>
      </w:tblGrid>
      <w:tr>
        <w:trPr>
          <w:cantSplit/>
          <w:tblHeader/>
        </w:trPr>
        <w:tc>
          <w:tcPr>
            <w:tcW w:type="dxa" w:w="201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Direcionador</w:t>
            </w:r>
          </w:p>
        </w:tc>
        <w:tc>
          <w:tcPr>
            <w:tcW w:type="dxa" w:w="524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Cálculo</w:t>
            </w:r>
          </w:p>
        </w:tc>
        <w:tc>
          <w:tcPr>
            <w:tcW w:type="dxa" w:w="181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Premissas</w:t>
            </w:r>
          </w:p>
        </w:tc>
      </w:tr>
      <w:tr>
        <w:trPr>
          <w:cantSplit/>
          <w:tblHeader w:val="false"/>
        </w:trPr>
        <w:tc>
          <w:tcPr>
            <w:tcW w:type="dxa" w:w="201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Pessoas por mês</w:t>
            </w:r>
          </w:p>
        </w:tc>
        <w:tc>
          <w:tcPr>
            <w:tcW w:type="dxa" w:w="524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mesas × pessoas por grupo × giro semanal × taxa de ocupação × fator de rampa × semanas por mês, em separado para dia útil e fim de semana</w:t>
            </w:r>
          </w:p>
        </w:tc>
        <w:tc>
          <w:tcPr>
            <w:tcW w:type="dxa" w:w="181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R01 a R05, R11 a R14, M02</w:t>
            </w:r>
          </w:p>
        </w:tc>
      </w:tr>
      <w:tr>
        <w:trPr>
          <w:cantSplit/>
          <w:tblHeader w:val="false"/>
        </w:trPr>
        <w:tc>
          <w:tcPr>
            <w:tcW w:type="dxa" w:w="201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Receita de taxa de entrada</w:t>
            </w:r>
          </w:p>
        </w:tc>
        <w:tc>
          <w:tcPr>
            <w:tcW w:type="dxa" w:w="524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pessoas × taxa do dia (útil ou fim de semana)</w:t>
            </w:r>
          </w:p>
        </w:tc>
        <w:tc>
          <w:tcPr>
            <w:tcW w:type="dxa" w:w="181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R06, R07</w:t>
            </w:r>
          </w:p>
        </w:tc>
      </w:tr>
      <w:tr>
        <w:trPr>
          <w:cantSplit/>
          <w:tblHeader w:val="false"/>
        </w:trPr>
        <w:tc>
          <w:tcPr>
            <w:tcW w:type="dxa" w:w="201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Receita de A&amp;B</w:t>
            </w:r>
          </w:p>
        </w:tc>
        <w:tc>
          <w:tcPr>
            <w:tcW w:type="dxa" w:w="524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pessoas × gasto por pessoa</w:t>
            </w:r>
          </w:p>
        </w:tc>
        <w:tc>
          <w:tcPr>
            <w:tcW w:type="dxa" w:w="181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R08</w:t>
            </w:r>
          </w:p>
        </w:tc>
      </w:tr>
      <w:tr>
        <w:trPr>
          <w:cantSplit/>
          <w:tblHeader w:val="false"/>
        </w:trPr>
        <w:tc>
          <w:tcPr>
            <w:tcW w:type="dxa" w:w="201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Receita de aluguel de jogos</w:t>
            </w:r>
          </w:p>
        </w:tc>
        <w:tc>
          <w:tcPr>
            <w:tcW w:type="dxa" w:w="524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aluguéis por mês × preço médio × fator de rampa</w:t>
            </w:r>
          </w:p>
        </w:tc>
        <w:tc>
          <w:tcPr>
            <w:tcW w:type="dxa" w:w="181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R09, R10</w:t>
            </w:r>
          </w:p>
        </w:tc>
      </w:tr>
      <w:tr>
        <w:trPr>
          <w:cantSplit/>
          <w:tblHeader w:val="false"/>
        </w:trPr>
        <w:tc>
          <w:tcPr>
            <w:tcW w:type="dxa" w:w="201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Custos variáveis</w:t>
            </w:r>
          </w:p>
        </w:tc>
        <w:tc>
          <w:tcPr>
            <w:tcW w:type="dxa" w:w="524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Simples Nacional sobre a receita; CMV sobre o A&amp;B; taxa de cartão sobre a receita</w:t>
            </w:r>
          </w:p>
        </w:tc>
        <w:tc>
          <w:tcPr>
            <w:tcW w:type="dxa" w:w="181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C01, C02, aba simples</w:t>
            </w:r>
          </w:p>
        </w:tc>
      </w:tr>
      <w:tr>
        <w:trPr>
          <w:cantSplit/>
          <w:tblHeader w:val="false"/>
        </w:trPr>
        <w:tc>
          <w:tcPr>
            <w:tcW w:type="dxa" w:w="201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Custos fixos</w:t>
            </w:r>
          </w:p>
        </w:tc>
        <w:tc>
          <w:tcPr>
            <w:tcW w:type="dxa" w:w="524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aluguel e condomínio por m²; pessoal com encargos; pró-labore; utilidades; marketing; contabilidade; sistemas; reposição do acervo</w:t>
            </w:r>
          </w:p>
        </w:tc>
        <w:tc>
          <w:tcPr>
            <w:tcW w:type="dxa" w:w="181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C03 a C13</w:t>
            </w:r>
          </w:p>
        </w:tc>
      </w:tr>
      <w:tr>
        <w:trPr>
          <w:cantSplit/>
          <w:tblHeader w:val="false"/>
        </w:trPr>
        <w:tc>
          <w:tcPr>
            <w:tcW w:type="dxa" w:w="201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Investimento</w:t>
            </w:r>
          </w:p>
        </w:tc>
        <w:tc>
          <w:tcPr>
            <w:tcW w:type="dxa" w:w="524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reforma por m²; mobiliário; cozinha e bar; caixa; acervo; pré-operacional; caução; capital de giro</w:t>
            </w:r>
          </w:p>
        </w:tc>
        <w:tc>
          <w:tcPr>
            <w:tcW w:type="dxa" w:w="181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I01 a I08</w:t>
            </w:r>
          </w:p>
        </w:tc>
      </w:tr>
    </w:tbl>
    <w:p>
      <w:pPr>
        <w:keepNext w:val="false"/>
        <w:spacing w:after="240" w:before="0" w:line="240"/>
        <w:jc w:val="center"/>
      </w:pPr>
      <w:r>
        <w:rPr>
          <w:rFonts w:ascii="Arial" w:cs="Arial" w:eastAsia="Arial" w:hAnsi="Arial"/>
          <w:sz w:val="20"/>
          <w:szCs w:val="20"/>
        </w:rPr>
        <w:t xml:space="preserve">Fonte: elaboração própria, com base em _instrucoes/8_financeiro.md.</w:t>
      </w:r>
    </w:p>
    <w:p>
      <w:pPr>
        <w:spacing w:after="284" w:line="360"/>
        <w:ind w:firstLine="567"/>
        <w:jc w:val="both"/>
      </w:pPr>
      <w:r>
        <w:rPr>
          <w:rFonts w:ascii="Arial" w:cs="Arial" w:eastAsia="Arial" w:hAnsi="Arial"/>
          <w:sz w:val="24"/>
          <w:szCs w:val="24"/>
        </w:rPr>
        <w:t xml:space="preserve">O modelo usa preços constantes de outubro de 2026 e taxa mínima de atratividade (TMA) real. A projeção é mensal nos 60 meses, para capturar a rampa de maturação do ano 1, e anual na demonstração do resultado e no fluxo de caixa.</w:t>
      </w:r>
    </w:p>
    <w:p>
      <w:pPr>
        <w:pStyle w:val="Heading1"/>
        <w:keepNext/>
        <w:spacing w:after="240" w:before="360" w:line="3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9.2 REGISTRO DE PREMISSAS</w:t>
      </w:r>
    </w:p>
    <w:p>
      <w:pPr>
        <w:spacing w:after="284" w:line="360"/>
        <w:ind w:firstLine="567"/>
        <w:jc w:val="both"/>
      </w:pPr>
      <w:r>
        <w:rPr>
          <w:rFonts w:ascii="Arial" w:cs="Arial" w:eastAsia="Arial" w:hAnsi="Arial"/>
          <w:sz w:val="24"/>
          <w:szCs w:val="24"/>
        </w:rPr>
        <w:t xml:space="preserve">O modelo tem 38 premissas, cada uma com faixa pessimista, provável e otimista, fonte e nível de evidência. O registro completo está no Apêndice </w:t>
      </w:r>
      <w:r>
        <w:rPr>
          <w:rFonts w:ascii="Arial" w:cs="Arial" w:eastAsia="Arial" w:hAnsi="Arial"/>
          <w:sz w:val="24"/>
          <w:szCs w:val="24"/>
        </w:rPr>
        <w:t xml:space="preserve">[letra]</w:t>
      </w:r>
      <w:r>
        <w:rPr>
          <w:rFonts w:ascii="Arial" w:cs="Arial" w:eastAsia="Arial" w:hAnsi="Arial"/>
          <w:sz w:val="24"/>
          <w:szCs w:val="24"/>
        </w:rPr>
        <w:t xml:space="preserve"> e na aba premissas do modelo; o Quadro 9.2 traz as que movem o VPL em mais de R$ 100 mil entre os extremos da faixa (seção 9.7).</w:t>
      </w:r>
    </w:p>
    <w:p>
      <w:pPr>
        <w:keepNext/>
        <w:spacing w:after="0" w:before="240" w:line="240"/>
        <w:jc w:val="center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Quadro 9.2 – Premissas de maior impacto no VPL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33"/>
        <w:gridCol w:w="2286"/>
        <w:gridCol w:w="1067"/>
        <w:gridCol w:w="1067"/>
        <w:gridCol w:w="1067"/>
        <w:gridCol w:w="2286"/>
        <w:gridCol w:w="765"/>
      </w:tblGrid>
      <w:tr>
        <w:trPr>
          <w:cantSplit/>
          <w:tblHeader/>
        </w:trPr>
        <w:tc>
          <w:tcPr>
            <w:tcW w:type="dxa" w:w="533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2286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Premissa</w:t>
            </w:r>
          </w:p>
        </w:tc>
        <w:tc>
          <w:tcPr>
            <w:tcW w:type="dxa" w:w="1067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Pessimista</w:t>
            </w:r>
          </w:p>
        </w:tc>
        <w:tc>
          <w:tcPr>
            <w:tcW w:type="dxa" w:w="1067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Provável</w:t>
            </w:r>
          </w:p>
        </w:tc>
        <w:tc>
          <w:tcPr>
            <w:tcW w:type="dxa" w:w="1067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Otimista</w:t>
            </w:r>
          </w:p>
        </w:tc>
        <w:tc>
          <w:tcPr>
            <w:tcW w:type="dxa" w:w="2286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Fonte</w:t>
            </w:r>
          </w:p>
        </w:tc>
        <w:tc>
          <w:tcPr>
            <w:tcW w:type="dxa" w:w="765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Nível</w:t>
            </w:r>
          </w:p>
        </w:tc>
      </w:tr>
      <w:tr>
        <w:trPr>
          <w:cantSplit/>
          <w:tblHeader w:val="false"/>
        </w:trPr>
        <w:tc>
          <w:tcPr>
            <w:tcW w:type="dxa" w:w="5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R03</w:t>
            </w:r>
          </w:p>
        </w:tc>
        <w:tc>
          <w:tcPr>
            <w:tcW w:type="dxa" w:w="22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Permanência média (min)</w:t>
            </w:r>
          </w:p>
        </w:tc>
        <w:tc>
          <w:tcPr>
            <w:tcW w:type="dxa" w:w="106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137</w:t>
            </w:r>
          </w:p>
        </w:tc>
        <w:tc>
          <w:tcPr>
            <w:tcW w:type="dxa" w:w="106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109</w:t>
            </w:r>
          </w:p>
        </w:tc>
        <w:tc>
          <w:tcPr>
            <w:tcW w:type="dxa" w:w="106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83</w:t>
            </w:r>
          </w:p>
        </w:tc>
        <w:tc>
          <w:tcPr>
            <w:tcW w:type="dxa" w:w="22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B3, 4 visitas</w:t>
            </w:r>
          </w:p>
        </w:tc>
        <w:tc>
          <w:tcPr>
            <w:tcW w:type="dxa" w:w="76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N5</w:t>
            </w:r>
          </w:p>
        </w:tc>
      </w:tr>
      <w:tr>
        <w:trPr>
          <w:cantSplit/>
          <w:tblHeader w:val="false"/>
        </w:trPr>
        <w:tc>
          <w:tcPr>
            <w:tcW w:type="dxa" w:w="5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R02</w:t>
            </w:r>
          </w:p>
        </w:tc>
        <w:tc>
          <w:tcPr>
            <w:tcW w:type="dxa" w:w="22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Pessoas por grupo de mesa</w:t>
            </w:r>
          </w:p>
        </w:tc>
        <w:tc>
          <w:tcPr>
            <w:tcW w:type="dxa" w:w="106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2,8</w:t>
            </w:r>
          </w:p>
        </w:tc>
        <w:tc>
          <w:tcPr>
            <w:tcW w:type="dxa" w:w="106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3,6</w:t>
            </w:r>
          </w:p>
        </w:tc>
        <w:tc>
          <w:tcPr>
            <w:tcW w:type="dxa" w:w="106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4,4</w:t>
            </w:r>
          </w:p>
        </w:tc>
        <w:tc>
          <w:tcPr>
            <w:tcW w:type="dxa" w:w="22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B3, 4 visitas</w:t>
            </w:r>
          </w:p>
        </w:tc>
        <w:tc>
          <w:tcPr>
            <w:tcW w:type="dxa" w:w="76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N5</w:t>
            </w:r>
          </w:p>
        </w:tc>
      </w:tr>
      <w:tr>
        <w:trPr>
          <w:cantSplit/>
          <w:tblHeader w:val="false"/>
        </w:trPr>
        <w:tc>
          <w:tcPr>
            <w:tcW w:type="dxa" w:w="5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R04</w:t>
            </w:r>
          </w:p>
        </w:tc>
        <w:tc>
          <w:tcPr>
            <w:tcW w:type="dxa" w:w="22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Taxa de ocupação, fim de semana</w:t>
            </w:r>
          </w:p>
        </w:tc>
        <w:tc>
          <w:tcPr>
            <w:tcW w:type="dxa" w:w="106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25%</w:t>
            </w:r>
          </w:p>
        </w:tc>
        <w:tc>
          <w:tcPr>
            <w:tcW w:type="dxa" w:w="106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35%</w:t>
            </w:r>
          </w:p>
        </w:tc>
        <w:tc>
          <w:tcPr>
            <w:tcW w:type="dxa" w:w="106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45%</w:t>
            </w:r>
          </w:p>
        </w:tc>
        <w:tc>
          <w:tcPr>
            <w:tcW w:type="dxa" w:w="22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B3, noites de sexta e sábado</w:t>
            </w:r>
          </w:p>
        </w:tc>
        <w:tc>
          <w:tcPr>
            <w:tcW w:type="dxa" w:w="76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N5 + N6</w:t>
            </w:r>
          </w:p>
        </w:tc>
      </w:tr>
      <w:tr>
        <w:trPr>
          <w:cantSplit/>
          <w:tblHeader w:val="false"/>
        </w:trPr>
        <w:tc>
          <w:tcPr>
            <w:tcW w:type="dxa" w:w="5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R05</w:t>
            </w:r>
          </w:p>
        </w:tc>
        <w:tc>
          <w:tcPr>
            <w:tcW w:type="dxa" w:w="22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Taxa de ocupação, dia útil</w:t>
            </w:r>
          </w:p>
        </w:tc>
        <w:tc>
          <w:tcPr>
            <w:tcW w:type="dxa" w:w="106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10%</w:t>
            </w:r>
          </w:p>
        </w:tc>
        <w:tc>
          <w:tcPr>
            <w:tcW w:type="dxa" w:w="106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18%</w:t>
            </w:r>
          </w:p>
        </w:tc>
        <w:tc>
          <w:tcPr>
            <w:tcW w:type="dxa" w:w="106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25%</w:t>
            </w:r>
          </w:p>
        </w:tc>
        <w:tc>
          <w:tcPr>
            <w:tcW w:type="dxa" w:w="22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Estimativa do autor</w:t>
            </w:r>
          </w:p>
        </w:tc>
        <w:tc>
          <w:tcPr>
            <w:tcW w:type="dxa" w:w="76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N6</w:t>
            </w:r>
          </w:p>
        </w:tc>
      </w:tr>
      <w:tr>
        <w:trPr>
          <w:cantSplit/>
          <w:tblHeader w:val="false"/>
        </w:trPr>
        <w:tc>
          <w:tcPr>
            <w:tcW w:type="dxa" w:w="5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R01</w:t>
            </w:r>
          </w:p>
        </w:tc>
        <w:tc>
          <w:tcPr>
            <w:tcW w:type="dxa" w:w="22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Mesas do salão</w:t>
            </w:r>
          </w:p>
        </w:tc>
        <w:tc>
          <w:tcPr>
            <w:tcW w:type="dxa" w:w="106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106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106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11</w:t>
            </w:r>
          </w:p>
        </w:tc>
        <w:tc>
          <w:tcPr>
            <w:tcW w:type="dxa" w:w="22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B3, unidades da São Jogue</w:t>
            </w:r>
          </w:p>
        </w:tc>
        <w:tc>
          <w:tcPr>
            <w:tcW w:type="dxa" w:w="76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N5</w:t>
            </w:r>
          </w:p>
        </w:tc>
      </w:tr>
      <w:tr>
        <w:trPr>
          <w:cantSplit/>
          <w:tblHeader w:val="false"/>
        </w:trPr>
        <w:tc>
          <w:tcPr>
            <w:tcW w:type="dxa" w:w="5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R08</w:t>
            </w:r>
          </w:p>
        </w:tc>
        <w:tc>
          <w:tcPr>
            <w:tcW w:type="dxa" w:w="22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Gasto com A&amp;B por pessoa (R$)</w:t>
            </w:r>
          </w:p>
        </w:tc>
        <w:tc>
          <w:tcPr>
            <w:tcW w:type="dxa" w:w="106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18,00</w:t>
            </w:r>
          </w:p>
        </w:tc>
        <w:tc>
          <w:tcPr>
            <w:tcW w:type="dxa" w:w="106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24,00</w:t>
            </w:r>
          </w:p>
        </w:tc>
        <w:tc>
          <w:tcPr>
            <w:tcW w:type="dxa" w:w="106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32,00</w:t>
            </w:r>
          </w:p>
        </w:tc>
        <w:tc>
          <w:tcPr>
            <w:tcW w:type="dxa" w:w="22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B3, NFC-e; cardápio (B1)</w:t>
            </w:r>
          </w:p>
        </w:tc>
        <w:tc>
          <w:tcPr>
            <w:tcW w:type="dxa" w:w="76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N3 + N5</w:t>
            </w:r>
          </w:p>
        </w:tc>
      </w:tr>
      <w:tr>
        <w:trPr>
          <w:cantSplit/>
          <w:tblHeader w:val="false"/>
        </w:trPr>
        <w:tc>
          <w:tcPr>
            <w:tcW w:type="dxa" w:w="5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C06</w:t>
            </w:r>
          </w:p>
        </w:tc>
        <w:tc>
          <w:tcPr>
            <w:tcW w:type="dxa" w:w="22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Quadro de pessoal (pessoas)</w:t>
            </w:r>
          </w:p>
        </w:tc>
        <w:tc>
          <w:tcPr>
            <w:tcW w:type="dxa" w:w="106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14</w:t>
            </w:r>
          </w:p>
        </w:tc>
        <w:tc>
          <w:tcPr>
            <w:tcW w:type="dxa" w:w="106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12</w:t>
            </w:r>
          </w:p>
        </w:tc>
        <w:tc>
          <w:tcPr>
            <w:tcW w:type="dxa" w:w="106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22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CAGED (salários); autor (quadro)</w:t>
            </w:r>
          </w:p>
        </w:tc>
        <w:tc>
          <w:tcPr>
            <w:tcW w:type="dxa" w:w="76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N2 + N6</w:t>
            </w:r>
          </w:p>
        </w:tc>
      </w:tr>
      <w:tr>
        <w:trPr>
          <w:cantSplit/>
          <w:tblHeader w:val="false"/>
        </w:trPr>
        <w:tc>
          <w:tcPr>
            <w:tcW w:type="dxa" w:w="5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C03</w:t>
            </w:r>
          </w:p>
        </w:tc>
        <w:tc>
          <w:tcPr>
            <w:tcW w:type="dxa" w:w="22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Área do ponto (m²)</w:t>
            </w:r>
          </w:p>
        </w:tc>
        <w:tc>
          <w:tcPr>
            <w:tcW w:type="dxa" w:w="106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220</w:t>
            </w:r>
          </w:p>
        </w:tc>
        <w:tc>
          <w:tcPr>
            <w:tcW w:type="dxa" w:w="106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180</w:t>
            </w:r>
          </w:p>
        </w:tc>
        <w:tc>
          <w:tcPr>
            <w:tcW w:type="dxa" w:w="106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150</w:t>
            </w:r>
          </w:p>
        </w:tc>
        <w:tc>
          <w:tcPr>
            <w:tcW w:type="dxa" w:w="22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Estimativa do autor</w:t>
            </w:r>
          </w:p>
        </w:tc>
        <w:tc>
          <w:tcPr>
            <w:tcW w:type="dxa" w:w="76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N6</w:t>
            </w:r>
          </w:p>
        </w:tc>
      </w:tr>
      <w:tr>
        <w:trPr>
          <w:cantSplit/>
          <w:tblHeader w:val="false"/>
        </w:trPr>
        <w:tc>
          <w:tcPr>
            <w:tcW w:type="dxa" w:w="5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C04</w:t>
            </w:r>
          </w:p>
        </w:tc>
        <w:tc>
          <w:tcPr>
            <w:tcW w:type="dxa" w:w="22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Aluguel comercial (R$/m² ao mês)</w:t>
            </w:r>
          </w:p>
        </w:tc>
        <w:tc>
          <w:tcPr>
            <w:tcW w:type="dxa" w:w="106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64,36</w:t>
            </w:r>
          </w:p>
        </w:tc>
        <w:tc>
          <w:tcPr>
            <w:tcW w:type="dxa" w:w="106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54,15</w:t>
            </w:r>
          </w:p>
        </w:tc>
        <w:tc>
          <w:tcPr>
            <w:tcW w:type="dxa" w:w="106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45,00</w:t>
            </w:r>
          </w:p>
        </w:tc>
        <w:tc>
          <w:tcPr>
            <w:tcW w:type="dxa" w:w="22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FipeZap, Salvador, jul/2026</w:t>
            </w:r>
          </w:p>
        </w:tc>
        <w:tc>
          <w:tcPr>
            <w:tcW w:type="dxa" w:w="76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N2</w:t>
            </w:r>
          </w:p>
        </w:tc>
      </w:tr>
      <w:tr>
        <w:trPr>
          <w:cantSplit/>
          <w:tblHeader w:val="false"/>
        </w:trPr>
        <w:tc>
          <w:tcPr>
            <w:tcW w:type="dxa" w:w="5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I01</w:t>
            </w:r>
          </w:p>
        </w:tc>
        <w:tc>
          <w:tcPr>
            <w:tcW w:type="dxa" w:w="22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Reforma (R$/m²)</w:t>
            </w:r>
          </w:p>
        </w:tc>
        <w:tc>
          <w:tcPr>
            <w:tcW w:type="dxa" w:w="106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1.400,00</w:t>
            </w:r>
          </w:p>
        </w:tc>
        <w:tc>
          <w:tcPr>
            <w:tcW w:type="dxa" w:w="106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1.000,00</w:t>
            </w:r>
          </w:p>
        </w:tc>
        <w:tc>
          <w:tcPr>
            <w:tcW w:type="dxa" w:w="106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600,00</w:t>
            </w:r>
          </w:p>
        </w:tc>
        <w:tc>
          <w:tcPr>
            <w:tcW w:type="dxa" w:w="22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Estimativa do autor</w:t>
            </w:r>
          </w:p>
        </w:tc>
        <w:tc>
          <w:tcPr>
            <w:tcW w:type="dxa" w:w="76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N6</w:t>
            </w:r>
          </w:p>
        </w:tc>
      </w:tr>
      <w:tr>
        <w:trPr>
          <w:cantSplit/>
          <w:tblHeader w:val="false"/>
        </w:trPr>
        <w:tc>
          <w:tcPr>
            <w:tcW w:type="dxa" w:w="5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R06</w:t>
            </w:r>
          </w:p>
        </w:tc>
        <w:tc>
          <w:tcPr>
            <w:tcW w:type="dxa" w:w="22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Taxa de entrada, fim de semana (R$)</w:t>
            </w:r>
          </w:p>
        </w:tc>
        <w:tc>
          <w:tcPr>
            <w:tcW w:type="dxa" w:w="106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25,00</w:t>
            </w:r>
          </w:p>
        </w:tc>
        <w:tc>
          <w:tcPr>
            <w:tcW w:type="dxa" w:w="106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28,00</w:t>
            </w:r>
          </w:p>
        </w:tc>
        <w:tc>
          <w:tcPr>
            <w:tcW w:type="dxa" w:w="106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30,00</w:t>
            </w:r>
          </w:p>
        </w:tc>
        <w:tc>
          <w:tcPr>
            <w:tcW w:type="dxa" w:w="22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São Jogue</w:t>
            </w:r>
          </w:p>
        </w:tc>
        <w:tc>
          <w:tcPr>
            <w:tcW w:type="dxa" w:w="76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N3 + N5</w:t>
            </w:r>
          </w:p>
        </w:tc>
      </w:tr>
      <w:tr>
        <w:trPr>
          <w:cantSplit/>
          <w:tblHeader w:val="false"/>
        </w:trPr>
        <w:tc>
          <w:tcPr>
            <w:tcW w:type="dxa" w:w="5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C07</w:t>
            </w:r>
          </w:p>
        </w:tc>
        <w:tc>
          <w:tcPr>
            <w:tcW w:type="dxa" w:w="22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Encargos sobre a folha</w:t>
            </w:r>
          </w:p>
        </w:tc>
        <w:tc>
          <w:tcPr>
            <w:tcW w:type="dxa" w:w="106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45%</w:t>
            </w:r>
          </w:p>
        </w:tc>
        <w:tc>
          <w:tcPr>
            <w:tcW w:type="dxa" w:w="106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37%</w:t>
            </w:r>
          </w:p>
        </w:tc>
        <w:tc>
          <w:tcPr>
            <w:tcW w:type="dxa" w:w="106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30%</w:t>
            </w:r>
          </w:p>
        </w:tc>
        <w:tc>
          <w:tcPr>
            <w:tcW w:type="dxa" w:w="22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CLT; estimativa do autor</w:t>
            </w:r>
          </w:p>
        </w:tc>
        <w:tc>
          <w:tcPr>
            <w:tcW w:type="dxa" w:w="76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N1 + N6</w:t>
            </w:r>
          </w:p>
        </w:tc>
      </w:tr>
      <w:tr>
        <w:trPr>
          <w:cantSplit/>
          <w:tblHeader w:val="false"/>
        </w:trPr>
        <w:tc>
          <w:tcPr>
            <w:tcW w:type="dxa" w:w="533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C01</w:t>
            </w:r>
          </w:p>
        </w:tc>
        <w:tc>
          <w:tcPr>
            <w:tcW w:type="dxa" w:w="2286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CMV de A&amp;B</w:t>
            </w:r>
          </w:p>
        </w:tc>
        <w:tc>
          <w:tcPr>
            <w:tcW w:type="dxa" w:w="1067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35%</w:t>
            </w:r>
          </w:p>
        </w:tc>
        <w:tc>
          <w:tcPr>
            <w:tcW w:type="dxa" w:w="1067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30%</w:t>
            </w:r>
          </w:p>
        </w:tc>
        <w:tc>
          <w:tcPr>
            <w:tcW w:type="dxa" w:w="1067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26%</w:t>
            </w:r>
          </w:p>
        </w:tc>
        <w:tc>
          <w:tcPr>
            <w:tcW w:type="dxa" w:w="2286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IBGE, PAS 2023</w:t>
            </w:r>
          </w:p>
        </w:tc>
        <w:tc>
          <w:tcPr>
            <w:tcW w:type="dxa" w:w="765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N2</w:t>
            </w:r>
          </w:p>
        </w:tc>
      </w:tr>
    </w:tbl>
    <w:p>
      <w:pPr>
        <w:keepNext w:val="false"/>
        <w:spacing w:after="240" w:before="0" w:line="240"/>
        <w:jc w:val="center"/>
      </w:pPr>
      <w:r>
        <w:rPr>
          <w:rFonts w:ascii="Arial" w:cs="Arial" w:eastAsia="Arial" w:hAnsi="Arial"/>
          <w:sz w:val="20"/>
          <w:szCs w:val="20"/>
        </w:rPr>
        <w:t xml:space="preserve">Fonte: elaboração própria, com dados dos Blocos B1, B3 e B4 (out/2026).</w:t>
      </w:r>
    </w:p>
    <w:p>
      <w:pPr>
        <w:spacing w:after="284" w:line="360"/>
        <w:ind w:firstLine="567"/>
        <w:jc w:val="both"/>
      </w:pPr>
      <w:r>
        <w:rPr>
          <w:rFonts w:ascii="Arial" w:cs="Arial" w:eastAsia="Arial" w:hAnsi="Arial"/>
          <w:sz w:val="24"/>
          <w:szCs w:val="24"/>
        </w:rPr>
        <w:t xml:space="preserve">As premissas de demanda vêm da contagem direta na São Jogue (B3). Nas quatro visitas — duas em cada unidade, sempre na noite de sexta ou sábado —, os grupos de mesa tiveram de 2,4 a 4,6 pessoas (média de 3,6) e permanência média de 83 a 137 minutos (média de 109). A taxa de ocupação, medida minuto a minuto pelos registros de entrada e saída de cada grupo, sem contar a mesa do observador, ficou entre 29,9% e 66,9% das mesas, com média de 46,1%. As visitas mediram o pico da semana, por orientação: o objetivo foi conhecer a ocupação máxima e o comportamento de clientes e equipe. Por isso, a ocupação de fim de semana do dia inteiro entra abaixo da noite (35% no provável), e a de dia útil é estimativa do autor (N6), fixada em cerca de metade da de fim de semana.</w:t>
      </w:r>
    </w:p>
    <w:p>
      <w:pPr>
        <w:spacing w:after="284" w:line="360"/>
        <w:ind w:firstLine="567"/>
        <w:jc w:val="both"/>
      </w:pPr>
      <w:r>
        <w:rPr>
          <w:rFonts w:ascii="Arial" w:cs="Arial" w:eastAsia="Arial" w:hAnsi="Arial"/>
          <w:sz w:val="24"/>
          <w:szCs w:val="24"/>
        </w:rPr>
        <w:t xml:space="preserve">Os preços seguem os da São Jogue. A taxa de entrada é de R$ 28,00 por pessoa de sexta a domingo e de R$ 22,00 de segunda a quinta, por um turno de 3 horas no salão. O gasto com A&amp;B parte das quatro NFC-e das mesas dos observadores: R$ 23,91 por pessoa, sem taxa, jogos comprados e serviço. O valor fica abaixo do consumo por pessoa nos cardápios, de R$ 48,50 na São Jogue e de R$ 50,25 na mediana dos concorrentes (uma bebida e uma entrada ou prato; B1). A diferença é coerente com os pedidos observados: de 0,5 a 1,7 pedidos por grupo de mesa, menos que uma bebida e um prato por pessoa (B3). Por isso, o consumo de cardápio fica como teto, acima do otimista de R$ 32,00.</w:t>
      </w:r>
    </w:p>
    <w:p>
      <w:pPr>
        <w:spacing w:after="284" w:line="360"/>
        <w:ind w:firstLine="567"/>
        <w:jc w:val="both"/>
      </w:pPr>
      <w:r>
        <w:rPr>
          <w:rFonts w:ascii="Arial" w:cs="Arial" w:eastAsia="Arial" w:hAnsi="Arial"/>
          <w:sz w:val="24"/>
          <w:szCs w:val="24"/>
        </w:rPr>
        <w:t xml:space="preserve">Os custos vêm de bases públicas sempre que possível. O aluguel comercial de Salvador é de R$ 54,15 por m² ao mês (FipeZap, jul/2026), com alta de 18,9% em 12 meses, usada no pessimista. Os salários são as medianas de admissão em Salvador no Novo CAGED (ago/2025 a jul/2026), quase todas no piso de R$ 1.625,09, com gerente a R$ 2.500,00. O CMV de 30% acompanha a PAS 2023: mercadorias e materiais custaram 29,6% da receita líquida dos serviços de alimentação. Área, reforma, mobiliário, cozinha e despesas gerais não têm cotação e ficam em N6.</w:t>
      </w:r>
    </w:p>
    <w:p>
      <w:pPr>
        <w:spacing w:after="284" w:line="360"/>
        <w:ind w:firstLine="567"/>
        <w:jc w:val="both"/>
      </w:pPr>
      <w:r>
        <w:rPr>
          <w:rFonts w:ascii="Arial" w:cs="Arial" w:eastAsia="Arial" w:hAnsi="Arial"/>
          <w:sz w:val="24"/>
          <w:szCs w:val="24"/>
        </w:rPr>
        <w:t xml:space="preserve">A TMA real provável é de 15% ao ano. A Selic meta de 14,0% (BCB, set/2026), descontado o IPCA esperado de 4,3% para 2027 (Focus), dá juro real de 9,3%; somou-se um prêmio de 3 a 9 pontos percentuais pelo risco de pequeno negócio novo.</w:t>
      </w:r>
    </w:p>
    <w:p>
      <w:pPr>
        <w:pStyle w:val="Heading1"/>
        <w:keepNext/>
        <w:spacing w:after="240" w:before="360" w:line="3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9.3 INVESTIMENTO INICIAL E FINANCIAMENTO</w:t>
      </w:r>
    </w:p>
    <w:p>
      <w:pPr>
        <w:spacing w:after="284" w:line="360"/>
        <w:ind w:firstLine="567"/>
        <w:jc w:val="both"/>
      </w:pPr>
      <w:r>
        <w:rPr>
          <w:rFonts w:ascii="Arial" w:cs="Arial" w:eastAsia="Arial" w:hAnsi="Arial"/>
          <w:sz w:val="24"/>
          <w:szCs w:val="24"/>
        </w:rPr>
        <w:t xml:space="preserve">O investimento inicial provável é de R$ 503 mil. A reforma responde por 36% do total, e o capital de giro, por 20% (Tabela 9.1). O acervo de 322 títulos — mediana dos concorrentes do B1, ao preço provável das lojas — custa R$ 61 mil; a São Jogue lista 370 títulos.</w:t>
      </w:r>
    </w:p>
    <w:p>
      <w:pPr>
        <w:keepNext/>
        <w:spacing w:after="0" w:before="240" w:line="240"/>
        <w:jc w:val="center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Tabela 9.1 – Investimento inicial por cenário (R$)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18"/>
        <w:gridCol w:w="1984"/>
        <w:gridCol w:w="1984"/>
        <w:gridCol w:w="1985"/>
      </w:tblGrid>
      <w:tr>
        <w:trPr>
          <w:cantSplit/>
          <w:tblHeader/>
        </w:trPr>
        <w:tc>
          <w:tcPr>
            <w:tcW w:type="dxa" w:w="3118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Item</w:t>
            </w:r>
          </w:p>
        </w:tc>
        <w:tc>
          <w:tcPr>
            <w:tcW w:type="dxa" w:w="1984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Pessimista</w:t>
            </w:r>
          </w:p>
        </w:tc>
        <w:tc>
          <w:tcPr>
            <w:tcW w:type="dxa" w:w="1984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Provável</w:t>
            </w:r>
          </w:p>
        </w:tc>
        <w:tc>
          <w:tcPr>
            <w:tcW w:type="dxa" w:w="1985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Otimista</w:t>
            </w:r>
          </w:p>
        </w:tc>
      </w:tr>
      <w:tr>
        <w:trPr>
          <w:cantSplit/>
          <w:tblHeader w:val="false"/>
        </w:trPr>
        <w:tc>
          <w:tcPr>
            <w:tcW w:type="dxa" w:w="31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Reforma e instalações</w:t>
            </w:r>
          </w:p>
        </w:tc>
        <w:tc>
          <w:tcPr>
            <w:tcW w:type="dxa" w:w="198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308.000,00</w:t>
            </w:r>
          </w:p>
        </w:tc>
        <w:tc>
          <w:tcPr>
            <w:tcW w:type="dxa" w:w="198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180.000,00</w:t>
            </w:r>
          </w:p>
        </w:tc>
        <w:tc>
          <w:tcPr>
            <w:tcW w:type="dxa" w:w="198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90.000,00</w:t>
            </w:r>
          </w:p>
        </w:tc>
      </w:tr>
      <w:tr>
        <w:trPr>
          <w:cantSplit/>
          <w:tblHeader w:val="false"/>
        </w:trPr>
        <w:tc>
          <w:tcPr>
            <w:tcW w:type="dxa" w:w="31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Mobiliário</w:t>
            </w:r>
          </w:p>
        </w:tc>
        <w:tc>
          <w:tcPr>
            <w:tcW w:type="dxa" w:w="198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60.000,00</w:t>
            </w:r>
          </w:p>
        </w:tc>
        <w:tc>
          <w:tcPr>
            <w:tcW w:type="dxa" w:w="198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45.000,00</w:t>
            </w:r>
          </w:p>
        </w:tc>
        <w:tc>
          <w:tcPr>
            <w:tcW w:type="dxa" w:w="198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30.000,00</w:t>
            </w:r>
          </w:p>
        </w:tc>
      </w:tr>
      <w:tr>
        <w:trPr>
          <w:cantSplit/>
          <w:tblHeader w:val="false"/>
        </w:trPr>
        <w:tc>
          <w:tcPr>
            <w:tcW w:type="dxa" w:w="31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Cozinha e bar</w:t>
            </w:r>
          </w:p>
        </w:tc>
        <w:tc>
          <w:tcPr>
            <w:tcW w:type="dxa" w:w="198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80.000,00</w:t>
            </w:r>
          </w:p>
        </w:tc>
        <w:tc>
          <w:tcPr>
            <w:tcW w:type="dxa" w:w="198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60.000,00</w:t>
            </w:r>
          </w:p>
        </w:tc>
        <w:tc>
          <w:tcPr>
            <w:tcW w:type="dxa" w:w="198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40.000,00</w:t>
            </w:r>
          </w:p>
        </w:tc>
      </w:tr>
      <w:tr>
        <w:trPr>
          <w:cantSplit/>
          <w:tblHeader w:val="false"/>
        </w:trPr>
        <w:tc>
          <w:tcPr>
            <w:tcW w:type="dxa" w:w="31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Caixa e informática</w:t>
            </w:r>
          </w:p>
        </w:tc>
        <w:tc>
          <w:tcPr>
            <w:tcW w:type="dxa" w:w="198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8.000,00</w:t>
            </w:r>
          </w:p>
        </w:tc>
        <w:tc>
          <w:tcPr>
            <w:tcW w:type="dxa" w:w="198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6.000,00</w:t>
            </w:r>
          </w:p>
        </w:tc>
        <w:tc>
          <w:tcPr>
            <w:tcW w:type="dxa" w:w="198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4.000,00</w:t>
            </w:r>
          </w:p>
        </w:tc>
      </w:tr>
      <w:tr>
        <w:trPr>
          <w:cantSplit/>
          <w:tblHeader w:val="false"/>
        </w:trPr>
        <w:tc>
          <w:tcPr>
            <w:tcW w:type="dxa" w:w="31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Acervo inicial de jogos</w:t>
            </w:r>
          </w:p>
        </w:tc>
        <w:tc>
          <w:tcPr>
            <w:tcW w:type="dxa" w:w="198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114.750,94</w:t>
            </w:r>
          </w:p>
        </w:tc>
        <w:tc>
          <w:tcPr>
            <w:tcW w:type="dxa" w:w="198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60.884,32</w:t>
            </w:r>
          </w:p>
        </w:tc>
        <w:tc>
          <w:tcPr>
            <w:tcW w:type="dxa" w:w="198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42.928,78</w:t>
            </w:r>
          </w:p>
        </w:tc>
      </w:tr>
      <w:tr>
        <w:trPr>
          <w:cantSplit/>
          <w:tblHeader w:val="false"/>
        </w:trPr>
        <w:tc>
          <w:tcPr>
            <w:tcW w:type="dxa" w:w="31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Gastos pré-operacionais</w:t>
            </w:r>
          </w:p>
        </w:tc>
        <w:tc>
          <w:tcPr>
            <w:tcW w:type="dxa" w:w="198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30.000,00</w:t>
            </w:r>
          </w:p>
        </w:tc>
        <w:tc>
          <w:tcPr>
            <w:tcW w:type="dxa" w:w="198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20.000,00</w:t>
            </w:r>
          </w:p>
        </w:tc>
        <w:tc>
          <w:tcPr>
            <w:tcW w:type="dxa" w:w="198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12.000,00</w:t>
            </w:r>
          </w:p>
        </w:tc>
      </w:tr>
      <w:tr>
        <w:trPr>
          <w:cantSplit/>
          <w:tblHeader w:val="false"/>
        </w:trPr>
        <w:tc>
          <w:tcPr>
            <w:tcW w:type="dxa" w:w="31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Caução do aluguel</w:t>
            </w:r>
          </w:p>
        </w:tc>
        <w:tc>
          <w:tcPr>
            <w:tcW w:type="dxa" w:w="198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42.471,00</w:t>
            </w:r>
          </w:p>
        </w:tc>
        <w:tc>
          <w:tcPr>
            <w:tcW w:type="dxa" w:w="198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29.241,00</w:t>
            </w:r>
          </w:p>
        </w:tc>
        <w:tc>
          <w:tcPr>
            <w:tcW w:type="dxa" w:w="198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13.500,00</w:t>
            </w:r>
          </w:p>
        </w:tc>
      </w:tr>
      <w:tr>
        <w:trPr>
          <w:cantSplit/>
          <w:tblHeader w:val="false"/>
        </w:trPr>
        <w:tc>
          <w:tcPr>
            <w:tcW w:type="dxa" w:w="31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Capital de giro</w:t>
            </w:r>
          </w:p>
        </w:tc>
        <w:tc>
          <w:tcPr>
            <w:tcW w:type="dxa" w:w="198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206.274,85</w:t>
            </w:r>
          </w:p>
        </w:tc>
        <w:tc>
          <w:tcPr>
            <w:tcW w:type="dxa" w:w="198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102.105,31</w:t>
            </w:r>
          </w:p>
        </w:tc>
        <w:tc>
          <w:tcPr>
            <w:tcW w:type="dxa" w:w="198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56.403,39</w:t>
            </w:r>
          </w:p>
        </w:tc>
      </w:tr>
      <w:tr>
        <w:trPr>
          <w:cantSplit/>
          <w:tblHeader w:val="false"/>
        </w:trPr>
        <w:tc>
          <w:tcPr>
            <w:tcW w:type="dxa" w:w="3118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Total</w:t>
            </w:r>
          </w:p>
        </w:tc>
        <w:tc>
          <w:tcPr>
            <w:tcW w:type="dxa" w:w="1984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849.496,78</w:t>
            </w:r>
          </w:p>
        </w:tc>
        <w:tc>
          <w:tcPr>
            <w:tcW w:type="dxa" w:w="1984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503.230,63</w:t>
            </w:r>
          </w:p>
        </w:tc>
        <w:tc>
          <w:tcPr>
            <w:tcW w:type="dxa" w:w="1985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288.832,17</w:t>
            </w:r>
          </w:p>
        </w:tc>
      </w:tr>
    </w:tbl>
    <w:p>
      <w:pPr>
        <w:keepNext w:val="false"/>
        <w:spacing w:after="240" w:before="0" w:line="240"/>
        <w:jc w:val="center"/>
      </w:pPr>
      <w:r>
        <w:rPr>
          <w:rFonts w:ascii="Arial" w:cs="Arial" w:eastAsia="Arial" w:hAnsi="Arial"/>
          <w:sz w:val="20"/>
          <w:szCs w:val="20"/>
        </w:rPr>
        <w:t xml:space="preserve">Fonte: elaboração própria (aba investimento do modelo).</w:t>
      </w:r>
    </w:p>
    <w:p>
      <w:pPr>
        <w:spacing w:after="284" w:line="360"/>
        <w:ind w:firstLine="567"/>
        <w:jc w:val="both"/>
      </w:pPr>
      <w:r>
        <w:rPr>
          <w:rFonts w:ascii="Arial" w:cs="Arial" w:eastAsia="Arial" w:hAnsi="Arial"/>
          <w:sz w:val="24"/>
          <w:szCs w:val="24"/>
        </w:rPr>
        <w:t xml:space="preserve">O capital de giro cobre dois meses de custos fixos no provável, o bastante para a rampa de maturação. No ano 1, o EBITDA provável é negativo em R$ 114 mil (seção 9.5): a reserva de R$ 102 mil não cobre o déficit inteiro, e o plano precisa de aporte adicional ou de rampa mais curta. O modelo supõe capital próprio, sem financiamento; o custo de um empréstimo entraria pela TMA, já acima do juro real de mercado.</w:t>
      </w:r>
    </w:p>
    <w:p>
      <w:pPr>
        <w:pStyle w:val="Heading1"/>
        <w:keepNext/>
        <w:spacing w:after="240" w:before="360" w:line="3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9.4 RECEITAS, CUSTOS E DESPESAS PROJETADOS</w:t>
      </w:r>
    </w:p>
    <w:p>
      <w:pPr>
        <w:spacing w:after="284" w:line="360"/>
        <w:ind w:firstLine="567"/>
        <w:jc w:val="both"/>
      </w:pPr>
      <w:r>
        <w:rPr>
          <w:rFonts w:ascii="Arial" w:cs="Arial" w:eastAsia="Arial" w:hAnsi="Arial"/>
          <w:sz w:val="24"/>
          <w:szCs w:val="24"/>
        </w:rPr>
        <w:t xml:space="preserve">Na maturidade, o cenário provável atende 1.460 pessoas por mês, cerca de 48 por dia. A receita bruta mensal chega a R$ 73,1 mil: 51% de taxa de entrada, 48% de A&amp;B e 1% de aluguel de jogos (Tabela 9.2). A rampa começa em 40% da ocupação madura e chega a 100% no mês 9.</w:t>
      </w:r>
    </w:p>
    <w:p>
      <w:pPr>
        <w:keepNext/>
        <w:spacing w:after="0" w:before="240" w:line="240"/>
        <w:jc w:val="center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Tabela 9.2 – Receita e custos mensais no cenário provável, mês maduro (R$)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74"/>
        <w:gridCol w:w="2048"/>
        <w:gridCol w:w="2049"/>
      </w:tblGrid>
      <w:tr>
        <w:trPr>
          <w:cantSplit/>
          <w:tblHeader/>
        </w:trPr>
        <w:tc>
          <w:tcPr>
            <w:tcW w:type="dxa" w:w="4974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Conta</w:t>
            </w:r>
          </w:p>
        </w:tc>
        <w:tc>
          <w:tcPr>
            <w:tcW w:type="dxa" w:w="2048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Valor mensal</w:t>
            </w:r>
          </w:p>
        </w:tc>
        <w:tc>
          <w:tcPr>
            <w:tcW w:type="dxa" w:w="2049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% da receita bruta</w:t>
            </w:r>
          </w:p>
        </w:tc>
      </w:tr>
      <w:tr>
        <w:trPr>
          <w:cantSplit/>
          <w:tblHeader w:val="false"/>
        </w:trPr>
        <w:tc>
          <w:tcPr>
            <w:tcW w:type="dxa" w:w="497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Taxa de entrada</w:t>
            </w:r>
          </w:p>
        </w:tc>
        <w:tc>
          <w:tcPr>
            <w:tcW w:type="dxa" w:w="20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37.165,22</w:t>
            </w:r>
          </w:p>
        </w:tc>
        <w:tc>
          <w:tcPr>
            <w:tcW w:type="dxa" w:w="204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50,8%</w:t>
            </w:r>
          </w:p>
        </w:tc>
      </w:tr>
      <w:tr>
        <w:trPr>
          <w:cantSplit/>
          <w:tblHeader w:val="false"/>
        </w:trPr>
        <w:tc>
          <w:tcPr>
            <w:tcW w:type="dxa" w:w="497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Alimentos e bebidas</w:t>
            </w:r>
          </w:p>
        </w:tc>
        <w:tc>
          <w:tcPr>
            <w:tcW w:type="dxa" w:w="20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35.035,60</w:t>
            </w:r>
          </w:p>
        </w:tc>
        <w:tc>
          <w:tcPr>
            <w:tcW w:type="dxa" w:w="204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47,9%</w:t>
            </w:r>
          </w:p>
        </w:tc>
      </w:tr>
      <w:tr>
        <w:trPr>
          <w:cantSplit/>
          <w:tblHeader w:val="false"/>
        </w:trPr>
        <w:tc>
          <w:tcPr>
            <w:tcW w:type="dxa" w:w="497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Aluguel de jogos</w:t>
            </w:r>
          </w:p>
        </w:tc>
        <w:tc>
          <w:tcPr>
            <w:tcW w:type="dxa" w:w="20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900,00</w:t>
            </w:r>
          </w:p>
        </w:tc>
        <w:tc>
          <w:tcPr>
            <w:tcW w:type="dxa" w:w="204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1,2%</w:t>
            </w:r>
          </w:p>
        </w:tc>
      </w:tr>
      <w:tr>
        <w:trPr>
          <w:cantSplit/>
          <w:tblHeader w:val="false"/>
        </w:trPr>
        <w:tc>
          <w:tcPr>
            <w:tcW w:type="dxa" w:w="497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Receita bruta</w:t>
            </w:r>
          </w:p>
        </w:tc>
        <w:tc>
          <w:tcPr>
            <w:tcW w:type="dxa" w:w="20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73.100,81</w:t>
            </w:r>
          </w:p>
        </w:tc>
        <w:tc>
          <w:tcPr>
            <w:tcW w:type="dxa" w:w="204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100,0%</w:t>
            </w:r>
          </w:p>
        </w:tc>
      </w:tr>
      <w:tr>
        <w:trPr>
          <w:cantSplit/>
          <w:tblHeader w:val="false"/>
        </w:trPr>
        <w:tc>
          <w:tcPr>
            <w:tcW w:type="dxa" w:w="497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Simples Nacional</w:t>
            </w:r>
          </w:p>
        </w:tc>
        <w:tc>
          <w:tcPr>
            <w:tcW w:type="dxa" w:w="20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7.394,05</w:t>
            </w:r>
          </w:p>
        </w:tc>
        <w:tc>
          <w:tcPr>
            <w:tcW w:type="dxa" w:w="204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10,1%</w:t>
            </w:r>
          </w:p>
        </w:tc>
      </w:tr>
      <w:tr>
        <w:trPr>
          <w:cantSplit/>
          <w:tblHeader w:val="false"/>
        </w:trPr>
        <w:tc>
          <w:tcPr>
            <w:tcW w:type="dxa" w:w="497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CMV de A&amp;B</w:t>
            </w:r>
          </w:p>
        </w:tc>
        <w:tc>
          <w:tcPr>
            <w:tcW w:type="dxa" w:w="20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10.510,68</w:t>
            </w:r>
          </w:p>
        </w:tc>
        <w:tc>
          <w:tcPr>
            <w:tcW w:type="dxa" w:w="204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14,4%</w:t>
            </w:r>
          </w:p>
        </w:tc>
      </w:tr>
      <w:tr>
        <w:trPr>
          <w:cantSplit/>
          <w:tblHeader w:val="false"/>
        </w:trPr>
        <w:tc>
          <w:tcPr>
            <w:tcW w:type="dxa" w:w="497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Taxa de cartão</w:t>
            </w:r>
          </w:p>
        </w:tc>
        <w:tc>
          <w:tcPr>
            <w:tcW w:type="dxa" w:w="20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2.193,02</w:t>
            </w:r>
          </w:p>
        </w:tc>
        <w:tc>
          <w:tcPr>
            <w:tcW w:type="dxa" w:w="204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3,0%</w:t>
            </w:r>
          </w:p>
        </w:tc>
      </w:tr>
      <w:tr>
        <w:trPr>
          <w:cantSplit/>
          <w:tblHeader w:val="false"/>
        </w:trPr>
        <w:tc>
          <w:tcPr>
            <w:tcW w:type="dxa" w:w="497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Pessoal com encargos (12 pessoas)</w:t>
            </w:r>
          </w:p>
        </w:tc>
        <w:tc>
          <w:tcPr>
            <w:tcW w:type="dxa" w:w="20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28.198,89</w:t>
            </w:r>
          </w:p>
        </w:tc>
        <w:tc>
          <w:tcPr>
            <w:tcW w:type="dxa" w:w="204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38,6%</w:t>
            </w:r>
          </w:p>
        </w:tc>
      </w:tr>
      <w:tr>
        <w:trPr>
          <w:cantSplit/>
          <w:tblHeader w:val="false"/>
        </w:trPr>
        <w:tc>
          <w:tcPr>
            <w:tcW w:type="dxa" w:w="497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Aluguel, condomínio e IPTU</w:t>
            </w:r>
          </w:p>
        </w:tc>
        <w:tc>
          <w:tcPr>
            <w:tcW w:type="dxa" w:w="20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11.696,40</w:t>
            </w:r>
          </w:p>
        </w:tc>
        <w:tc>
          <w:tcPr>
            <w:tcW w:type="dxa" w:w="204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16,0%</w:t>
            </w:r>
          </w:p>
        </w:tc>
      </w:tr>
      <w:tr>
        <w:trPr>
          <w:cantSplit/>
          <w:tblHeader w:val="false"/>
        </w:trPr>
        <w:tc>
          <w:tcPr>
            <w:tcW w:type="dxa" w:w="497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Pró-labore e despesas gerais</w:t>
            </w:r>
          </w:p>
        </w:tc>
        <w:tc>
          <w:tcPr>
            <w:tcW w:type="dxa" w:w="20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11.157,37</w:t>
            </w:r>
          </w:p>
        </w:tc>
        <w:tc>
          <w:tcPr>
            <w:tcW w:type="dxa" w:w="204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15,3%</w:t>
            </w:r>
          </w:p>
        </w:tc>
      </w:tr>
      <w:tr>
        <w:trPr>
          <w:cantSplit/>
          <w:tblHeader w:val="false"/>
        </w:trPr>
        <w:tc>
          <w:tcPr>
            <w:tcW w:type="dxa" w:w="4974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Resultado operacional (EBITDA)</w:t>
            </w:r>
          </w:p>
        </w:tc>
        <w:tc>
          <w:tcPr>
            <w:tcW w:type="dxa" w:w="2048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1.950,40</w:t>
            </w:r>
          </w:p>
        </w:tc>
        <w:tc>
          <w:tcPr>
            <w:tcW w:type="dxa" w:w="2049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2,7%</w:t>
            </w:r>
          </w:p>
        </w:tc>
      </w:tr>
    </w:tbl>
    <w:p>
      <w:pPr>
        <w:keepNext w:val="false"/>
        <w:spacing w:after="240" w:before="0" w:line="240"/>
        <w:jc w:val="center"/>
      </w:pPr>
      <w:r>
        <w:rPr>
          <w:rFonts w:ascii="Arial" w:cs="Arial" w:eastAsia="Arial" w:hAnsi="Arial"/>
          <w:sz w:val="20"/>
          <w:szCs w:val="20"/>
        </w:rPr>
        <w:t xml:space="preserve">Fonte: elaboração própria (abas receitas e custos do modelo).</w:t>
      </w:r>
    </w:p>
    <w:p>
      <w:pPr>
        <w:spacing w:after="284" w:line="360"/>
        <w:ind w:firstLine="567"/>
        <w:jc w:val="both"/>
      </w:pPr>
      <w:r>
        <w:rPr>
          <w:rFonts w:ascii="Arial" w:cs="Arial" w:eastAsia="Arial" w:hAnsi="Arial"/>
          <w:sz w:val="24"/>
          <w:szCs w:val="24"/>
        </w:rPr>
        <w:t xml:space="preserve">O pessoal é o maior custo. O quadro de referência tem 12 pessoas em dois turnos — gerente, dois cozinheiros, auxiliar de cozinha, três garçons, atendente de bar, caixa, dois instrutores de jogos e auxiliar de limpeza —, com folha de R$ 20,6 mil e encargos de 37%. A São Jogue teve de três a sete instrutores no salão durante as visitas.</w:t>
      </w:r>
    </w:p>
    <w:p>
      <w:pPr>
        <w:spacing w:after="284" w:line="360"/>
        <w:ind w:firstLine="567"/>
        <w:jc w:val="both"/>
      </w:pPr>
      <w:r>
        <w:rPr>
          <w:rFonts w:ascii="Arial" w:cs="Arial" w:eastAsia="Arial" w:hAnsi="Arial"/>
          <w:sz w:val="24"/>
          <w:szCs w:val="24"/>
        </w:rPr>
        <w:t xml:space="preserve">O Simples Nacional custa 10,1% da receita. O modelo enquadra o A&amp;B no anexo I (restaurante, CNAE 5611-2/01) e a taxa de entrada e o aluguel de jogos no anexo III, com alíquotas efetivas de 8,1% e 11,9% no ano maduro. O enquadramento depende do cap. 8.</w:t>
      </w:r>
    </w:p>
    <w:p>
      <w:pPr>
        <w:pStyle w:val="Heading1"/>
        <w:keepNext/>
        <w:spacing w:after="240" w:before="360" w:line="3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9.5 DEMONSTRATIVOS PROJETADOS</w:t>
      </w:r>
    </w:p>
    <w:p>
      <w:pPr>
        <w:spacing w:after="284" w:line="360"/>
        <w:ind w:firstLine="567"/>
        <w:jc w:val="both"/>
      </w:pPr>
      <w:r>
        <w:rPr>
          <w:rFonts w:ascii="Arial" w:cs="Arial" w:eastAsia="Arial" w:hAnsi="Arial"/>
          <w:sz w:val="24"/>
          <w:szCs w:val="24"/>
        </w:rPr>
        <w:t xml:space="preserve">O cenário provável dá prejuízo contábil em todos os anos. O EBITDA é de R$ 23 mil por ano a partir do ano 2, menor que a depreciação de R$ 64 mil (Tabela 9.3). No Simples, o IRPJ e a CSLL estão no DAS; não há imposto sobre o lucro à parte.</w:t>
      </w:r>
    </w:p>
    <w:p>
      <w:pPr>
        <w:keepNext/>
        <w:spacing w:after="0" w:before="240" w:line="240"/>
        <w:jc w:val="center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Tabela 9.3 – Demonstração do resultado projetada, cenário provável (R$)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74"/>
        <w:gridCol w:w="2048"/>
        <w:gridCol w:w="2049"/>
      </w:tblGrid>
      <w:tr>
        <w:trPr>
          <w:cantSplit/>
          <w:tblHeader/>
        </w:trPr>
        <w:tc>
          <w:tcPr>
            <w:tcW w:type="dxa" w:w="4974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Conta</w:t>
            </w:r>
          </w:p>
        </w:tc>
        <w:tc>
          <w:tcPr>
            <w:tcW w:type="dxa" w:w="2048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Ano 1</w:t>
            </w:r>
          </w:p>
        </w:tc>
        <w:tc>
          <w:tcPr>
            <w:tcW w:type="dxa" w:w="2049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Anos 2 a 5 (cada)</w:t>
            </w:r>
          </w:p>
        </w:tc>
      </w:tr>
      <w:tr>
        <w:trPr>
          <w:cantSplit/>
          <w:tblHeader w:val="false"/>
        </w:trPr>
        <w:tc>
          <w:tcPr>
            <w:tcW w:type="dxa" w:w="497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Receita bruta</w:t>
            </w:r>
          </w:p>
        </w:tc>
        <w:tc>
          <w:tcPr>
            <w:tcW w:type="dxa" w:w="20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679.838,00</w:t>
            </w:r>
          </w:p>
        </w:tc>
        <w:tc>
          <w:tcPr>
            <w:tcW w:type="dxa" w:w="204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877.210,00</w:t>
            </w:r>
          </w:p>
        </w:tc>
      </w:tr>
      <w:tr>
        <w:trPr>
          <w:cantSplit/>
          <w:tblHeader w:val="false"/>
        </w:trPr>
        <w:tc>
          <w:tcPr>
            <w:tcW w:type="dxa" w:w="497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(-) Simples Nacional</w:t>
            </w:r>
          </w:p>
        </w:tc>
        <w:tc>
          <w:tcPr>
            <w:tcW w:type="dxa" w:w="20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-62.916,00</w:t>
            </w:r>
          </w:p>
        </w:tc>
        <w:tc>
          <w:tcPr>
            <w:tcW w:type="dxa" w:w="204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-88.729,00</w:t>
            </w:r>
          </w:p>
        </w:tc>
      </w:tr>
      <w:tr>
        <w:trPr>
          <w:cantSplit/>
          <w:tblHeader w:val="false"/>
        </w:trPr>
        <w:tc>
          <w:tcPr>
            <w:tcW w:type="dxa" w:w="497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(-) CMV e taxa de cartão</w:t>
            </w:r>
          </w:p>
        </w:tc>
        <w:tc>
          <w:tcPr>
            <w:tcW w:type="dxa" w:w="20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-118.144,00</w:t>
            </w:r>
          </w:p>
        </w:tc>
        <w:tc>
          <w:tcPr>
            <w:tcW w:type="dxa" w:w="204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-152.444,00</w:t>
            </w:r>
          </w:p>
        </w:tc>
      </w:tr>
      <w:tr>
        <w:trPr>
          <w:cantSplit/>
          <w:tblHeader w:val="false"/>
        </w:trPr>
        <w:tc>
          <w:tcPr>
            <w:tcW w:type="dxa" w:w="497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Margem de contribuição</w:t>
            </w:r>
          </w:p>
        </w:tc>
        <w:tc>
          <w:tcPr>
            <w:tcW w:type="dxa" w:w="20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498.777,00</w:t>
            </w:r>
          </w:p>
        </w:tc>
        <w:tc>
          <w:tcPr>
            <w:tcW w:type="dxa" w:w="204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636.037,00</w:t>
            </w:r>
          </w:p>
        </w:tc>
      </w:tr>
      <w:tr>
        <w:trPr>
          <w:cantSplit/>
          <w:tblHeader w:val="false"/>
        </w:trPr>
        <w:tc>
          <w:tcPr>
            <w:tcW w:type="dxa" w:w="497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(-) Custos fixos</w:t>
            </w:r>
          </w:p>
        </w:tc>
        <w:tc>
          <w:tcPr>
            <w:tcW w:type="dxa" w:w="20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-612.632,00</w:t>
            </w:r>
          </w:p>
        </w:tc>
        <w:tc>
          <w:tcPr>
            <w:tcW w:type="dxa" w:w="204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-612.632,00</w:t>
            </w:r>
          </w:p>
        </w:tc>
      </w:tr>
      <w:tr>
        <w:trPr>
          <w:cantSplit/>
          <w:tblHeader w:val="false"/>
        </w:trPr>
        <w:tc>
          <w:tcPr>
            <w:tcW w:type="dxa" w:w="497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EBITDA</w:t>
            </w:r>
          </w:p>
        </w:tc>
        <w:tc>
          <w:tcPr>
            <w:tcW w:type="dxa" w:w="20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-113.855,00</w:t>
            </w:r>
          </w:p>
        </w:tc>
        <w:tc>
          <w:tcPr>
            <w:tcW w:type="dxa" w:w="204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23.405,00</w:t>
            </w:r>
          </w:p>
        </w:tc>
      </w:tr>
      <w:tr>
        <w:trPr>
          <w:cantSplit/>
          <w:tblHeader w:val="false"/>
        </w:trPr>
        <w:tc>
          <w:tcPr>
            <w:tcW w:type="dxa" w:w="497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(-) Depreciação e amortização</w:t>
            </w:r>
          </w:p>
        </w:tc>
        <w:tc>
          <w:tcPr>
            <w:tcW w:type="dxa" w:w="20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-63.877,00</w:t>
            </w:r>
          </w:p>
        </w:tc>
        <w:tc>
          <w:tcPr>
            <w:tcW w:type="dxa" w:w="204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-63.877,00</w:t>
            </w:r>
          </w:p>
        </w:tc>
      </w:tr>
      <w:tr>
        <w:trPr>
          <w:cantSplit/>
          <w:tblHeader w:val="false"/>
        </w:trPr>
        <w:tc>
          <w:tcPr>
            <w:tcW w:type="dxa" w:w="4974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Lucro líquido</w:t>
            </w:r>
          </w:p>
        </w:tc>
        <w:tc>
          <w:tcPr>
            <w:tcW w:type="dxa" w:w="2048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-177.732,00</w:t>
            </w:r>
          </w:p>
        </w:tc>
        <w:tc>
          <w:tcPr>
            <w:tcW w:type="dxa" w:w="2049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-40.472,00</w:t>
            </w:r>
          </w:p>
        </w:tc>
      </w:tr>
    </w:tbl>
    <w:p>
      <w:pPr>
        <w:keepNext w:val="false"/>
        <w:spacing w:after="240" w:before="0" w:line="240"/>
        <w:jc w:val="center"/>
      </w:pPr>
      <w:r>
        <w:rPr>
          <w:rFonts w:ascii="Arial" w:cs="Arial" w:eastAsia="Arial" w:hAnsi="Arial"/>
          <w:sz w:val="20"/>
          <w:szCs w:val="20"/>
        </w:rPr>
        <w:t xml:space="preserve">Fonte: elaboração própria (aba dre do modelo).</w:t>
      </w:r>
    </w:p>
    <w:p>
      <w:pPr>
        <w:spacing w:after="284" w:line="360"/>
        <w:ind w:firstLine="567"/>
        <w:jc w:val="both"/>
      </w:pPr>
      <w:r>
        <w:rPr>
          <w:rFonts w:ascii="Arial" w:cs="Arial" w:eastAsia="Arial" w:hAnsi="Arial"/>
          <w:sz w:val="24"/>
          <w:szCs w:val="24"/>
        </w:rPr>
        <w:t xml:space="preserve">O fluxo de caixa repete o EBITDA, com o investimento no ano 0 e o retorno da caução e do capital de giro no ano 5. Não se considerou valor residual dos demais ativos. O fluxo anual completo está na aba fluxo_caixa do modelo.</w:t>
      </w:r>
    </w:p>
    <w:p>
      <w:pPr>
        <w:pStyle w:val="Heading1"/>
        <w:keepNext/>
        <w:spacing w:after="240" w:before="360" w:line="3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9.6 INDICADORES DE VIABILIDADE</w:t>
      </w:r>
    </w:p>
    <w:p>
      <w:pPr>
        <w:spacing w:after="284" w:line="360"/>
        <w:ind w:firstLine="567"/>
        <w:jc w:val="both"/>
      </w:pPr>
      <w:r>
        <w:rPr>
          <w:rFonts w:ascii="Arial" w:cs="Arial" w:eastAsia="Arial" w:hAnsi="Arial"/>
          <w:sz w:val="24"/>
          <w:szCs w:val="24"/>
        </w:rPr>
        <w:t xml:space="preserve">O negócio não é viável no cenário provável. O VPL a 15% real é negativo em R$ 479 mil, a TIR real é de -21,0% ao ano e o investimento não se paga em 5 anos (Tabela 9.4). A receita madura fica só 3,8% acima do ponto de equilíbrio operacional, de R$ 70,4 mil por mês: o negócio cobre os custos, mas não remunera o investimento.</w:t>
      </w:r>
    </w:p>
    <w:p>
      <w:pPr>
        <w:keepNext/>
        <w:spacing w:after="0" w:before="240" w:line="240"/>
        <w:jc w:val="center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Tabela 9.4 – Indicadores de viabilidade por cenário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58"/>
        <w:gridCol w:w="1670"/>
        <w:gridCol w:w="1670"/>
        <w:gridCol w:w="1673"/>
      </w:tblGrid>
      <w:tr>
        <w:trPr>
          <w:cantSplit/>
          <w:tblHeader/>
        </w:trPr>
        <w:tc>
          <w:tcPr>
            <w:tcW w:type="dxa" w:w="4058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Indicador</w:t>
            </w:r>
          </w:p>
        </w:tc>
        <w:tc>
          <w:tcPr>
            <w:tcW w:type="dxa" w:w="1670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Pessimista</w:t>
            </w:r>
          </w:p>
        </w:tc>
        <w:tc>
          <w:tcPr>
            <w:tcW w:type="dxa" w:w="1670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Provável</w:t>
            </w:r>
          </w:p>
        </w:tc>
        <w:tc>
          <w:tcPr>
            <w:tcW w:type="dxa" w:w="1673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Otimista</w:t>
            </w:r>
          </w:p>
        </w:tc>
      </w:tr>
      <w:tr>
        <w:trPr>
          <w:cantSplit/>
          <w:tblHeader w:val="false"/>
        </w:trPr>
        <w:tc>
          <w:tcPr>
            <w:tcW w:type="dxa" w:w="40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Investimento inicial (R$)</w:t>
            </w:r>
          </w:p>
        </w:tc>
        <w:tc>
          <w:tcPr>
            <w:tcW w:type="dxa" w:w="167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849.496,78</w:t>
            </w:r>
          </w:p>
        </w:tc>
        <w:tc>
          <w:tcPr>
            <w:tcW w:type="dxa" w:w="167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503.230,63</w:t>
            </w:r>
          </w:p>
        </w:tc>
        <w:tc>
          <w:tcPr>
            <w:tcW w:type="dxa" w:w="16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288.832,17</w:t>
            </w:r>
          </w:p>
        </w:tc>
      </w:tr>
      <w:tr>
        <w:trPr>
          <w:cantSplit/>
          <w:tblHeader w:val="false"/>
        </w:trPr>
        <w:tc>
          <w:tcPr>
            <w:tcW w:type="dxa" w:w="40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Receita bruta mensal madura (R$)</w:t>
            </w:r>
          </w:p>
        </w:tc>
        <w:tc>
          <w:tcPr>
            <w:tcW w:type="dxa" w:w="167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19.407,00</w:t>
            </w:r>
          </w:p>
        </w:tc>
        <w:tc>
          <w:tcPr>
            <w:tcW w:type="dxa" w:w="167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73.101,00</w:t>
            </w:r>
          </w:p>
        </w:tc>
        <w:tc>
          <w:tcPr>
            <w:tcW w:type="dxa" w:w="16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207.261,00</w:t>
            </w:r>
          </w:p>
        </w:tc>
      </w:tr>
      <w:tr>
        <w:trPr>
          <w:cantSplit/>
          <w:tblHeader w:val="false"/>
        </w:trPr>
        <w:tc>
          <w:tcPr>
            <w:tcW w:type="dxa" w:w="40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EBITDA do ano 5 (R$)</w:t>
            </w:r>
          </w:p>
        </w:tc>
        <w:tc>
          <w:tcPr>
            <w:tcW w:type="dxa" w:w="167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-649.981,00</w:t>
            </w:r>
          </w:p>
        </w:tc>
        <w:tc>
          <w:tcPr>
            <w:tcW w:type="dxa" w:w="167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23.405,00</w:t>
            </w:r>
          </w:p>
        </w:tc>
        <w:tc>
          <w:tcPr>
            <w:tcW w:type="dxa" w:w="16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1.302.846,00</w:t>
            </w:r>
          </w:p>
        </w:tc>
      </w:tr>
      <w:tr>
        <w:trPr>
          <w:cantSplit/>
          <w:tblHeader w:val="false"/>
        </w:trPr>
        <w:tc>
          <w:tcPr>
            <w:tcW w:type="dxa" w:w="40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VPL (R$)</w:t>
            </w:r>
          </w:p>
        </w:tc>
        <w:tc>
          <w:tcPr>
            <w:tcW w:type="dxa" w:w="167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-2.824.036,00</w:t>
            </w:r>
          </w:p>
        </w:tc>
        <w:tc>
          <w:tcPr>
            <w:tcW w:type="dxa" w:w="167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-478.829,00</w:t>
            </w:r>
          </w:p>
        </w:tc>
        <w:tc>
          <w:tcPr>
            <w:tcW w:type="dxa" w:w="16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4.263.293,00</w:t>
            </w:r>
          </w:p>
        </w:tc>
      </w:tr>
      <w:tr>
        <w:trPr>
          <w:cantSplit/>
          <w:tblHeader w:val="false"/>
        </w:trPr>
        <w:tc>
          <w:tcPr>
            <w:tcW w:type="dxa" w:w="40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TIR real</w:t>
            </w:r>
          </w:p>
        </w:tc>
        <w:tc>
          <w:tcPr>
            <w:tcW w:type="dxa" w:w="167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não há</w:t>
            </w:r>
          </w:p>
        </w:tc>
        <w:tc>
          <w:tcPr>
            <w:tcW w:type="dxa" w:w="167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-21,0%</w:t>
            </w:r>
          </w:p>
        </w:tc>
        <w:tc>
          <w:tcPr>
            <w:tcW w:type="dxa" w:w="16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394,0%</w:t>
            </w:r>
          </w:p>
        </w:tc>
      </w:tr>
      <w:tr>
        <w:trPr>
          <w:cantSplit/>
          <w:tblHeader w:val="false"/>
        </w:trPr>
        <w:tc>
          <w:tcPr>
            <w:tcW w:type="dxa" w:w="4058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Payback descontado</w:t>
            </w:r>
          </w:p>
        </w:tc>
        <w:tc>
          <w:tcPr>
            <w:tcW w:type="dxa" w:w="1670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mais de 5 anos</w:t>
            </w:r>
          </w:p>
        </w:tc>
        <w:tc>
          <w:tcPr>
            <w:tcW w:type="dxa" w:w="1670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mais de 5 anos</w:t>
            </w:r>
          </w:p>
        </w:tc>
        <w:tc>
          <w:tcPr>
            <w:tcW w:type="dxa" w:w="1673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0,3 ano</w:t>
            </w:r>
          </w:p>
        </w:tc>
      </w:tr>
    </w:tbl>
    <w:p>
      <w:pPr>
        <w:keepNext w:val="false"/>
        <w:spacing w:after="240" w:before="0" w:line="240"/>
        <w:jc w:val="center"/>
      </w:pPr>
      <w:r>
        <w:rPr>
          <w:rFonts w:ascii="Arial" w:cs="Arial" w:eastAsia="Arial" w:hAnsi="Arial"/>
          <w:sz w:val="20"/>
          <w:szCs w:val="20"/>
        </w:rPr>
        <w:t xml:space="preserve">Fonte: elaboração própria (aba sensibilidade do modelo).</w:t>
      </w:r>
    </w:p>
    <w:p>
      <w:pPr>
        <w:spacing w:after="284" w:line="360"/>
        <w:ind w:firstLine="567"/>
        <w:jc w:val="both"/>
      </w:pPr>
      <w:r>
        <w:rPr>
          <w:rFonts w:ascii="Arial" w:cs="Arial" w:eastAsia="Arial" w:hAnsi="Arial"/>
          <w:sz w:val="24"/>
          <w:szCs w:val="24"/>
        </w:rPr>
        <w:t xml:space="preserve">Os cenários extremos põem todas as premissas no mesmo lado da faixa ao mesmo tempo, o que é improvável. Servem de limite, não de previsão. A decisão depende de onde as premissas críticas ficam, e isso é tratado na seção 9.7.</w:t>
      </w:r>
    </w:p>
    <w:p>
      <w:pPr>
        <w:spacing w:after="284" w:line="360"/>
        <w:ind w:firstLine="567"/>
        <w:jc w:val="both"/>
      </w:pPr>
      <w:r>
        <w:rPr>
          <w:rFonts w:ascii="Arial" w:cs="Arial" w:eastAsia="Arial" w:hAnsi="Arial"/>
          <w:sz w:val="24"/>
          <w:szCs w:val="24"/>
        </w:rPr>
        <w:t xml:space="preserve">A TMA de 15% real responde pelo custo de oportunidade do capital próprio. Mesmo à TMA otimista de 12%, o VPL provável segue negativo em R$ 467 mil (aba sensibilidade).</w:t>
      </w:r>
    </w:p>
    <w:p>
      <w:pPr>
        <w:pStyle w:val="Heading1"/>
        <w:keepNext/>
        <w:spacing w:after="240" w:before="360" w:line="3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9.7 TRIANGULAÇÃO, SENSIBILIDADE E PONTO DE RUPTURA</w:t>
      </w:r>
    </w:p>
    <w:p>
      <w:pPr>
        <w:pStyle w:val="Heading2"/>
        <w:keepNext/>
        <w:spacing w:after="120" w:before="24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9.7.1 Triangulação da receita</w:t>
      </w:r>
    </w:p>
    <w:p>
      <w:pPr>
        <w:spacing w:after="284" w:line="360"/>
        <w:ind w:firstLine="567"/>
        <w:jc w:val="both"/>
      </w:pPr>
      <w:r>
        <w:rPr>
          <w:rFonts w:ascii="Arial" w:cs="Arial" w:eastAsia="Arial" w:hAnsi="Arial"/>
          <w:sz w:val="24"/>
          <w:szCs w:val="24"/>
        </w:rPr>
        <w:t xml:space="preserve">A receita provável fica entre os pisos de venda das duas unidades da São Jogue. A Bela Vista emitiu 183 NFC-e entre 10/10 e 16/10/2026 (30,5 por dia) e a Paralela, 209 entre 17/10 e 30/10/2026 (16,1 por dia), pela numeração das notas das visitas (B3). A R$ 90,85 por nota — média das quatro notas das mesas dos observadores —, os pisos são de R$ 84,3 mil e R$ 44,5 mil por mês. O modelo projeta R$ 73,1 mil.</w:t>
      </w:r>
    </w:p>
    <w:p>
      <w:pPr>
        <w:spacing w:after="284" w:line="360"/>
        <w:ind w:firstLine="567"/>
        <w:jc w:val="both"/>
      </w:pPr>
      <w:r>
        <w:rPr>
          <w:rFonts w:ascii="Arial" w:cs="Arial" w:eastAsia="Arial" w:hAnsi="Arial"/>
          <w:sz w:val="24"/>
          <w:szCs w:val="24"/>
        </w:rPr>
        <w:t xml:space="preserve">Esses pisos subestimam a venda real. As duas unidades emitem a nota só quando o cliente pede; no restante, entregam o comprovante da maquininha. O intervalo da Paralela inclui ainda o fim de semana do segundo turno das eleições, de movimento baixo. A comparação valida a ordem de grandeza, não o valor: uma unidade madura da São Jogue vende mais que o provável do modelo. A estimativa de demanda do cap. 6 completa a triangulação </w:t>
      </w:r>
      <w:r>
        <w:rPr>
          <w:rFonts w:ascii="Arial" w:cs="Arial" w:eastAsia="Arial" w:hAnsi="Arial"/>
          <w:sz w:val="24"/>
          <w:szCs w:val="24"/>
        </w:rPr>
        <w:t xml:space="preserve">[pendente]</w:t>
      </w:r>
      <w:r>
        <w:rPr>
          <w:rFonts w:ascii="Arial" w:cs="Arial" w:eastAsia="Arial" w:hAnsi="Arial"/>
          <w:sz w:val="24"/>
          <w:szCs w:val="24"/>
        </w:rPr>
        <w:t xml:space="preserve">.</w:t>
      </w:r>
    </w:p>
    <w:p>
      <w:pPr>
        <w:pStyle w:val="Heading2"/>
        <w:keepNext/>
        <w:spacing w:after="120" w:before="24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9.7.2 Sensibilidade</w:t>
      </w:r>
    </w:p>
    <w:p>
      <w:pPr>
        <w:spacing w:after="284" w:line="360"/>
        <w:ind w:firstLine="567"/>
        <w:jc w:val="both"/>
      </w:pPr>
      <w:r>
        <w:rPr>
          <w:rFonts w:ascii="Arial" w:cs="Arial" w:eastAsia="Arial" w:hAnsi="Arial"/>
          <w:sz w:val="24"/>
          <w:szCs w:val="24"/>
        </w:rPr>
        <w:t xml:space="preserve">Quatro premissas de demanda concentram o risco: permanência média, pessoas por grupo e taxa de ocupação de fim de semana e de dia útil. Cada uma move o VPL em mais de R$ 600 mil entre os extremos da faixa (Figura 9.1). As três primeiras têm dado próprio (N5); a ocupação de dia útil é N6, o que viola a regra de robustez e exige destaque no cap. 10.</w:t>
      </w:r>
    </w:p>
    <w:p>
      <w:pPr>
        <w:keepNext/>
        <w:spacing w:after="0" w:before="240" w:line="240"/>
        <w:jc w:val="center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Figura 9.1 – Tornado: VPL com cada premissa no extremo da faixa e as demais no provável</w:t>
      </w:r>
    </w:p>
    <w:p>
      <w:pPr>
        <w:keepNext/>
        <w:spacing w:after="0"/>
        <w:jc w:val="center"/>
      </w:pPr>
      <w:r>
        <w:drawing>
          <wp:inline distT="0" distB="0" distL="0" distR="0">
            <wp:extent cx="5762625" cy="3838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83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false"/>
        <w:spacing w:after="240" w:before="0" w:line="240"/>
        <w:jc w:val="center"/>
      </w:pPr>
      <w:r>
        <w:rPr>
          <w:rFonts w:ascii="Arial" w:cs="Arial" w:eastAsia="Arial" w:hAnsi="Arial"/>
          <w:sz w:val="20"/>
          <w:szCs w:val="20"/>
        </w:rPr>
        <w:t xml:space="preserve">Fonte: elaboração própria (aba sensibilidade do modelo). Dez premissas de maior amplitude.</w:t>
      </w:r>
    </w:p>
    <w:p>
      <w:pPr>
        <w:spacing w:after="284" w:line="360"/>
        <w:ind w:firstLine="567"/>
        <w:jc w:val="both"/>
      </w:pPr>
      <w:r>
        <w:rPr>
          <w:rFonts w:ascii="Arial" w:cs="Arial" w:eastAsia="Arial" w:hAnsi="Arial"/>
          <w:sz w:val="24"/>
          <w:szCs w:val="24"/>
        </w:rPr>
        <w:t xml:space="preserve">A permanência pesa mais que a ocupação porque a taxa de entrada é cobrada por pessoa, não por hora. Com a mesma ocupação, uma permanência menor gira mais grupos pela mesma mesa e multiplica as taxas cobradas. Em contrapartida, a permanência curta tem limite: o turno vendido é de 3 horas, e a média observada já é de 109 minutos.</w:t>
      </w:r>
    </w:p>
    <w:p>
      <w:pPr>
        <w:pStyle w:val="Heading2"/>
        <w:keepNext/>
        <w:spacing w:after="120" w:before="24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9.7.3 Ponto de ruptura</w:t>
      </w:r>
    </w:p>
    <w:p>
      <w:pPr>
        <w:spacing w:after="284" w:line="360"/>
        <w:ind w:firstLine="567"/>
        <w:jc w:val="both"/>
      </w:pPr>
      <w:r>
        <w:rPr>
          <w:rFonts w:ascii="Arial" w:cs="Arial" w:eastAsia="Arial" w:hAnsi="Arial"/>
          <w:sz w:val="24"/>
          <w:szCs w:val="24"/>
        </w:rPr>
        <w:t xml:space="preserve">O negócio é viável enquanto a taxa de ocupação de fim de semana ficar acima de 49,5%, com as demais premissas no provável (Tabela 9.5). Esse valor está acima do provável (35%), mas abaixo do pico medido na Paralela em 30/10 (66,9%) e acima da média das quatro noites (46,1%). No dia útil, a ruptura é de 29,7%, acima do otimista da faixa.</w:t>
      </w:r>
    </w:p>
    <w:p>
      <w:pPr>
        <w:keepNext/>
        <w:spacing w:after="0" w:before="240" w:line="240"/>
        <w:jc w:val="center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Tabela 9.5 – Ponto de ruptura das premissas críticas (VPL = 0)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3"/>
        <w:gridCol w:w="3359"/>
        <w:gridCol w:w="1567"/>
        <w:gridCol w:w="1567"/>
        <w:gridCol w:w="1795"/>
      </w:tblGrid>
      <w:tr>
        <w:trPr>
          <w:cantSplit/>
          <w:tblHeader/>
        </w:trPr>
        <w:tc>
          <w:tcPr>
            <w:tcW w:type="dxa" w:w="783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3359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Premissa</w:t>
            </w:r>
          </w:p>
        </w:tc>
        <w:tc>
          <w:tcPr>
            <w:tcW w:type="dxa" w:w="1567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Provável</w:t>
            </w:r>
          </w:p>
        </w:tc>
        <w:tc>
          <w:tcPr>
            <w:tcW w:type="dxa" w:w="1567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Ruptura</w:t>
            </w:r>
          </w:p>
        </w:tc>
        <w:tc>
          <w:tcPr>
            <w:tcW w:type="dxa" w:w="1795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Faixa testada</w:t>
            </w:r>
          </w:p>
        </w:tc>
      </w:tr>
      <w:tr>
        <w:trPr>
          <w:cantSplit/>
          <w:tblHeader w:val="false"/>
        </w:trPr>
        <w:tc>
          <w:tcPr>
            <w:tcW w:type="dxa" w:w="78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R03</w:t>
            </w:r>
          </w:p>
        </w:tc>
        <w:tc>
          <w:tcPr>
            <w:tcW w:type="dxa" w:w="335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Permanência média (min)</w:t>
            </w:r>
          </w:p>
        </w:tc>
        <w:tc>
          <w:tcPr>
            <w:tcW w:type="dxa" w:w="156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109</w:t>
            </w:r>
          </w:p>
        </w:tc>
        <w:tc>
          <w:tcPr>
            <w:tcW w:type="dxa" w:w="156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87</w:t>
            </w:r>
          </w:p>
        </w:tc>
        <w:tc>
          <w:tcPr>
            <w:tcW w:type="dxa" w:w="179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83 a 137</w:t>
            </w:r>
          </w:p>
        </w:tc>
      </w:tr>
      <w:tr>
        <w:trPr>
          <w:cantSplit/>
          <w:tblHeader w:val="false"/>
        </w:trPr>
        <w:tc>
          <w:tcPr>
            <w:tcW w:type="dxa" w:w="78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R02</w:t>
            </w:r>
          </w:p>
        </w:tc>
        <w:tc>
          <w:tcPr>
            <w:tcW w:type="dxa" w:w="335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Pessoas por grupo de mesa</w:t>
            </w:r>
          </w:p>
        </w:tc>
        <w:tc>
          <w:tcPr>
            <w:tcW w:type="dxa" w:w="156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3,6</w:t>
            </w:r>
          </w:p>
        </w:tc>
        <w:tc>
          <w:tcPr>
            <w:tcW w:type="dxa" w:w="156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4,5</w:t>
            </w:r>
          </w:p>
        </w:tc>
        <w:tc>
          <w:tcPr>
            <w:tcW w:type="dxa" w:w="179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2,8 a 4,4</w:t>
            </w:r>
          </w:p>
        </w:tc>
      </w:tr>
      <w:tr>
        <w:trPr>
          <w:cantSplit/>
          <w:tblHeader w:val="false"/>
        </w:trPr>
        <w:tc>
          <w:tcPr>
            <w:tcW w:type="dxa" w:w="78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R04</w:t>
            </w:r>
          </w:p>
        </w:tc>
        <w:tc>
          <w:tcPr>
            <w:tcW w:type="dxa" w:w="335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Taxa de ocupação, fim de semana</w:t>
            </w:r>
          </w:p>
        </w:tc>
        <w:tc>
          <w:tcPr>
            <w:tcW w:type="dxa" w:w="156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35,0%</w:t>
            </w:r>
          </w:p>
        </w:tc>
        <w:tc>
          <w:tcPr>
            <w:tcW w:type="dxa" w:w="156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49,5%</w:t>
            </w:r>
          </w:p>
        </w:tc>
        <w:tc>
          <w:tcPr>
            <w:tcW w:type="dxa" w:w="179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25% a 45%</w:t>
            </w:r>
          </w:p>
        </w:tc>
      </w:tr>
      <w:tr>
        <w:trPr>
          <w:cantSplit/>
          <w:tblHeader w:val="false"/>
        </w:trPr>
        <w:tc>
          <w:tcPr>
            <w:tcW w:type="dxa" w:w="78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R05</w:t>
            </w:r>
          </w:p>
        </w:tc>
        <w:tc>
          <w:tcPr>
            <w:tcW w:type="dxa" w:w="335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Taxa de ocupação, dia útil</w:t>
            </w:r>
          </w:p>
        </w:tc>
        <w:tc>
          <w:tcPr>
            <w:tcW w:type="dxa" w:w="156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18,0%</w:t>
            </w:r>
          </w:p>
        </w:tc>
        <w:tc>
          <w:tcPr>
            <w:tcW w:type="dxa" w:w="156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29,7%</w:t>
            </w:r>
          </w:p>
        </w:tc>
        <w:tc>
          <w:tcPr>
            <w:tcW w:type="dxa" w:w="179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10% a 25%</w:t>
            </w:r>
          </w:p>
        </w:tc>
      </w:tr>
      <w:tr>
        <w:trPr>
          <w:cantSplit/>
          <w:tblHeader w:val="false"/>
        </w:trPr>
        <w:tc>
          <w:tcPr>
            <w:tcW w:type="dxa" w:w="783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R01</w:t>
            </w:r>
          </w:p>
        </w:tc>
        <w:tc>
          <w:tcPr>
            <w:tcW w:type="dxa" w:w="3359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Mesas do salão</w:t>
            </w:r>
          </w:p>
        </w:tc>
        <w:tc>
          <w:tcPr>
            <w:tcW w:type="dxa" w:w="1567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1567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12,5</w:t>
            </w:r>
          </w:p>
        </w:tc>
        <w:tc>
          <w:tcPr>
            <w:tcW w:type="dxa" w:w="1795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 a 11</w:t>
            </w:r>
          </w:p>
        </w:tc>
      </w:tr>
    </w:tbl>
    <w:p>
      <w:pPr>
        <w:keepNext w:val="false"/>
        <w:spacing w:after="240" w:before="0" w:line="240"/>
        <w:jc w:val="center"/>
      </w:pPr>
      <w:r>
        <w:rPr>
          <w:rFonts w:ascii="Arial" w:cs="Arial" w:eastAsia="Arial" w:hAnsi="Arial"/>
          <w:sz w:val="20"/>
          <w:szCs w:val="20"/>
        </w:rPr>
        <w:t xml:space="preserve">Fonte: elaboração própria (aba sensibilidade do modelo).</w:t>
      </w:r>
    </w:p>
    <w:p>
      <w:pPr>
        <w:spacing w:after="284" w:line="360"/>
        <w:ind w:firstLine="567"/>
        <w:jc w:val="both"/>
      </w:pPr>
      <w:r>
        <w:rPr>
          <w:rFonts w:ascii="Arial" w:cs="Arial" w:eastAsia="Arial" w:hAnsi="Arial"/>
          <w:sz w:val="24"/>
          <w:szCs w:val="24"/>
        </w:rPr>
        <w:t xml:space="preserve">Só a permanência tem ruptura dentro da faixa testada, perto do extremo otimista; as demais ficam fora dela. O VPL fica positivo pela combinação de premissas: ocupação de 45% no fim de semana e de 23% no dia útil (VPL de R$ 55 mil), ou permanência de 95 minutos com ocupação de 42% no fim de semana (VPL de R$ 65 mil). A discussão passa a ser a plausibilidade dessas combinações, feita no cap. 10.</w:t>
      </w:r>
    </w:p>
    <w:p>
      <w:pPr>
        <w:pStyle w:val="Heading1"/>
        <w:keepNext/>
        <w:spacing w:after="240" w:before="360" w:line="3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9.8 CHECAGENS DE COERÊNCIA</w:t>
      </w:r>
    </w:p>
    <w:p>
      <w:pPr>
        <w:spacing w:after="284" w:line="360"/>
        <w:ind w:firstLine="567"/>
        <w:jc w:val="both"/>
      </w:pPr>
      <w:r>
        <w:rPr>
          <w:rFonts w:ascii="Arial" w:cs="Arial" w:eastAsia="Arial" w:hAnsi="Arial"/>
          <w:sz w:val="24"/>
          <w:szCs w:val="24"/>
        </w:rPr>
        <w:t xml:space="preserve">A capacidade comporta a demanda projetada com folga. As 48 pessoas por dia usam 25% da capacidade do salão — 193 pessoas por dia, com todas as mesas ocupadas em todas as horas abertas e a permanência média. O site de reservas da São Jogue oferece 48 assentos por turno de 3 horas, em três turnos diários.</w:t>
      </w:r>
    </w:p>
    <w:p>
      <w:pPr>
        <w:spacing w:after="284" w:line="360"/>
        <w:ind w:firstLine="567"/>
        <w:jc w:val="both"/>
      </w:pPr>
      <w:r>
        <w:rPr>
          <w:rFonts w:ascii="Arial" w:cs="Arial" w:eastAsia="Arial" w:hAnsi="Arial"/>
          <w:sz w:val="24"/>
          <w:szCs w:val="24"/>
        </w:rPr>
        <w:t xml:space="preserve">A equipe é larga para o fluxo provável. Cada funcionário atende 4 pessoas por dia. A folha com encargos custa 38,6% da receita, contra 25,1% de gastos com pessoal na média dos serviços de alimentação (IBGE, PAS 2024, citada no cap. 5). O aluguel com condomínio custa 16,0% da receita, contra 4,0% no setor. Os dois custos fixos explicam a margem baixa e indicam onde o cap. 7 pode cortar: quadro menor no dia útil ou ponto menor.</w:t>
      </w:r>
    </w:p>
    <w:p>
      <w:pPr>
        <w:spacing w:after="284" w:line="360"/>
        <w:ind w:firstLine="567"/>
        <w:jc w:val="both"/>
      </w:pPr>
      <w:r>
        <w:rPr>
          <w:rFonts w:ascii="Arial" w:cs="Arial" w:eastAsia="Arial" w:hAnsi="Arial"/>
          <w:sz w:val="24"/>
          <w:szCs w:val="24"/>
        </w:rPr>
        <w:t xml:space="preserve">O preço está acima dos concorrentes. A taxa de entrada de fim de semana, de R$ 28,00, supera a mediana de R$ 20,00 do couvert ou taxa de entrada de 22 concorrentes do B1 e a de R$ 25,00 no fim de semana (seção 6.3). A São Jogue pratica esse preço com 4,8 estrelas em 787 avaliações no Google Maps (B1), o que sustenta o posicionamento, mas o plano depende de reproduzir a mesma experiência.</w:t>
      </w:r>
    </w:p>
    <w:p>
      <w:pPr>
        <w:spacing w:after="284" w:line="360"/>
        <w:ind w:firstLine="567"/>
        <w:jc w:val="both"/>
      </w:pPr>
      <w:r>
        <w:rPr>
          <w:rFonts w:ascii="Arial" w:cs="Arial" w:eastAsia="Arial" w:hAnsi="Arial"/>
          <w:sz w:val="24"/>
          <w:szCs w:val="24"/>
        </w:rPr>
        <w:t xml:space="preserve">A rampa de 9 meses fica dentro da faixa de 6 a 12 meses, sem ocupação madura no mês 1. A demanda projetada equivale a 17,5 mil visitas por ano, ou 0,7% da população estimada de Salvador em 2026 (IBGE). O número soma visitas, não pessoas distintas, e fica abaixo da penetração que exigiria um mercado novo.</w:t>
      </w:r>
    </w:p>
    <w:sectPr>
      <w:footerReference w:type="default" r:id="rId7"/>
      <w:pgSz w:w="11906" w:h="16838" w:orient="portrait"/>
      <w:pgMar w:top="1701" w:right="1134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09" w:hanging="284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09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rPr>
      <w:rFonts w:ascii="Arial" w:cs="Arial" w:eastAsia="Arial" w:hAnsi="Arial"/>
      <w:b/>
      <w:bCs/>
      <w:color w:val="000000"/>
      <w:sz w:val="24"/>
      <w:szCs w:val="24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Arial" w:cs="Arial" w:eastAsia="Arial" w:hAnsi="Arial"/>
      <w:b w:val="false"/>
      <w:bCs w:val="false"/>
      <w:color w:val="000000"/>
      <w:sz w:val="24"/>
      <w:szCs w:val="24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Arial" w:cs="Arial" w:eastAsia="Arial" w:hAnsi="Arial"/>
      <w:b/>
      <w:bCs/>
      <w:color w:val="00000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e6d407dc23bc13ce35fdf7cd2799a7486990e985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2026-10-31T16:06:11.278Z</dcterms:created>
  <dcterms:modified xsi:type="dcterms:W3CDTF">2026-10-31T16:06:11.278Z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