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8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 ANÁLISE ESTRATÉGICA E DE RISCOS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10.1 MATRIZ SWOT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luderia entra num mercado com uma referência forte e um custo fixo alto. O Quadro 10.1 resume os pontos internos e externos que sustentam essa leitura.</w:t>
      </w:r>
    </w:p>
    <w:p>
      <w:pPr>
        <w:keepNext/>
        <w:spacing w:after="0" w:before="240" w:lin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10.1 – Matriz SWOT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7"/>
        <w:gridCol w:w="2451"/>
        <w:gridCol w:w="2453"/>
      </w:tblGrid>
      <w:tr>
        <w:trPr>
          <w:cantSplit/>
          <w:tblHeader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Pontos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Evidência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Forças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Preço da referência aceito pelo público: taxa de R$ 28,00 no fim de semana com 4,8 estrelas em 787 avaliações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São Jogue (B1; seção 6.3)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Ponto na Pituba, 1º da matriz de bairros em todos os pesos testados, a até 1.000 m do metrô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Seção 6.4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Instrutor dedicado ao salão em todas as horas abertas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Seções 7.3 e 7.5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Fraquezas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Folha com encargos de 38,6% da receita e aluguel de 16,0%, contra 25,1% e 4,0% no setor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Seção 9.8; IBGE, PAS 2024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Investimento sem cotação: reforma, mobiliário e cozinha em N6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Seção 9.2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Marca nova contra uma rede com duas unidades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Seção 5.3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Oportunidades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Salvador com uma só luderia no recorte do B1, a São Jogue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Seção 5.3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Nenhuma unidade da São Jogue entre os bairros mais bem colocados da matriz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Seção 6.4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Ameaças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Selic de 14,0% e TMA real de 15%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BCB, set/2026; seção 9.2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Aluguel comercial de Salvador com alta de 18,9% em 12 meses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FipeZap, jul/2026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Reação da São Jogue com uma terceira unidade ou preço menor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Seções 5.3 e 6.3</w:t>
            </w:r>
          </w:p>
        </w:tc>
      </w:tr>
    </w:tbl>
    <w:p>
      <w:pPr>
        <w:keepNext w:val="false"/>
        <w:spacing w:after="240" w:before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elaborado pelo próprio autor com base nos caps. 5 a 9.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cruzamento da matriz aponta uma estratégia. A luderia usa as forças de preço e ponto para ocupar um bairro sem luderia (FO) e corrige a fraqueza de custo fixo antes de investir (DO): equipe dimensionada pelo fluxo e área no limite inferior da faixa. Contra a reação da concorrente, o diferencial é o serviço de mesa, não o preço (FA).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10.2 CENÁRIOS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plano não é viável no cenário provável com o quadro de 12 pessoas: o VPL é negativo em R$ 479 mil (seção 9.6). Com a equipe de 8 pessoas do cap. 7, o VPL provável sobe para -R$ 214 mil e o ponto de equilíbrio operacional cai de R$ 70,4 mil para R$ 61,5 mil por mês, contra receita madura de R$ 73,1 mil (Quadro 10.2).</w:t>
      </w:r>
    </w:p>
    <w:p>
      <w:pPr>
        <w:keepNext/>
        <w:spacing w:after="0" w:before="240" w:lin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10.2 – Indicadores por cenário (R$)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6"/>
        <w:gridCol w:w="1411"/>
        <w:gridCol w:w="1411"/>
        <w:gridCol w:w="1411"/>
        <w:gridCol w:w="1412"/>
      </w:tblGrid>
      <w:tr>
        <w:trPr>
          <w:cantSplit/>
          <w:tblHeader/>
        </w:trPr>
        <w:tc>
          <w:tcPr>
            <w:tcW w:type="dxa" w:w="342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Indicador</w:t>
            </w:r>
          </w:p>
        </w:tc>
        <w:tc>
          <w:tcPr>
            <w:tcW w:type="dxa" w:w="141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Pessimista</w:t>
            </w:r>
          </w:p>
        </w:tc>
        <w:tc>
          <w:tcPr>
            <w:tcW w:type="dxa" w:w="141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Provável</w:t>
            </w:r>
          </w:p>
        </w:tc>
        <w:tc>
          <w:tcPr>
            <w:tcW w:type="dxa" w:w="141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Provável, equipe do cap. 7</w:t>
            </w:r>
          </w:p>
        </w:tc>
        <w:tc>
          <w:tcPr>
            <w:tcW w:type="dxa" w:w="1412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Otimista</w:t>
            </w:r>
          </w:p>
        </w:tc>
      </w:tr>
      <w:tr>
        <w:trPr>
          <w:cantSplit/>
          <w:tblHeader w:val="false"/>
        </w:trPr>
        <w:tc>
          <w:tcPr>
            <w:tcW w:type="dxa" w:w="3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Investimento inicial</w:t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849.497,00</w:t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503.231,00</w:t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490.374,00</w:t>
            </w:r>
          </w:p>
        </w:tc>
        <w:tc>
          <w:tcPr>
            <w:tcW w:type="dxa" w:w="1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288.832,00</w:t>
            </w:r>
          </w:p>
        </w:tc>
      </w:tr>
      <w:tr>
        <w:trPr>
          <w:cantSplit/>
          <w:tblHeader w:val="false"/>
        </w:trPr>
        <w:tc>
          <w:tcPr>
            <w:tcW w:type="dxa" w:w="3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VPL</w:t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-2.824.036,00</w:t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-478.829,00</w:t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-213.787,00</w:t>
            </w:r>
          </w:p>
        </w:tc>
        <w:tc>
          <w:tcPr>
            <w:tcW w:type="dxa" w:w="1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4.263.293,00</w:t>
            </w:r>
          </w:p>
        </w:tc>
      </w:tr>
      <w:tr>
        <w:trPr>
          <w:cantSplit/>
          <w:tblHeader w:val="false"/>
        </w:trPr>
        <w:tc>
          <w:tcPr>
            <w:tcW w:type="dxa" w:w="3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Receita mensal madura</w:t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19.407,00</w:t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73.101,00</w:t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73.101,00</w:t>
            </w:r>
          </w:p>
        </w:tc>
        <w:tc>
          <w:tcPr>
            <w:tcW w:type="dxa" w:w="1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207.261,00</w:t>
            </w:r>
          </w:p>
        </w:tc>
      </w:tr>
      <w:tr>
        <w:trPr>
          <w:cantSplit/>
          <w:tblHeader w:val="false"/>
        </w:trPr>
        <w:tc>
          <w:tcPr>
            <w:tcW w:type="dxa" w:w="342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Ponto de equilíbrio mensal</w:t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 atinge</w:t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70.411,00</w:t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61.545,00</w:t>
            </w:r>
          </w:p>
        </w:tc>
        <w:tc>
          <w:tcPr>
            <w:tcW w:type="dxa" w:w="1412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atinge</w:t>
            </w:r>
          </w:p>
        </w:tc>
      </w:tr>
    </w:tbl>
    <w:p>
      <w:pPr>
        <w:keepNext w:val="false"/>
        <w:spacing w:after="240" w:before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elaborado pelo próprio autor com base no modelo do cap. 9 (31/10/2026).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Os cenários extremos põem todas as premissas do mesmo lado da faixa e servem de limite, não de previsão. O pessimista descreve um salão de 8 mesas com grupos de 2,8 pessoas, permanência de 137 minutos e ocupação de 25% no fim de semana: uma luderia que não forma público. O otimista descreve grupos de 4,4 pessoas que ficam 83 minutos, com ocupação de 45%: o comportamento das noites mais cheias medidas, estendido à semana inteira.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10.3 PREMISSAS CRÍTICAS E PONTOS DE RUPTURA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Quatro premissas de demanda decidem a viabilidade: permanência, pessoas por grupo e ocupação de fim de semana e de dia útil (Figura 9.1). O Quadro 10.3 compara o provável com o ponto de ruptura de cada uma, com a equipe do cap. 7.</w:t>
      </w:r>
    </w:p>
    <w:p>
      <w:pPr>
        <w:keepNext/>
        <w:spacing w:after="0" w:before="240" w:lin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10.3 – Ruptura das premissas críticas com a equipe do cap. 7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18"/>
        <w:gridCol w:w="1548"/>
        <w:gridCol w:w="1548"/>
        <w:gridCol w:w="1548"/>
        <w:gridCol w:w="1109"/>
      </w:tblGrid>
      <w:tr>
        <w:trPr>
          <w:cantSplit/>
          <w:tblHeader/>
        </w:trPr>
        <w:tc>
          <w:tcPr>
            <w:tcW w:type="dxa" w:w="331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Premissa</w:t>
            </w:r>
          </w:p>
        </w:tc>
        <w:tc>
          <w:tcPr>
            <w:tcW w:type="dxa" w:w="154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Provável</w:t>
            </w:r>
          </w:p>
        </w:tc>
        <w:tc>
          <w:tcPr>
            <w:tcW w:type="dxa" w:w="154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Ruptura (VPL = 0)</w:t>
            </w:r>
          </w:p>
        </w:tc>
        <w:tc>
          <w:tcPr>
            <w:tcW w:type="dxa" w:w="154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Medido no B3</w:t>
            </w:r>
          </w:p>
        </w:tc>
        <w:tc>
          <w:tcPr>
            <w:tcW w:type="dxa" w:w="1109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Nível</w:t>
            </w:r>
          </w:p>
        </w:tc>
      </w:tr>
      <w:tr>
        <w:trPr>
          <w:cantSplit/>
          <w:tblHeader w:val="false"/>
        </w:trPr>
        <w:tc>
          <w:tcPr>
            <w:tcW w:type="dxa" w:w="33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Ocupação de fim de semana (R04)</w:t>
            </w:r>
          </w:p>
        </w:tc>
        <w:tc>
          <w:tcPr>
            <w:tcW w:type="dxa" w:w="15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35,0%</w:t>
            </w:r>
          </w:p>
        </w:tc>
        <w:tc>
          <w:tcPr>
            <w:tcW w:type="dxa" w:w="15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41,5%</w:t>
            </w:r>
          </w:p>
        </w:tc>
        <w:tc>
          <w:tcPr>
            <w:tcW w:type="dxa" w:w="15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29,9% a 66,9% nas noites; média de 46,1%</w:t>
            </w:r>
          </w:p>
        </w:tc>
        <w:tc>
          <w:tcPr>
            <w:tcW w:type="dxa" w:w="11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N5 + N6</w:t>
            </w:r>
          </w:p>
        </w:tc>
      </w:tr>
      <w:tr>
        <w:trPr>
          <w:cantSplit/>
          <w:tblHeader w:val="false"/>
        </w:trPr>
        <w:tc>
          <w:tcPr>
            <w:tcW w:type="dxa" w:w="33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Ocupação de dia útil (R05)</w:t>
            </w:r>
          </w:p>
        </w:tc>
        <w:tc>
          <w:tcPr>
            <w:tcW w:type="dxa" w:w="15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18,0%</w:t>
            </w:r>
          </w:p>
        </w:tc>
        <w:tc>
          <w:tcPr>
            <w:tcW w:type="dxa" w:w="15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23,2%</w:t>
            </w:r>
          </w:p>
        </w:tc>
        <w:tc>
          <w:tcPr>
            <w:tcW w:type="dxa" w:w="15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 medida</w:t>
            </w:r>
          </w:p>
        </w:tc>
        <w:tc>
          <w:tcPr>
            <w:tcW w:type="dxa" w:w="11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N6</w:t>
            </w:r>
          </w:p>
        </w:tc>
      </w:tr>
      <w:tr>
        <w:trPr>
          <w:cantSplit/>
          <w:tblHeader w:val="false"/>
        </w:trPr>
        <w:tc>
          <w:tcPr>
            <w:tcW w:type="dxa" w:w="33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Gasto com A&amp;B por pessoa (R08)</w:t>
            </w:r>
          </w:p>
        </w:tc>
        <w:tc>
          <w:tcPr>
            <w:tcW w:type="dxa" w:w="15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R$ 24,00</w:t>
            </w:r>
          </w:p>
        </w:tc>
        <w:tc>
          <w:tcPr>
            <w:tcW w:type="dxa" w:w="15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R$ 30,94</w:t>
            </w:r>
          </w:p>
        </w:tc>
        <w:tc>
          <w:tcPr>
            <w:tcW w:type="dxa" w:w="15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R$ 23,91 nas notas dos observadores</w:t>
            </w:r>
          </w:p>
        </w:tc>
        <w:tc>
          <w:tcPr>
            <w:tcW w:type="dxa" w:w="11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N3 + N5</w:t>
            </w:r>
          </w:p>
        </w:tc>
      </w:tr>
      <w:tr>
        <w:trPr>
          <w:cantSplit/>
          <w:tblHeader w:val="false"/>
        </w:trPr>
        <w:tc>
          <w:tcPr>
            <w:tcW w:type="dxa" w:w="331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Área do ponto (C03)</w:t>
            </w:r>
          </w:p>
        </w:tc>
        <w:tc>
          <w:tcPr>
            <w:tcW w:type="dxa" w:w="154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180 m²</w:t>
            </w:r>
          </w:p>
        </w:tc>
        <w:tc>
          <w:tcPr>
            <w:tcW w:type="dxa" w:w="154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123 m²</w:t>
            </w:r>
          </w:p>
        </w:tc>
        <w:tc>
          <w:tcPr>
            <w:tcW w:type="dxa" w:w="154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 se aplica</w:t>
            </w:r>
          </w:p>
        </w:tc>
        <w:tc>
          <w:tcPr>
            <w:tcW w:type="dxa" w:w="1109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N6</w:t>
            </w:r>
          </w:p>
        </w:tc>
      </w:tr>
    </w:tbl>
    <w:p>
      <w:pPr>
        <w:keepNext w:val="false"/>
        <w:spacing w:after="240" w:before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elaborado pelo próprio autor com base no modelo do cap. 9 e no Bloco B3 (2026).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ocupação de fim de semana tem a menor distância até a ruptura: 6,5 pontos percentuais. A média das noites medidas (46,1%) fica acima da ruptura, mas mede só o horário de pico; o dia inteiro de sábado e domingo fica abaixo. A ocupação de dia útil é a fraqueza de evidência do plano: é premissa crítica sustentada só por estimativa do autor (N6), o que viola a regra de robustez (</w:t>
      </w:r>
      <w:r>
        <w:rPr>
          <w:rFonts w:ascii="Arial" w:cs="Arial" w:eastAsia="Arial" w:hAnsi="Arial"/>
          <w:sz w:val="24"/>
          <w:szCs w:val="24"/>
        </w:rPr>
        <w:t xml:space="preserve">_instrucoes/8_financeiro.md</w:t>
      </w:r>
      <w:r>
        <w:rPr>
          <w:rFonts w:ascii="Arial" w:cs="Arial" w:eastAsia="Arial" w:hAnsi="Arial"/>
          <w:sz w:val="24"/>
          <w:szCs w:val="24"/>
        </w:rPr>
        <w:t xml:space="preserve">). Nenhuma visita foi feita em dia útil.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Combinações pequenas tornam o VPL positivo. Com a equipe do cap. 7, ocupação de 40% no fim de semana e de 20% no dia útil dá VPL de R$ 33 mil; gasto com A&amp;B de R$ 32,00, com as demais no provável, dá R$ 33 mil; área de 150 m² com gasto de R$ 28,00 dá R$ 23 mil. Com o quadro de 12 pessoas, nenhuma dessas combinações basta.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10.4 MATRIZ DE RISCOS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Os riscos de maior impacto são os de demanda e de custo fixo. O Quadro 10.4 classifica cada risco pela probabilidade e pelo impacto, com a evidência que sustenta a classificação.</w:t>
      </w:r>
    </w:p>
    <w:p>
      <w:pPr>
        <w:keepNext/>
        <w:spacing w:after="0" w:before="240" w:lin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10.4 – Matriz de riscos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5"/>
        <w:gridCol w:w="1591"/>
        <w:gridCol w:w="1591"/>
        <w:gridCol w:w="1591"/>
        <w:gridCol w:w="1593"/>
      </w:tblGrid>
      <w:tr>
        <w:trPr>
          <w:cantSplit/>
          <w:tblHeader/>
        </w:trPr>
        <w:tc>
          <w:tcPr>
            <w:tcW w:type="dxa" w:w="27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Risco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Probabilidade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Impacto</w:t>
            </w:r>
          </w:p>
        </w:tc>
        <w:tc>
          <w:tcPr>
            <w:tcW w:type="dxa" w:w="159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Evidência</w:t>
            </w:r>
          </w:p>
        </w:tc>
      </w:tr>
      <w:tr>
        <w:trPr>
          <w:cantSplit/>
          <w:tblHeader w:val="false"/>
        </w:trPr>
        <w:tc>
          <w:tcPr>
            <w:tcW w:type="dxa" w:w="27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Ocupação de dia útil abaixo de 18%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Mercado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159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N6; nenhuma visita em dia útil</w:t>
            </w:r>
          </w:p>
        </w:tc>
      </w:tr>
      <w:tr>
        <w:trPr>
          <w:cantSplit/>
          <w:tblHeader w:val="false"/>
        </w:trPr>
        <w:tc>
          <w:tcPr>
            <w:tcW w:type="dxa" w:w="27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Ocupação de fim de semana abaixo de 41,5%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Mercado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159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Noites de 29,9% a 66,9% (B3)</w:t>
            </w:r>
          </w:p>
        </w:tc>
      </w:tr>
      <w:tr>
        <w:trPr>
          <w:cantSplit/>
          <w:tblHeader w:val="false"/>
        </w:trPr>
        <w:tc>
          <w:tcPr>
            <w:tcW w:type="dxa" w:w="27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Aluguel acima de R$ 54,15 por m² na Pituba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Financeiro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Médio</w:t>
            </w:r>
          </w:p>
        </w:tc>
        <w:tc>
          <w:tcPr>
            <w:tcW w:type="dxa" w:w="159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FipeZap só para Salvador inteira; alta de 18,9% em 12 meses</w:t>
            </w:r>
          </w:p>
        </w:tc>
      </w:tr>
      <w:tr>
        <w:trPr>
          <w:cantSplit/>
          <w:tblHeader w:val="false"/>
        </w:trPr>
        <w:tc>
          <w:tcPr>
            <w:tcW w:type="dxa" w:w="27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Reforma e cozinha acima do provável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Financeiro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Médio</w:t>
            </w:r>
          </w:p>
        </w:tc>
        <w:tc>
          <w:tcPr>
            <w:tcW w:type="dxa" w:w="159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 cotação (N6)</w:t>
            </w:r>
          </w:p>
        </w:tc>
      </w:tr>
      <w:tr>
        <w:trPr>
          <w:cantSplit/>
          <w:tblHeader w:val="false"/>
        </w:trPr>
        <w:tc>
          <w:tcPr>
            <w:tcW w:type="dxa" w:w="27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Abertura de unidade da São Jogue perto do ponto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Mercado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159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Rede com duas unidades (B3)</w:t>
            </w:r>
          </w:p>
        </w:tc>
      </w:tr>
      <w:tr>
        <w:trPr>
          <w:cantSplit/>
          <w:tblHeader w:val="false"/>
        </w:trPr>
        <w:tc>
          <w:tcPr>
            <w:tcW w:type="dxa" w:w="27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Lotação dos bombeiros abaixo de 48 assentos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Legal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Baixa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Médio</w:t>
            </w:r>
          </w:p>
        </w:tc>
        <w:tc>
          <w:tcPr>
            <w:tcW w:type="dxa" w:w="159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Depende do projeto do imóvel (seção 7.2)</w:t>
            </w:r>
          </w:p>
        </w:tc>
      </w:tr>
      <w:tr>
        <w:trPr>
          <w:cantSplit/>
          <w:tblHeader w:val="false"/>
        </w:trPr>
        <w:tc>
          <w:tcPr>
            <w:tcW w:type="dxa" w:w="27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Perda e desgaste do acervo acima de 10% ao ano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Operacional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Baixo</w:t>
            </w:r>
          </w:p>
        </w:tc>
        <w:tc>
          <w:tcPr>
            <w:tcW w:type="dxa" w:w="159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N6 (C13)</w:t>
            </w:r>
          </w:p>
        </w:tc>
      </w:tr>
    </w:tbl>
    <w:p>
      <w:pPr>
        <w:keepNext w:val="false"/>
        <w:spacing w:after="240" w:before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elaborado pelo próprio autor com base nos caps. 5 a 9.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10.5 CONTINGÊNCIA E MONITORAMENTO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investimento depende de três validações. Primeiro, a ocupação de dia útil precisa de medida própria: uma visita de segunda a quinta à São Jogue, com o mesmo app, troca o N6 por N5. Na sequência, o ponto e a reforma precisam de cotação na Pituba, com área de 150 a 180 m². Por fim, um evento piloto com o acervo inicial mede o gasto com A&amp;B por pessoa fora das mesas dos observadores. O plano só segue se as três confirmarem a combinação da seção 10.3.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Depois da abertura, quatro indicadores semanais acompanham as premissas críticas. O limite de alerta de cada um sai do ponto de ruptura: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ocupação de fim de semana: alerta abaixo de 41,5% por quatro semanas seguidas;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ocupação de dia útil: alerta abaixo de 23%;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gasto com A&amp;B por pessoa, pelas notas: alerta abaixo de R$ 24,00;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permanência média, pela reserva: alerta acima de 120 minutos.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Cada alerta tem uma ação. Ocupação baixa no dia útil leva a reduzir o horário de segunda a quinta e a equipe do dia. Ocupação baixa no fim de semana leva a eventos e torneios nas noites de sexta. Gasto baixo com A&amp;B leva a rever o cardápio e a oferta do instrutor na mesa. A responsabilidade pelos indicadores é do gerente, com revisão mensal pelo sócio.</w:t>
      </w:r>
    </w:p>
    <w:sectPr>
      <w:foot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9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2026-10-31T14:25:11.525Z</dcterms:created>
  <dcterms:modified xsi:type="dcterms:W3CDTF">2026-10-31T14:25:11.525Z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