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METODOLOGIA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CARACTERIZAÇÃO DO TRABALHO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é um plano de negócios baseado em evidências. Cada decisão do plano liga-se a um dado, e cada dado a uma fonte e a um nível de confiança. A pesquisa é aplicada, descritivo-exploratória e quantitativa, com análise de conteúdo das avaliações, e o delineamento é transversal: os dados descrevem o mercado em outubro de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Luderia</w:t>
      </w:r>
      <w:r>
        <w:rPr>
          <w:rFonts w:ascii="Arial" w:cs="Arial" w:eastAsia="Arial" w:hAnsi="Arial"/>
          <w:sz w:val="24"/>
          <w:szCs w:val="24"/>
        </w:rPr>
        <w:t xml:space="preserve"> é o estabelecimento que combina alimentos e bebidas com acervo de jogos de mesa para uso no local, incluídos os formatos ludobar e quiz-bar.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Concorrente</w:t>
      </w:r>
      <w:r>
        <w:rPr>
          <w:rFonts w:ascii="Arial" w:cs="Arial" w:eastAsia="Arial" w:hAnsi="Arial"/>
          <w:sz w:val="24"/>
          <w:szCs w:val="24"/>
        </w:rPr>
        <w:t xml:space="preserve"> é a luderia aprovada na curadoria do Bloco B1.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Avaliação</w:t>
      </w:r>
      <w:r>
        <w:rPr>
          <w:rFonts w:ascii="Arial" w:cs="Arial" w:eastAsia="Arial" w:hAnsi="Arial"/>
          <w:sz w:val="24"/>
          <w:szCs w:val="24"/>
        </w:rPr>
        <w:t xml:space="preserve"> é a avaliação com texto publicada no Google Maps.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não usa questionários de opinião ou de intenção de compra: o entrevistado declara o que faria, não o que faz. As premissas vêm de bases públicas, de rastros digitais dos concorrentes e da contagem direta de ocupação.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HIERARQUIA DE EVIDÊNCIAS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premissa recebe um nível de evidência, de N1, o mais confiável, a N6 (Quadro 3.1). Premissa sustentada por mais de uma fonte registra todos os níveis, como "N3 + N5".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3.1 – Níveis de evidência das premissas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9"/>
      </w:tblGrid>
      <w:tr>
        <w:trPr>
          <w:cantSplit/>
          <w:tblHeader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evidência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no trabalho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Orçamento, cotação, contrato ou tabela oficial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público estruturado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Banco Central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de concorrentes medido pelo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Preços, horários e acervos do Bloco B1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setorial ou relatório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Margens típicas de bares e restaurantes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primária comportamental própria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direta de ocupação (Bloco B3)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em dia útil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Nenhuma premissa crítica, entre as 3 a 5 de maior impacto no VPL, fica só em N6. Quando não há alternativa, a premissa recebe faixa larga e destaque na análise de riscos (cap. 10). No mesmo nível, prevalece o dado mais próximo do consumo: compra, registro transacional, observação direta, rastro digital e, por último, opinião declarada.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FONTES E INSTRUMENTOS DE COLETA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organiza-se em quatro blocos (Quadro 3.2). Os Blocos B1 e B2 são censos da fonte, o B3 é a única coleta primária, e o B4 reúne bases públicas extraídas por inteiro.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3.2 – Blocos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26"/>
        <w:gridCol w:w="1950"/>
        <w:gridCol w:w="1952"/>
      </w:tblGrid>
      <w:tr>
        <w:trPr>
          <w:cantSplit/>
          <w:tblHeader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Recorte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no plano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— Concorrentes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API; Google Maps; site, Instagram, cardápio e acervo de cada concorrente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Luderias com mais de 100 avaliações nas 14 metrópoles da REGIC 2018 (IBGE): 54 concorrentes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Concorrência, preço, cardápio, ponto, acervo, ticket médio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— Avaliações recentes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de avaliações de cada concorrente no Google Maps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Avaliações com rótulo de data até "3 meses atrás", inclusive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Proposta de valor, reclamações, tamanho do grupo, jogos citados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 — Contagem direta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nas duas unidades da São Jogue, com leitura da NFC-e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visitas, sexta e sábado à noite, out/2026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permanência, tamanho do grupo, fluxo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 — Bases públicas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Simples Nacional, Banco Central, CONCLA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e demais capitais; 2017 a 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Público, aluguel, salários, tributos, taxa de desconto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Bloco B1 — Concorrentes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busca pela Google Places API levantou 164 candidatos com mais de 100 avaliações nas 14 metrópoles e em suas regiões metropolitanas, e a curadoria manual aprovou 54. Cada concorrente pertence a uma única metrópole, pelo endereço (Apêndice E). O corte de 100 avaliações delimita os concorrentes estabelecidos, que são a referência de preço e de fluxo.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 cada concorrente, são registrados a nota, o volume de avaliações, o horário, a política de cobrança, o cardápio, o acervo e o entorno. Os cardápios têm categorias fixas, e item com vários tamanhos ou combos entra nas medianas só pela linha de referência: cardápio mais recente, sem combo, no menor tamanho. O couvert que não aparece no cardápio é buscado no site, na imprensa e no Instagram da casa, com a data da publicação.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cesta de jogos reúne os títulos presentes em 15 ou mais dos 30 acervos publicados, com preço levantado em lojas online, e sustenta o custo do acervo inicial (cap. 9). O entorno conta as estações de transporte e os shoppings de porte (1.000 avaliações ou mais) a até 500 m e 1.000 m de cada concorrente.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Bloco B2 — Avaliações recentes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rótulo "3 meses atrás" cobre de 90 a 119 dias. O número de avaliações no recorte, dividido pela duração da janela, dá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velocidade de avaliações</w:t>
      </w:r>
      <w:r>
        <w:rPr>
          <w:rFonts w:ascii="Arial" w:cs="Arial" w:eastAsia="Arial" w:hAnsi="Arial"/>
          <w:sz w:val="24"/>
          <w:szCs w:val="24"/>
        </w:rPr>
        <w:t xml:space="preserve">, em avaliações com texto por mês. A coleta foi feita por script no navegador, em outubro de 2026, com o nome do autor trocado por um código. Avaliação com texto cortado é marcada, e o concorrente é coletado de novo. A base de codificação tem 1.628 avaliações.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Bloco B3 — Contagem direta de ocupação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a âncora absoluta do trabalho. Foram quatro visitas à São Jogue, única luderia de Salvador, sempre na noite de sexta ou sábado: Bela Vista em 10/10 e 16/10 e Paralela em 17/10 e 30/10/2026, com 10,9 horas observadas e 27 grupos de mesa, com 101 pessoas.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observador fica sentado a uma mesa como cliente, e essa mesa sai dos registros e do denominador. Um aplicativo para Android, desenvolvido para o trabalho, grava a entrada e a saída de cada grupo, o número de pessoas, os jogos e as chamadas ao instrutor (Apêndice G).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taxa de ocupação</w:t>
      </w:r>
      <w:r>
        <w:rPr>
          <w:rFonts w:ascii="Arial" w:cs="Arial" w:eastAsia="Arial" w:hAnsi="Arial"/>
          <w:sz w:val="24"/>
          <w:szCs w:val="24"/>
        </w:rPr>
        <w:t xml:space="preserve"> é a proporção média das mesas ocupadas, calculada minuto a minuto, sobre 10 mesas na Bela Vista e 9 na Paralela.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NFC-e de uma compra do autor no início e no fim de cada visita dá o número da nota. A diferença entre as visitas da mesma unidade dá as notas emitidas no intervalo: 183 na Bela Vista, em 6 dias, e 209 na Paralela, em 13 dias. Como as duas unidades só emitem a nota a pedido do cliente, as notas são um piso das vendas.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3.3.4 Bloco B4 — Bases públicas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bases públicas dão o público e a renda (Censo 2022, estimativas de população e PNAD Contínua), o aluguel (FipeZap), os salários (Novo CAGED), os tributos (Simples Nacional e CONCLA), as margens do setor (PAS), o gasto das famílias (POF 2017-2018) e a taxa de desconto (Banco Central), cada série com recorte e data de referência (Apêndice H).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TRATAMENTO DOS DADOS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Pipeline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passam por coleta, tratamento e análise, cada etapa com scripts próprios. Os brutos com nomes de pessoas ficam fora do repositório público, todo sorteio usa semente fixa, e qualquer número do texto pode ser gerado de novo a partir dos scripts.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Codificação das avaliações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codificadas por análise de conteúdo (BARDIN, 2011)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unidade de registro é o tema, trecho que expressa um juízo sobre um atributo do concorrente, e a enumeração é por presença. O dicionário tem 22 temas, os mesmos para elogio e crítica: jogos, equipe e serviço, comida e bebida, preço, ambiente e regras da casa. Ocasião da visita e público vão para uma coluna de contexto. A codificação foi feita com apoio de inteligência artificial, pelo dicionário, e é validada pela recodificação do autor (seção 3.4.3).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Validação da coleta e da codificação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estima o erro não amostral de cobertura, medida e processamento (GROVES et al., 2009)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com procedimento próprio para cada bloco (Quadro 3.3).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3.3 – Validação por bloco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2791"/>
        <w:gridCol w:w="3071"/>
      </w:tblGrid>
      <w:tr>
        <w:trPr>
          <w:cantSplit/>
          <w:tblHeader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 validar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Fidelidade do script à página; completude; cobertura do Google Maps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 de auditoria; contagem na página; buscas independentes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Omissão de registro; erro de contagem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do saldo; comparação entre porta, mesas e notas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Código, filtro, unidade, deflação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Reconciliação com a tabela publicada; soma das linhas igual ao total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Nos Blocos B1 e B2, uma amostra de auditoria sorteada com semente fixa é conferida na página: 20% dos concorrentes e 200 unidades de cada variável. A taxa de erro sai com intervalo de confiança de 95% pelo método de Wilson (1927)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e a variável é aceita quando o limite superior fica em 5% ou menos. A completude das avaliações é conferida em todos os concorrentes, porque as falhas se concentram em certas páginas.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codificação é validada por recodificação cega de 139 avaliações sorteadas com estratificação. A concordância é medida pelo kappa de Cohen (COHEN, 1960)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por tema, com aceitação a partir de 0,70; tema abaixo do critério é reportado como exploratório e não sustenta premissa sozinho. No Bloco B3, a contagem inicial mais as entradas e menos as saídas é comparada às contagens periódicas de mesas.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TÉCNICAS DE ANÁLISE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marketing, a análise de penalidade e recompensa compara a nota média com e sem crítica a cada tema, com peso igual por concorrente, e separa os atributos obrigatórios dos que diferenciam. No operacional, as reclamações são ordenadas pela frequência, e o tamanho dos grupos e a permanência dimensionam as mesas.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financeiro, a taxa de ocupação de fim de semana vem da contagem direta. O ticket médio vem do consumo por pessoa no cardápio, uma bebida e uma entrada ou prato, calibrado pelos preços da São Jogue.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giro</w:t>
      </w:r>
      <w:r>
        <w:rPr>
          <w:rFonts w:ascii="Arial" w:cs="Arial" w:eastAsia="Arial" w:hAnsi="Arial"/>
          <w:sz w:val="24"/>
          <w:szCs w:val="24"/>
        </w:rPr>
        <w:t xml:space="preserve">, número de grupos que uma mesa recebe por dia, é o horário de funcionamento dividido pela permanência média.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fluxo</w:t>
      </w:r>
      <w:r>
        <w:rPr>
          <w:rFonts w:ascii="Arial" w:cs="Arial" w:eastAsia="Arial" w:hAnsi="Arial"/>
          <w:sz w:val="24"/>
          <w:szCs w:val="24"/>
        </w:rPr>
        <w:t xml:space="preserve">, em visitantes por semana, é estimado na São Jogue por dois caminhos. As notas fiscais dão o limite inferior, e a contagem no movimento máximo, estendida às horas de fim de semana, dá o limite superior. A razão entre a velocidade de avaliações e o fluxo da São Jogue estende a estimativa aos demais concorrentes, sempre em faixa (N5 + N3). Toda proporção usada em premissa vem com intervalo de confiança.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matriz de evidências, que liga cada decisão do plano à pergunta, ao dado, à fonte e ao nível, está no 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ASPECTOS ÉTICOS E LEGAIS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informações de acesso público, e o nome de usuário é trocado por um código na coleta. A contagem direta é observação agregada em espaço comercial aberto ao público, sem fotos nem interação com clientes. O tratamento segue a Lei nº 13.709/2018 (LGPD) e a Resolução CNS nº 510/2016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e a dispensa de submissão ao Comitê de Ética foi consultada com a orientação.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LIMITAÇÕES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mede bem os concorrentes estabelecidos e o movimento máximo da São Jogue, e mede mal a média da semana e a variação ao longo do ano. Cada limitação entra na faixa da premissa que ela afeta (Quadro 3.4).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3.4 – Limitações e tratamento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Tratamento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Autosseleção de quem avalia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Experiências extremas sobrerrepresentadas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igual por concorrente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Recorte de três meses e corte de 100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sazonalidade; casas novas fora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Sazonalidade como premissa com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em um só estabelecimento, em quatro noites de pico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acima da média da semana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como limite superior; notas como piso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NFC-e só a pedido, um intervalo por unidade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Vendas subestimadas; sem variação do mês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como limite inferior, em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Falhas do script e erro de codificação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perdidos; viés nos temas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com IC 95%; recodificação cega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por cidade e POF de 2017-2018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sem bairro; valores defasados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larga; correção pelo IPCA; cotação do ponto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BARDIN, Laurence.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Análise de conteúdo</w:t>
      </w:r>
      <w:r>
        <w:rPr>
          <w:rFonts w:ascii="Arial" w:cs="Arial" w:eastAsia="Arial" w:hAnsi="Arial"/>
          <w:sz w:val="24"/>
          <w:szCs w:val="24"/>
        </w:rPr>
        <w:t xml:space="preserve">. São Paulo: Edições 70, 2011.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COHEN, Jacob. A coefficient of agreement for nominal scales.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Educational and Psychological Measurement</w:t>
      </w:r>
      <w:r>
        <w:rPr>
          <w:rFonts w:ascii="Arial" w:cs="Arial" w:eastAsia="Arial" w:hAnsi="Arial"/>
          <w:sz w:val="24"/>
          <w:szCs w:val="24"/>
        </w:rPr>
        <w:t xml:space="preserve">, v. 20, n. 1, p. 37–46, 1960.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GROVES, Robert M. et al.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Survey methodology</w:t>
      </w:r>
      <w:r>
        <w:rPr>
          <w:rFonts w:ascii="Arial" w:cs="Arial" w:eastAsia="Arial" w:hAnsi="Arial"/>
          <w:sz w:val="24"/>
          <w:szCs w:val="24"/>
        </w:rPr>
        <w:t xml:space="preserve">. 2. ed. Hoboken: Wiley, 2009.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WILSON, Edwin B. Probable inference, the law of succession, and statistical inference.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the American Statistical Association</w:t>
      </w:r>
      <w:r>
        <w:rPr>
          <w:rFonts w:ascii="Arial" w:cs="Arial" w:eastAsia="Arial" w:hAnsi="Arial"/>
          <w:sz w:val="24"/>
          <w:szCs w:val="24"/>
        </w:rPr>
        <w:t xml:space="preserve">, v. 22, n. 158, p. 209–212, 1927. [AV]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2026-10-31T15:23:13.594Z</dcterms:created>
  <dcterms:modified xsi:type="dcterms:W3CDTF">2026-10-31T15:23:13.595Z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