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80" w:line="360"/>
        <w:jc w:val="center"/>
      </w:pPr>
      <w:r>
        <w:rPr>
          <w:rFonts w:ascii="Arial" w:cs="Arial" w:eastAsia="Arial" w:hAnsi="Arial"/>
          <w:b/>
          <w:bCs/>
          <w:sz w:val="24"/>
          <w:szCs w:val="24"/>
        </w:rPr>
        <w:t xml:space="preserve">1 INTRODUÇÃO</w:t>
      </w:r>
    </w:p>
    <w:p>
      <w:pPr>
        <w:spacing w:after="0" w:line="360"/>
        <w:ind w:firstLine="709"/>
        <w:jc w:val="both"/>
      </w:pPr>
      <w:r>
        <w:rPr>
          <w:rFonts w:ascii="Arial" w:cs="Arial" w:eastAsia="Arial" w:hAnsi="Arial"/>
          <w:sz w:val="24"/>
          <w:szCs w:val="24"/>
        </w:rPr>
        <w:t xml:space="preserve">O mercado de jogos de tabuleiro está em expansão. O segmento movimentou mais de R$ 53 bi no mundo em 2024 (SEBRAE, 2026). No Brasil, os jogos de tabuleiro e cartas passaram de 9,1% para 13,1% das vendas da indústria de brinquedos entre 2017 e 2025, com crescimento de 16% no último ano, acima da média do setor (ABRINQ, 2026). Esse crescimento estrutural amplia o espaço para um formato específico de negócio: o bar temático de jogos de tabuleiro.</w:t>
      </w:r>
    </w:p>
    <w:p>
      <w:pPr>
        <w:spacing w:after="0" w:line="360"/>
        <w:ind w:firstLine="709"/>
        <w:jc w:val="both"/>
      </w:pPr>
      <w:r>
        <w:rPr>
          <w:rFonts w:ascii="Arial" w:cs="Arial" w:eastAsia="Arial" w:hAnsi="Arial"/>
          <w:sz w:val="24"/>
          <w:szCs w:val="24"/>
        </w:rPr>
        <w:t xml:space="preserve">O bar temático de jogos, conhecido como luderia, ludobar ou quiz-bar, combina alimentação, bebidas e acesso a um acervo de jogos. A Ludus Luderia, pioneira do formato em São Paulo desde 2007, opera hoje com mais de 2 mil jogos (DIVERSÓRIO, 2026). O formato se difundiu para outras capitais brasileiras. No exterior, ele integra um setor maior, o de </w:t>
      </w:r>
      <w:r>
        <w:rPr>
          <w:rFonts w:ascii="Arial" w:cs="Arial" w:eastAsia="Arial" w:hAnsi="Arial"/>
          <w:i/>
          <w:iCs/>
          <w:sz w:val="24"/>
          <w:szCs w:val="24"/>
        </w:rPr>
        <w:t xml:space="preserve">competitive socialising</w:t>
      </w:r>
      <w:r>
        <w:rPr>
          <w:rFonts w:ascii="Arial" w:cs="Arial" w:eastAsia="Arial" w:hAnsi="Arial"/>
          <w:sz w:val="24"/>
          <w:szCs w:val="24"/>
        </w:rPr>
        <w:t xml:space="preserve">: o Reino Unido já soma mais de 800 locais de lazer social baseados em jogos, com o público de 18 a 34 anos responsável por cerca de 60% do gasto (SAVILLS, [s.d.]).</w:t>
      </w:r>
    </w:p>
    <w:p>
      <w:pPr>
        <w:spacing w:after="0" w:line="360"/>
        <w:ind w:firstLine="709"/>
        <w:jc w:val="both"/>
      </w:pPr>
      <w:r>
        <w:rPr>
          <w:rFonts w:ascii="Arial" w:cs="Arial" w:eastAsia="Arial" w:hAnsi="Arial"/>
          <w:sz w:val="24"/>
          <w:szCs w:val="24"/>
        </w:rPr>
        <w:t xml:space="preserve">O formato acompanha uma mudança no consumo de lazer, que se desloca da posse de bens para a vivência de experiências. Compras de experiências geram mais satisfação que compras de bens materiais (GILOVICH; KUMAR; JAMPOL, 2015). O varejo físico segue o mesmo movimento: nos shopping centers brasileiros, as operações de lazer passaram de 1,4% para 2,2% do total de lojas entre 2019 e 2023 (MERCADO&amp;CONSUMO, 2025). A luderia vende uma ocasião social, e não um produto.</w:t>
      </w:r>
    </w:p>
    <w:p>
      <w:pPr>
        <w:spacing w:after="0" w:line="360"/>
        <w:ind w:firstLine="709"/>
        <w:jc w:val="both"/>
      </w:pPr>
      <w:r>
        <w:rPr>
          <w:rFonts w:ascii="Arial" w:cs="Arial" w:eastAsia="Arial" w:hAnsi="Arial"/>
          <w:sz w:val="24"/>
          <w:szCs w:val="24"/>
        </w:rPr>
        <w:t xml:space="preserve">Um investimento nesse formato enfrenta, contudo, um problema de evidência. Não há levantamento setorial sobre luderias no Brasil. As premissas que concentram o risco do negócio - taxa de ocupação e ticket médio - costumam ser estimadas sem fonte. O único estudo de viabilidade identificado sobre o formato analisa um caso isolado, em uma cidade do interior paulista (ASAKURA; SILVA; MELLO, 2018).</w:t>
      </w:r>
    </w:p>
    <w:p>
      <w:pPr>
        <w:spacing w:after="0" w:line="360"/>
        <w:ind w:firstLine="709"/>
        <w:jc w:val="both"/>
      </w:pPr>
      <w:r>
        <w:rPr>
          <w:rFonts w:ascii="Arial" w:cs="Arial" w:eastAsia="Arial" w:hAnsi="Arial"/>
          <w:sz w:val="24"/>
          <w:szCs w:val="24"/>
        </w:rPr>
        <w:t xml:space="preserve">Em Salvador, a São Jogue, com duas unidades, é a única luderia em operação. Este trabalho avalia se a cidade comporta um novo estabelecimento e sob quais condições de ponto, preço e ocupação. Cada premissa do plano é ligada a um dado, e cada dado a uma fonte e a um nível de confiança.</w:t>
      </w:r>
    </w:p>
    <w:p>
      <w:pPr>
        <w:pStyle w:val="Heading1"/>
        <w:keepNext/>
        <w:spacing w:after="240" w:before="360" w:line="360"/>
      </w:pPr>
      <w:r>
        <w:rPr>
          <w:rFonts w:ascii="Arial" w:cs="Arial" w:eastAsia="Arial" w:hAnsi="Arial"/>
          <w:b/>
          <w:bCs/>
          <w:sz w:val="24"/>
          <w:szCs w:val="24"/>
        </w:rPr>
        <w:t xml:space="preserve">1.1 OBJETIVOS</w:t>
      </w:r>
    </w:p>
    <w:p>
      <w:pPr>
        <w:spacing w:after="0" w:line="360"/>
        <w:ind w:firstLine="709"/>
        <w:jc w:val="both"/>
      </w:pPr>
      <w:r>
        <w:rPr>
          <w:rFonts w:ascii="Arial" w:cs="Arial" w:eastAsia="Arial" w:hAnsi="Arial"/>
          <w:sz w:val="24"/>
          <w:szCs w:val="24"/>
        </w:rPr>
        <w:t xml:space="preserve">Este trabalho tem como objetivo principal avaliar a viabilidade mercadológica, operacional e econômico-financeira de uma luderia em Salvador, de modo a subsidiar a decisão de investimento e a identificar as condições sob as quais o negócio se sustenta.</w:t>
      </w:r>
    </w:p>
    <w:p>
      <w:pPr>
        <w:spacing w:after="0" w:line="360"/>
        <w:ind w:firstLine="709"/>
        <w:jc w:val="both"/>
      </w:pPr>
      <w:r>
        <w:rPr>
          <w:rFonts w:ascii="Arial" w:cs="Arial" w:eastAsia="Arial" w:hAnsi="Arial"/>
          <w:sz w:val="24"/>
          <w:szCs w:val="24"/>
        </w:rPr>
        <w:t xml:space="preserve">Para atingir esse propósito, foram traçados os seguintes objetivos específicos: (i) analisar o mercado e a concorrência de luderias nas 14 metrópoles brasileiras, com destaque para Salvador, quanto a avaliação, preço e cardápio; (ii) definir o posicionamento e o composto de marketing, incluindo a curadoria do acervo, a partir dos aspectos que mais pesam na satisfação dos clientes; (iii) estimar a demanda, a taxa de ocupação e o giro de mesas a partir de observação direta e de avaliações calibradas; (iv) dimensionar a estrutura operacional e os requisitos jurídicos do negócio; e (v) projetar investimentos, receitas, custos e indicadores de viabilidade a partir de premissas rastreáveis.</w:t>
      </w:r>
    </w:p>
    <w:p>
      <w:pPr>
        <w:spacing w:after="0" w:line="360"/>
        <w:ind w:firstLine="709"/>
        <w:jc w:val="both"/>
      </w:pPr>
      <w:r>
        <w:rPr>
          <w:rFonts w:ascii="Arial" w:cs="Arial" w:eastAsia="Arial" w:hAnsi="Arial"/>
          <w:sz w:val="24"/>
          <w:szCs w:val="24"/>
        </w:rPr>
        <w:t xml:space="preserve">A partir dos resultados obtidos no cumprimento dos objetivos anteriores, espera-se ainda: (vi) identificar as premissas críticas e os pontos de ruptura do negócio por meio de análise de sensibilidade; e (vii) propor um plano de contingência e as validações necessárias antes do investimento.</w:t>
      </w:r>
    </w:p>
    <w:p>
      <w:pPr>
        <w:pStyle w:val="Heading1"/>
        <w:keepNext/>
        <w:spacing w:after="240" w:before="360" w:line="360"/>
      </w:pPr>
      <w:r>
        <w:rPr>
          <w:rFonts w:ascii="Arial" w:cs="Arial" w:eastAsia="Arial" w:hAnsi="Arial"/>
          <w:b/>
          <w:bCs/>
          <w:sz w:val="24"/>
          <w:szCs w:val="24"/>
        </w:rPr>
        <w:t xml:space="preserve">1.2 JUSTIFICATIVA</w:t>
      </w:r>
    </w:p>
    <w:p>
      <w:pPr>
        <w:spacing w:after="0" w:line="360"/>
        <w:ind w:firstLine="709"/>
        <w:jc w:val="both"/>
      </w:pPr>
      <w:r>
        <w:rPr>
          <w:rFonts w:ascii="Arial" w:cs="Arial" w:eastAsia="Arial" w:hAnsi="Arial"/>
          <w:sz w:val="24"/>
          <w:szCs w:val="24"/>
        </w:rPr>
        <w:t xml:space="preserve">A relevância de um plano de negócios para uma luderia em Salvador sustenta-se em três frentes complementares: a acadêmica, a social e a gerencial.</w:t>
      </w:r>
    </w:p>
    <w:p>
      <w:pPr>
        <w:spacing w:after="0" w:line="360"/>
        <w:ind w:firstLine="709"/>
        <w:jc w:val="both"/>
      </w:pPr>
      <w:r>
        <w:rPr>
          <w:rFonts w:ascii="Arial" w:cs="Arial" w:eastAsia="Arial" w:hAnsi="Arial"/>
          <w:sz w:val="24"/>
          <w:szCs w:val="24"/>
        </w:rPr>
        <w:t xml:space="preserve">Do ponto de vista acadêmico, este trabalho preenche uma lacuna na literatura sobre negócios de entretenimento social presencial. Os levantamentos sobre o mercado brasileiro de jogos de tabuleiro concentram-se no varejo e na indústria, sem tratar o nível do estabelecimento. O único estudo de viabilidade identificado sobre o formato analisa um caso isolado, em uma cidade do interior paulista (ASAKURA; SILVA; MELLO, 2018). Além disso, planos de negócios costumam apoiar suas projeções em premissas pouco justificadas. Este trabalho sustenta cada premissa em dados secundários e comportamentais, classificados por nível de evidência e testados por triangulação e análise de sensibilidade. Essa abordagem amplia o rigor metodológico da aplicação do instrumental de plano de negócios - análise PESTEL, Cinco Forças de Porter, matriz SWOT, grade ERRC e indicadores de viabilidade - a um caso real.</w:t>
      </w:r>
    </w:p>
    <w:p>
      <w:pPr>
        <w:spacing w:after="0" w:line="360"/>
        <w:ind w:firstLine="709"/>
        <w:jc w:val="both"/>
      </w:pPr>
      <w:r>
        <w:rPr>
          <w:rFonts w:ascii="Arial" w:cs="Arial" w:eastAsia="Arial" w:hAnsi="Arial"/>
          <w:sz w:val="24"/>
          <w:szCs w:val="24"/>
        </w:rPr>
        <w:t xml:space="preserve">Do ponto de vista social, a luderia oferece um espaço de lazer presencial, alternativo ao entretenimento mediado por telas. O formato atende ocasiões sociais cotidianas, como encontros entre amigos, aniversários e confraternizações corporativas, em torno de uma atividade compartilhada.</w:t>
      </w:r>
    </w:p>
    <w:p>
      <w:pPr>
        <w:spacing w:after="0" w:line="360"/>
        <w:ind w:firstLine="709"/>
        <w:jc w:val="both"/>
      </w:pPr>
      <w:r>
        <w:rPr>
          <w:rFonts w:ascii="Arial" w:cs="Arial" w:eastAsia="Arial" w:hAnsi="Arial"/>
          <w:sz w:val="24"/>
          <w:szCs w:val="24"/>
        </w:rPr>
        <w:t xml:space="preserve">Por fim, do ponto de vista gerencial, os resultados deste trabalho orientam decisões concretas de investimento: a escolha do ponto, a curadoria do acervo, a política de preço e o cardápio. Empreendedores do setor enfrentam, com frequência, a ausência de dados sobre demanda e desempenho de concorrentes. O trabalho documenta um processo replicável de construção de premissas a partir de fontes públicas e de testes comportamentais de baixo custo. Negócios de lazer em fase de estruturação podem adotar essa abordagem para reduzir a incerteza antes do investimento.</w:t>
      </w:r>
    </w:p>
    <w:p>
      <w:pPr>
        <w:pStyle w:val="Heading1"/>
        <w:keepNext/>
        <w:spacing w:after="240" w:before="360" w:line="360"/>
      </w:pPr>
      <w:r>
        <w:rPr>
          <w:rFonts w:ascii="Arial" w:cs="Arial" w:eastAsia="Arial" w:hAnsi="Arial"/>
          <w:b/>
          <w:bCs/>
          <w:sz w:val="24"/>
          <w:szCs w:val="24"/>
        </w:rPr>
        <w:t xml:space="preserve">1.3 ESTRUTURA DO RELATÓRIO</w:t>
      </w:r>
    </w:p>
    <w:p>
      <w:pPr>
        <w:spacing w:after="0" w:line="360"/>
        <w:ind w:firstLine="709"/>
        <w:jc w:val="both"/>
      </w:pPr>
      <w:r>
        <w:rPr>
          <w:rFonts w:ascii="Arial" w:cs="Arial" w:eastAsia="Arial" w:hAnsi="Arial"/>
          <w:sz w:val="24"/>
          <w:szCs w:val="24"/>
        </w:rPr>
        <w:t xml:space="preserve">O relatório organiza-se em onze capítulos. O capítulo 2 apresenta o referencial teórico: os conceitos de plano de negócios e de estratégia, os estudos sobre lazer e sobre o público de jogos de tabuleiro, as referências sobre estabelecimentos de entretenimento e os fundamentos de análise de viabilidade.</w:t>
      </w:r>
    </w:p>
    <w:p>
      <w:pPr>
        <w:spacing w:after="0" w:line="360"/>
        <w:ind w:firstLine="709"/>
        <w:jc w:val="both"/>
      </w:pPr>
      <w:r>
        <w:rPr>
          <w:rFonts w:ascii="Arial" w:cs="Arial" w:eastAsia="Arial" w:hAnsi="Arial"/>
          <w:sz w:val="24"/>
          <w:szCs w:val="24"/>
        </w:rPr>
        <w:t xml:space="preserve">O capítulo 3 descreve a metodologia utilizada - fontes e instrumentos de coleta, tratamento dos dados, hierarquia de evidências e limitações. O capítulo inclui a matriz de evidências, que vincula cada decisão do plano ao dado que a sustenta. O capítulo 4 traz o sumário executivo, com a síntese do negócio e dos indicadores de viabilidade.</w:t>
      </w:r>
    </w:p>
    <w:p>
      <w:pPr>
        <w:spacing w:after="0" w:line="360"/>
        <w:ind w:firstLine="709"/>
        <w:jc w:val="both"/>
      </w:pPr>
      <w:r>
        <w:rPr>
          <w:rFonts w:ascii="Arial" w:cs="Arial" w:eastAsia="Arial" w:hAnsi="Arial"/>
          <w:sz w:val="24"/>
          <w:szCs w:val="24"/>
        </w:rPr>
        <w:t xml:space="preserve">Os capítulos 5 a 8 desenvolvem o plano. O capítulo 5 apresenta a análise de mercado, com o panorama do setor, o público-alvo e a concorrência nas 14 metrópoles brasileiras. O capítulo 6 apresenta o plano de marketing, com o posicionamento, o composto mercadológico e a estimativa de demanda. O capítulo 7 descreve o plano operacional, e o capítulo 8 trata dos aspectos jurídicos e legais.</w:t>
      </w:r>
    </w:p>
    <w:p>
      <w:pPr>
        <w:spacing w:after="0" w:line="360"/>
        <w:ind w:firstLine="709"/>
        <w:jc w:val="both"/>
      </w:pPr>
      <w:r>
        <w:rPr>
          <w:rFonts w:ascii="Arial" w:cs="Arial" w:eastAsia="Arial" w:hAnsi="Arial"/>
          <w:sz w:val="24"/>
          <w:szCs w:val="24"/>
        </w:rPr>
        <w:t xml:space="preserve">O capítulo 9 apresenta o plano financeiro, com o registro de premissas, os demonstrativos projetados e os indicadores de viabilidade. O capítulo 10 reúne a análise estratégica e de riscos, com os cenários, as premissas críticas e o plano de contingência.</w:t>
      </w:r>
    </w:p>
    <w:p>
      <w:pPr>
        <w:spacing w:after="0" w:line="360"/>
        <w:ind w:firstLine="709"/>
        <w:jc w:val="both"/>
      </w:pPr>
      <w:r>
        <w:rPr>
          <w:rFonts w:ascii="Arial" w:cs="Arial" w:eastAsia="Arial" w:hAnsi="Arial"/>
          <w:sz w:val="24"/>
          <w:szCs w:val="24"/>
        </w:rPr>
        <w:t xml:space="preserve">Por fim, o capítulo 11 reúne as considerações finais, com o parecer de viabilidade, as limitações e os próximos passos. Os apêndices reúnem o registro completo de premissas, os demonstrativos detalhados, as análises estatísticas dos dados coletados e as instruções de acesso ao repositório.</w:t>
      </w:r>
    </w:p>
    <w:p>
      <w:pPr>
        <w:spacing w:after="0" w:line="360"/>
        <w:ind w:firstLine="709"/>
        <w:jc w:val="both"/>
      </w:pPr>
      <w:r>
        <w:rPr>
          <w:rFonts w:ascii="Arial" w:cs="Arial" w:eastAsia="Arial" w:hAnsi="Arial"/>
          <w:b/>
          <w:bCs/>
          <w:sz w:val="24"/>
          <w:szCs w:val="24"/>
        </w:rPr>
        <w:t xml:space="preserve">Referências citadas nesta introdução</w:t>
      </w:r>
    </w:p>
    <w:p>
      <w:pPr>
        <w:spacing w:after="0" w:line="360"/>
        <w:ind w:firstLine="709"/>
        <w:jc w:val="both"/>
      </w:pPr>
      <w:r>
        <w:rPr>
          <w:rFonts w:ascii="Arial" w:cs="Arial" w:eastAsia="Arial" w:hAnsi="Arial"/>
          <w:sz w:val="24"/>
          <w:szCs w:val="24"/>
        </w:rPr>
        <w:t xml:space="preserve">ABRINQ. </w:t>
      </w:r>
      <w:r>
        <w:rPr>
          <w:rFonts w:ascii="Arial" w:cs="Arial" w:eastAsia="Arial" w:hAnsi="Arial"/>
          <w:i/>
          <w:iCs/>
          <w:sz w:val="24"/>
          <w:szCs w:val="24"/>
        </w:rPr>
        <w:t xml:space="preserve">Anuário da Abrinq 2026</w:t>
      </w:r>
      <w:r>
        <w:rPr>
          <w:rFonts w:ascii="Arial" w:cs="Arial" w:eastAsia="Arial" w:hAnsi="Arial"/>
          <w:sz w:val="24"/>
          <w:szCs w:val="24"/>
        </w:rPr>
        <w:t xml:space="preserve">. Associação Brasileira dos Fabricantes de Brinquedos, 2026.</w:t>
      </w:r>
    </w:p>
    <w:p>
      <w:pPr>
        <w:spacing w:after="0" w:line="360"/>
        <w:ind w:firstLine="709"/>
        <w:jc w:val="both"/>
      </w:pPr>
      <w:r>
        <w:rPr>
          <w:rFonts w:ascii="Arial" w:cs="Arial" w:eastAsia="Arial" w:hAnsi="Arial"/>
          <w:sz w:val="24"/>
          <w:szCs w:val="24"/>
        </w:rPr>
        <w:t xml:space="preserve">ASAKURA; SILVA; MELLO. Estudo de viabilidade econômica de um boardgame café em Ourinhos/SP. </w:t>
      </w:r>
      <w:r>
        <w:rPr>
          <w:rFonts w:ascii="Arial" w:cs="Arial" w:eastAsia="Arial" w:hAnsi="Arial"/>
          <w:i/>
          <w:iCs/>
          <w:sz w:val="24"/>
          <w:szCs w:val="24"/>
        </w:rPr>
        <w:t xml:space="preserve">Anais do CIC - FIO</w:t>
      </w:r>
      <w:r>
        <w:rPr>
          <w:rFonts w:ascii="Arial" w:cs="Arial" w:eastAsia="Arial" w:hAnsi="Arial"/>
          <w:sz w:val="24"/>
          <w:szCs w:val="24"/>
        </w:rPr>
        <w:t xml:space="preserve">, 2018. Disponível em: http://www.cic.fio.edu.br/anaisCIC/anais2018/pdf/05_01.pdf. [Completar prenomes dos autores e data de acesso.]</w:t>
      </w:r>
    </w:p>
    <w:p>
      <w:pPr>
        <w:spacing w:after="0" w:line="360"/>
        <w:ind w:firstLine="709"/>
        <w:jc w:val="both"/>
      </w:pPr>
      <w:r>
        <w:rPr>
          <w:rFonts w:ascii="Arial" w:cs="Arial" w:eastAsia="Arial" w:hAnsi="Arial"/>
          <w:sz w:val="24"/>
          <w:szCs w:val="24"/>
        </w:rPr>
        <w:t xml:space="preserve">GILOVICH, Thomas; KUMAR, Amit; JAMPOL, Lily. A wonderful life: experiential consumption and the pursuit of happiness. </w:t>
      </w:r>
      <w:r>
        <w:rPr>
          <w:rFonts w:ascii="Arial" w:cs="Arial" w:eastAsia="Arial" w:hAnsi="Arial"/>
          <w:i/>
          <w:iCs/>
          <w:sz w:val="24"/>
          <w:szCs w:val="24"/>
        </w:rPr>
        <w:t xml:space="preserve">Journal of Consumer Psychology</w:t>
      </w:r>
      <w:r>
        <w:rPr>
          <w:rFonts w:ascii="Arial" w:cs="Arial" w:eastAsia="Arial" w:hAnsi="Arial"/>
          <w:sz w:val="24"/>
          <w:szCs w:val="24"/>
        </w:rPr>
        <w:t xml:space="preserve">, v. 25, n. 1, p. 152-165, 2015. DOI: 10.1016/j.jcps.2014.08.004.</w:t>
      </w:r>
    </w:p>
    <w:p>
      <w:pPr>
        <w:spacing w:after="0" w:line="360"/>
        <w:ind w:firstLine="709"/>
        <w:jc w:val="both"/>
      </w:pPr>
      <w:r>
        <w:rPr>
          <w:rFonts w:ascii="Arial" w:cs="Arial" w:eastAsia="Arial" w:hAnsi="Arial"/>
          <w:sz w:val="24"/>
          <w:szCs w:val="24"/>
        </w:rPr>
        <w:t xml:space="preserve">DIVERSÓRIO. Onde jogar board games em São Paulo? Conheça a Ludus Luderia com mais de 2 mil jogos. 2026.</w:t>
      </w:r>
    </w:p>
    <w:p>
      <w:pPr>
        <w:spacing w:after="0" w:line="360"/>
        <w:ind w:firstLine="709"/>
        <w:jc w:val="both"/>
      </w:pPr>
      <w:r>
        <w:rPr>
          <w:rFonts w:ascii="Arial" w:cs="Arial" w:eastAsia="Arial" w:hAnsi="Arial"/>
          <w:sz w:val="24"/>
          <w:szCs w:val="24"/>
        </w:rPr>
        <w:t xml:space="preserve">MERCADO&amp;CONSUMO. Lazer é a segunda maior motivação de ida a shopping centers. </w:t>
      </w:r>
      <w:r>
        <w:rPr>
          <w:rFonts w:ascii="Arial" w:cs="Arial" w:eastAsia="Arial" w:hAnsi="Arial"/>
          <w:i/>
          <w:iCs/>
          <w:sz w:val="24"/>
          <w:szCs w:val="24"/>
        </w:rPr>
        <w:t xml:space="preserve">Mercado&amp;Consumo</w:t>
      </w:r>
      <w:r>
        <w:rPr>
          <w:rFonts w:ascii="Arial" w:cs="Arial" w:eastAsia="Arial" w:hAnsi="Arial"/>
          <w:sz w:val="24"/>
          <w:szCs w:val="24"/>
        </w:rPr>
        <w:t xml:space="preserve">, 8 jan. 2025. Disponível em: https://mercadoeconsumo.com.br/08/01/2025/shopping-centers/lazer-e-a-segunda-maior-motivacao-de-ida-a-shopping-centers. Acesso em: 2 out. 2026. [Substituir pela publicação original da Abrasce, quando localizada.]</w:t>
      </w:r>
    </w:p>
    <w:p>
      <w:pPr>
        <w:spacing w:after="0" w:line="360"/>
        <w:ind w:firstLine="709"/>
        <w:jc w:val="both"/>
      </w:pPr>
      <w:r>
        <w:rPr>
          <w:rFonts w:ascii="Arial" w:cs="Arial" w:eastAsia="Arial" w:hAnsi="Arial"/>
          <w:sz w:val="24"/>
          <w:szCs w:val="24"/>
        </w:rPr>
        <w:t xml:space="preserve">SAVILLS. Competitive socialising. Savills UK, [s.d.]. Disponível em: https://www.savills.co.uk/research_articles/229130/357959-0. [Conferir ano de publicação e data de acesso.]</w:t>
      </w:r>
    </w:p>
    <w:p>
      <w:pPr>
        <w:spacing w:after="0" w:line="360"/>
        <w:ind w:firstLine="709"/>
        <w:jc w:val="both"/>
      </w:pPr>
      <w:r>
        <w:rPr>
          <w:rFonts w:ascii="Arial" w:cs="Arial" w:eastAsia="Arial" w:hAnsi="Arial"/>
          <w:sz w:val="24"/>
          <w:szCs w:val="24"/>
        </w:rPr>
        <w:t xml:space="preserve">SEBRAE. Jogos de tabuleiro movimentaram R$ 53 bilhões em 2024. Agência de Notícias do Sebrae, 2026.</w:t>
      </w:r>
    </w:p>
    <w:p>
      <w:pPr>
        <w:pStyle w:val="Title"/>
        <w:pageBreakBefore/>
        <w:spacing w:after="480" w:line="360"/>
        <w:jc w:val="center"/>
      </w:pPr>
      <w:r>
        <w:rPr>
          <w:rFonts w:ascii="Arial" w:cs="Arial" w:eastAsia="Arial" w:hAnsi="Arial"/>
          <w:b/>
          <w:bCs/>
          <w:sz w:val="24"/>
          <w:szCs w:val="24"/>
        </w:rPr>
        <w:t xml:space="preserve">2 REFERENCIAL TEÓRICO</w:t>
      </w:r>
    </w:p>
    <w:p>
      <w:pPr>
        <w:pStyle w:val="Heading1"/>
        <w:keepNext/>
        <w:spacing w:after="240" w:before="360" w:line="360"/>
      </w:pPr>
      <w:r>
        <w:rPr>
          <w:rFonts w:ascii="Arial" w:cs="Arial" w:eastAsia="Arial" w:hAnsi="Arial"/>
          <w:b/>
          <w:bCs/>
          <w:sz w:val="24"/>
          <w:szCs w:val="24"/>
        </w:rPr>
        <w:t xml:space="preserve">2.1 PLANO DE NEGÓCIOS E DECISÃO BASEADA EM EVIDÊNCIAS</w:t>
      </w:r>
    </w:p>
    <w:p>
      <w:pPr>
        <w:spacing w:after="0" w:line="360"/>
        <w:ind w:firstLine="709"/>
        <w:jc w:val="both"/>
      </w:pPr>
      <w:r>
        <w:rPr>
          <w:rFonts w:ascii="Arial" w:cs="Arial" w:eastAsia="Arial" w:hAnsi="Arial"/>
          <w:sz w:val="24"/>
          <w:szCs w:val="24"/>
        </w:rPr>
        <w:t xml:space="preserve">O plano de negócios é o documento que descreve o empreendimento e testa, antes do investimento, se ele se sustenta. Dornelas (2021, [AV]) atribui ao plano duas funções: orientar a gestão do negócio e comunicar a oportunidade a sócios e financiadores. Os componentes do plano — análise de mercado, plano de marketing, plano operacional, aspectos jurídicos e plano financeiro — organizam os capítulos 5 a 9 deste trabalho. O sumário executivo (capítulo 4) condensa o resultado em uma decisão: investir ou não.</w:t>
      </w:r>
    </w:p>
    <w:p>
      <w:pPr>
        <w:spacing w:after="0" w:line="360"/>
        <w:ind w:firstLine="709"/>
        <w:jc w:val="both"/>
      </w:pPr>
      <w:r>
        <w:rPr>
          <w:rFonts w:ascii="Arial" w:cs="Arial" w:eastAsia="Arial" w:hAnsi="Arial"/>
          <w:sz w:val="24"/>
          <w:szCs w:val="24"/>
        </w:rPr>
        <w:t xml:space="preserve">O valor do plano depende da qualidade das premissas que o alimentam. Um plano com premissas sem fonte apenas formaliza a intuição do empreendedor. A gestão baseada em evidências responde a esse problema: é o uso consciente, explícito e criterioso das melhores evidências disponíveis na tomada de decisão (FIGUEIREDO, 2020, p. 31). Pfeffer e Sutton (2006, [AV]) opõem essa prática à decisão apoiada em costume, imitação de casos de sucesso ou crença não testada.</w:t>
      </w:r>
    </w:p>
    <w:p>
      <w:pPr>
        <w:spacing w:after="0" w:line="360"/>
        <w:ind w:firstLine="709"/>
        <w:jc w:val="both"/>
      </w:pPr>
      <w:r>
        <w:rPr>
          <w:rFonts w:ascii="Arial" w:cs="Arial" w:eastAsia="Arial" w:hAnsi="Arial"/>
          <w:sz w:val="24"/>
          <w:szCs w:val="24"/>
        </w:rPr>
        <w:t xml:space="preserve">As evidências vêm de quatro fontes: pesquisas científicas, dados da própria organização, experiência profissional e valores das partes afetadas pela decisão (FIGUEIREDO, 2020, p. 31). Um negócio ainda não aberto não tem dados próprios. O trabalho substitui essa fonte por dados de estabelecimentos comparáveis: avaliações publicadas, cardápios e a contagem direta em uma luderia em operação. A escala de confiança N1–N6 e a hierarquia de tipos de dados (capítulo 3) ordenam essas fontes pela força da evidência que oferecem.</w:t>
      </w:r>
    </w:p>
    <w:p>
      <w:pPr>
        <w:spacing w:after="0" w:line="360"/>
        <w:ind w:firstLine="709"/>
        <w:jc w:val="both"/>
      </w:pPr>
      <w:r>
        <w:rPr>
          <w:rFonts w:ascii="Arial" w:cs="Arial" w:eastAsia="Arial" w:hAnsi="Arial"/>
          <w:sz w:val="24"/>
          <w:szCs w:val="24"/>
        </w:rPr>
        <w:t xml:space="preserve">A evidência disponível nem sempre é suficiente. Nesse caso, a decisão trabalha com a evidência limitada e a complementa com testes piloto (FIGUEIREDO, 2020, p. 32). O princípio orienta o tratamento das premissas de maior incerteza: elas recebem faixa pessimista, provável e otimista no capítulo 9 e indicam as validações a fazer antes do investimento no capítulo 11.</w:t>
      </w:r>
    </w:p>
    <w:p>
      <w:pPr>
        <w:pStyle w:val="Heading1"/>
        <w:keepNext/>
        <w:spacing w:after="240" w:before="360" w:line="360"/>
      </w:pPr>
      <w:r>
        <w:rPr>
          <w:rFonts w:ascii="Arial" w:cs="Arial" w:eastAsia="Arial" w:hAnsi="Arial"/>
          <w:b/>
          <w:bCs/>
          <w:sz w:val="24"/>
          <w:szCs w:val="24"/>
        </w:rPr>
        <w:t xml:space="preserve">2.2 ESTRATÉGIA E MODELO DE NEGÓCIO</w:t>
      </w:r>
    </w:p>
    <w:p>
      <w:pPr>
        <w:pStyle w:val="Heading2"/>
        <w:keepNext/>
        <w:spacing w:after="120" w:before="240" w:line="360"/>
      </w:pPr>
      <w:r>
        <w:rPr>
          <w:rFonts w:ascii="Arial" w:cs="Arial" w:eastAsia="Arial" w:hAnsi="Arial"/>
          <w:b/>
          <w:bCs/>
          <w:sz w:val="24"/>
          <w:szCs w:val="24"/>
        </w:rPr>
        <w:t xml:space="preserve">2.2.1 Ambiente competitivo e macroambiente</w:t>
      </w:r>
    </w:p>
    <w:p>
      <w:pPr>
        <w:spacing w:after="0" w:line="360"/>
        <w:ind w:firstLine="709"/>
        <w:jc w:val="both"/>
      </w:pPr>
      <w:r>
        <w:rPr>
          <w:rFonts w:ascii="Arial" w:cs="Arial" w:eastAsia="Arial" w:hAnsi="Arial"/>
          <w:sz w:val="24"/>
          <w:szCs w:val="24"/>
        </w:rPr>
        <w:t xml:space="preserve">A rentabilidade de um setor depende da sua estrutura competitiva. Porter (2004, [AV]) descreve essa estrutura por cinco forças: a rivalidade entre concorrentes, a ameaça de novos entrantes, a ameaça de produtos substitutos, o poder de negociação dos compradores e o poder de negociação dos fornecedores. Quanto mais intensas as forças, menor o retorno médio do setor. No caso da luderia, os substitutos incluem bares, restaurantes e outras formas de lazer noturno, e os fornecedores críticos são as editoras de jogos e os fornecedores de alimentos e bebidas. O capítulo 5.3 aplica as cinco forças aos concorrentes do Bloco B1.</w:t>
      </w:r>
    </w:p>
    <w:p>
      <w:pPr>
        <w:spacing w:after="0" w:line="360"/>
        <w:ind w:firstLine="709"/>
        <w:jc w:val="both"/>
      </w:pPr>
      <w:r>
        <w:rPr>
          <w:rFonts w:ascii="Arial" w:cs="Arial" w:eastAsia="Arial" w:hAnsi="Arial"/>
          <w:sz w:val="24"/>
          <w:szCs w:val="24"/>
        </w:rPr>
        <w:t xml:space="preserve">O macroambiente reúne as forças externas que a empresa não controla. Kotler e Keller (2012, [AV]) agrupam essas forças em demográficas, econômicas, socioculturais, naturais, tecnológicas e político-legais. A análise PESTEL organiza o mesmo conteúdo em seis dimensões: política, econômica, social, tecnológica, ambiental e legal. O capítulo 5.5 usa a análise PESTEL com dados das bases públicas do Bloco B4, como renda por bairro, tributos e taxa de juros.</w:t>
      </w:r>
    </w:p>
    <w:p>
      <w:pPr>
        <w:pStyle w:val="Heading2"/>
        <w:keepNext/>
        <w:spacing w:after="120" w:before="240" w:line="360"/>
      </w:pPr>
      <w:r>
        <w:rPr>
          <w:rFonts w:ascii="Arial" w:cs="Arial" w:eastAsia="Arial" w:hAnsi="Arial"/>
          <w:b/>
          <w:bCs/>
          <w:sz w:val="24"/>
          <w:szCs w:val="24"/>
        </w:rPr>
        <w:t xml:space="preserve">2.2.2 Proposta de valor e atributos de satisfação</w:t>
      </w:r>
    </w:p>
    <w:p>
      <w:pPr>
        <w:spacing w:after="0" w:line="360"/>
        <w:ind w:firstLine="709"/>
        <w:jc w:val="both"/>
      </w:pPr>
      <w:r>
        <w:rPr>
          <w:rFonts w:ascii="Arial" w:cs="Arial" w:eastAsia="Arial" w:hAnsi="Arial"/>
          <w:sz w:val="24"/>
          <w:szCs w:val="24"/>
        </w:rPr>
        <w:t xml:space="preserve">A estratégia do oceano azul propõe criar um espaço de mercado sem disputa direta, em vez de competir por preço no espaço existente. Kim e Mauborgne (2005, [AV]) operacionalizam a proposta pela grade ERRC: eliminar, reduzir, elevar e criar atributos em relação ao padrão do setor. A grade obriga a escolher onde o negócio fica abaixo do padrão para financiar o que fica acima. O capítulo 6.1 define o posicionamento da luderia por essa grade.</w:t>
      </w:r>
    </w:p>
    <w:p>
      <w:pPr>
        <w:spacing w:after="0" w:line="360"/>
        <w:ind w:firstLine="709"/>
        <w:jc w:val="both"/>
      </w:pPr>
      <w:r>
        <w:rPr>
          <w:rFonts w:ascii="Arial" w:cs="Arial" w:eastAsia="Arial" w:hAnsi="Arial"/>
          <w:sz w:val="24"/>
          <w:szCs w:val="24"/>
        </w:rPr>
        <w:t xml:space="preserve">A grade ERRC não indica, por si, quais atributos podem ser reduzidos sem perda de clientes. O modelo Kano responde a essa pergunta ao classificar os atributos pela relação entre desempenho e satisfação. Atributos obrigatórios geram insatisfação quando ausentes, mas não geram satisfação quando presentes; atributos atrativos geram satisfação quando presentes, sem gerar insatisfação quando ausentes (TONTINI; THEISS, 2005, p. 35–36). Atributos unidimensionais, ou de desempenho, afetam a satisfação nos dois sentidos.</w:t>
      </w:r>
    </w:p>
    <w:p>
      <w:pPr>
        <w:spacing w:after="0" w:line="360"/>
        <w:ind w:firstLine="709"/>
        <w:jc w:val="both"/>
      </w:pPr>
      <w:r>
        <w:rPr>
          <w:rFonts w:ascii="Arial" w:cs="Arial" w:eastAsia="Arial" w:hAnsi="Arial"/>
          <w:sz w:val="24"/>
          <w:szCs w:val="24"/>
        </w:rPr>
        <w:t xml:space="preserve">A análise do contraste da penalidade e da recompensa (PRC) classifica os atributos a partir de dados de satisfação, sem perguntar ao cliente como reagiria a cada atributo. A satisfação geral é regredida contra variáveis indicadoras de desempenho abaixo e acima de uma referência; o coeficiente de penalidade mede a perda de satisfação no primeiro caso, e o de recompensa, o ganho no segundo (PICOLO; TONTINI, 2008, p. 42–45). Atributo com penalidade maior que a recompensa é obrigatório; com recompensa maior que a penalidade, atrativo (PICOLO; TONTINI, 2008, p. 50–51). O capítulo 6 aplica a lógica às avaliações do Bloco B2: o aspecto citado nas avaliações é comparado com a nota de quem o elogia, de quem o critica e de quem não o menciona.</w:t>
      </w:r>
    </w:p>
    <w:p>
      <w:pPr>
        <w:spacing w:after="0" w:line="360"/>
        <w:ind w:firstLine="709"/>
        <w:jc w:val="both"/>
      </w:pPr>
      <w:r>
        <w:rPr>
          <w:rFonts w:ascii="Arial" w:cs="Arial" w:eastAsia="Arial" w:hAnsi="Arial"/>
          <w:sz w:val="24"/>
          <w:szCs w:val="24"/>
        </w:rPr>
        <w:t xml:space="preserve">A ligação entre as duas ferramentas define o uso de cada uma. Um atributo obrigatório não entra nas colunas "eliminar" ou "reduzir" da grade ERRC. Um atributo atrativo é candidato a "elevar". A PRC, porém, só identifica atributos que o cliente já experimentou: atributos inovadores tendem a sair como não significativos (PICOLO; TONTINI, 2008, p. 56). A coluna "criar" da grade, portanto, não se apoia nas avaliações dos concorrentes e precisa de outra evidência, como a oferta de luderias de outras metrópoles.</w:t>
      </w:r>
    </w:p>
    <w:p>
      <w:pPr>
        <w:pStyle w:val="Heading2"/>
        <w:keepNext/>
        <w:spacing w:after="120" w:before="240" w:line="360"/>
      </w:pPr>
      <w:r>
        <w:rPr>
          <w:rFonts w:ascii="Arial" w:cs="Arial" w:eastAsia="Arial" w:hAnsi="Arial"/>
          <w:b/>
          <w:bCs/>
          <w:sz w:val="24"/>
          <w:szCs w:val="24"/>
        </w:rPr>
        <w:t xml:space="preserve">2.2.3 Diagnóstico estratégico</w:t>
      </w:r>
    </w:p>
    <w:p>
      <w:pPr>
        <w:spacing w:after="0" w:line="360"/>
        <w:ind w:firstLine="709"/>
        <w:jc w:val="both"/>
      </w:pPr>
      <w:r>
        <w:rPr>
          <w:rFonts w:ascii="Arial" w:cs="Arial" w:eastAsia="Arial" w:hAnsi="Arial"/>
          <w:sz w:val="24"/>
          <w:szCs w:val="24"/>
        </w:rPr>
        <w:t xml:space="preserve">A análise SWOT cruza as forças e fraquezas internas do negócio com as oportunidades e ameaças do ambiente (KOTLER; KELLER, 2012, [AV]). O cruzamento gera estratégias: usar forças para aproveitar oportunidades, corrigir fraquezas que expõem o negócio a ameaças. Mintzberg, Ahlstrand e Lampel (2010, [AV]) criticam a ferramenta na escola do design: a lista de forças e fraquezas tende a ser feita sem verificação e separa o pensar do agir. O capítulo 10.1 responde à crítica com uma regra: cada item da matriz aponta para o dado do capítulo 5 ou 6 que o sustenta, e item sem dado sai.</w:t>
      </w:r>
    </w:p>
    <w:p>
      <w:pPr>
        <w:pStyle w:val="Heading1"/>
        <w:keepNext/>
        <w:spacing w:after="240" w:before="360" w:line="360"/>
      </w:pPr>
      <w:r>
        <w:rPr>
          <w:rFonts w:ascii="Arial" w:cs="Arial" w:eastAsia="Arial" w:hAnsi="Arial"/>
          <w:b/>
          <w:bCs/>
          <w:sz w:val="24"/>
          <w:szCs w:val="24"/>
        </w:rPr>
        <w:t xml:space="preserve">2.3 LAZER E ECONOMIA DA EXPERIÊNCIA</w:t>
      </w:r>
    </w:p>
    <w:p>
      <w:pPr>
        <w:spacing w:after="0" w:line="360"/>
        <w:ind w:firstLine="709"/>
        <w:jc w:val="both"/>
      </w:pPr>
      <w:r>
        <w:rPr>
          <w:rFonts w:ascii="Arial" w:cs="Arial" w:eastAsia="Arial" w:hAnsi="Arial"/>
          <w:sz w:val="24"/>
          <w:szCs w:val="24"/>
        </w:rPr>
        <w:t xml:space="preserve">O lazer é a cultura vivida no tempo disponível, escolhida pelo próprio indivíduo e sem obrigação profissional ou doméstica (MARCELLINO, 2012, [AV]). A definição tem duas dimensões: o tempo livre e a atitude de escolha. A luderia disputa a segunda dimensão: o cliente escolhe entre ela e outras formas de passar a noite ou o fim de semana com outras pessoas.</w:t>
      </w:r>
    </w:p>
    <w:p>
      <w:pPr>
        <w:spacing w:after="0" w:line="360"/>
        <w:ind w:firstLine="709"/>
        <w:jc w:val="both"/>
      </w:pPr>
      <w:r>
        <w:rPr>
          <w:rFonts w:ascii="Arial" w:cs="Arial" w:eastAsia="Arial" w:hAnsi="Arial"/>
          <w:sz w:val="24"/>
          <w:szCs w:val="24"/>
        </w:rPr>
        <w:t xml:space="preserve">Pine e Gilmore (1999, [AV]) tratam a experiência como uma oferta econômica própria, distinta de bens e serviços: a empresa encena um acontecimento memorável, e o cliente paga pelo tempo que passa nele. Compras de experiências geram mais satisfação que compras de bens materiais (GILOVICH; KUMAR; JAMPOL, 2015). Em pesquisa com 500 adultos do Reino Unido (janeiro de 2022), 88% disseram querer que bares ofereçam uma experiência que não conseguem ter em casa; a preferência por gastar com experiências em vez de bens vai de 41% entre maiores de 55 anos a 69% entre 18 e 24 anos (KAM INSIGHT, 2022, [AV-X02-a]).</w:t>
      </w:r>
    </w:p>
    <w:p>
      <w:pPr>
        <w:spacing w:after="0" w:line="360"/>
        <w:ind w:firstLine="709"/>
        <w:jc w:val="both"/>
      </w:pPr>
      <w:r>
        <w:rPr>
          <w:rFonts w:ascii="Arial" w:cs="Arial" w:eastAsia="Arial" w:hAnsi="Arial"/>
          <w:sz w:val="24"/>
          <w:szCs w:val="24"/>
        </w:rPr>
        <w:t xml:space="preserve">A luderia vende uma ocasião social, e não o uso de um jogo. O jogo é o meio; o produto é o encontro em torno da mesa. A distinção orienta a proposta de valor (capítulo 6.1) e a leitura das ocasiões de consumo nas avaliações (capítulo 5.2).</w:t>
      </w:r>
    </w:p>
    <w:p>
      <w:pPr>
        <w:pStyle w:val="Heading1"/>
        <w:keepNext/>
        <w:spacing w:after="240" w:before="360" w:line="360"/>
      </w:pPr>
      <w:r>
        <w:rPr>
          <w:rFonts w:ascii="Arial" w:cs="Arial" w:eastAsia="Arial" w:hAnsi="Arial"/>
          <w:b/>
          <w:bCs/>
          <w:sz w:val="24"/>
          <w:szCs w:val="24"/>
        </w:rPr>
        <w:t xml:space="preserve">2.4 PÚBLICO DE JOGOS DE TABULEIRO E CARTAS</w:t>
      </w:r>
    </w:p>
    <w:p>
      <w:pPr>
        <w:spacing w:after="0" w:line="360"/>
        <w:ind w:firstLine="709"/>
        <w:jc w:val="both"/>
      </w:pPr>
      <w:r>
        <w:rPr>
          <w:rFonts w:ascii="Arial" w:cs="Arial" w:eastAsia="Arial" w:hAnsi="Arial"/>
          <w:sz w:val="24"/>
          <w:szCs w:val="24"/>
        </w:rPr>
        <w:t xml:space="preserve">O jogo de tabuleiro moderno valoriza a interação presencial. Em 17 entrevistas em profundidade com jogadores adultos, Sarpa (2016, p. 39) encontrou o jogo descrito como "valor de ligação": o elo que reúne as pessoas, mais importante que o próprio jogo. Os entrevistados opõem o tabuleiro ao jogo digital, associado a jogar sozinho durante a semana, e situam o tabuleiro no fim de semana, com amigos (SARPA, 2016, p. 40). O mesmo estudo descreve grupos que se formam em torno do jogo e grupos que se formam em eventos e lojas especializadas (SARPA, 2016, p. 45–46).</w:t>
      </w:r>
    </w:p>
    <w:p>
      <w:pPr>
        <w:spacing w:after="0" w:line="360"/>
        <w:ind w:firstLine="709"/>
        <w:jc w:val="both"/>
      </w:pPr>
      <w:r>
        <w:rPr>
          <w:rFonts w:ascii="Arial" w:cs="Arial" w:eastAsia="Arial" w:hAnsi="Arial"/>
          <w:sz w:val="24"/>
          <w:szCs w:val="24"/>
        </w:rPr>
        <w:t xml:space="preserve">O perfil quantitativo disponível no Brasil vem do Censo Ludopedia de 2020, com mais de 4 mil respostas, reunido por Figueiredo e Mantovani (2022, p. 4–5). Entre os respondentes, 39% são mulheres, 75% têm ensino superior completo, 59% jogam mais de duas vezes por mês e 35% têm mais de 50 jogos. Além disso, 70% gastam mais de R$ 100,00 por mês com o </w:t>
      </w:r>
      <w:r>
        <w:rPr>
          <w:rFonts w:ascii="Arial" w:cs="Arial" w:eastAsia="Arial" w:hAnsi="Arial"/>
          <w:i/>
          <w:iCs/>
          <w:sz w:val="24"/>
          <w:szCs w:val="24"/>
        </w:rPr>
        <w:t xml:space="preserve">hobby</w:t>
      </w:r>
      <w:r>
        <w:rPr>
          <w:rFonts w:ascii="Arial" w:cs="Arial" w:eastAsia="Arial" w:hAnsi="Arial"/>
          <w:sz w:val="24"/>
          <w:szCs w:val="24"/>
        </w:rPr>
        <w:t xml:space="preserve"> (FIGUEIREDO; MANTOVANI, 2022, p. 5). A predominância masculina é maior no exterior: Woods (2012, [AV]) registrou 96% de homens entre mais de 600 usuários do BoardGameGeek.</w:t>
      </w:r>
    </w:p>
    <w:p>
      <w:pPr>
        <w:spacing w:after="0" w:line="360"/>
        <w:ind w:firstLine="709"/>
        <w:jc w:val="both"/>
      </w:pPr>
      <w:r>
        <w:rPr>
          <w:rFonts w:ascii="Arial" w:cs="Arial" w:eastAsia="Arial" w:hAnsi="Arial"/>
          <w:sz w:val="24"/>
          <w:szCs w:val="24"/>
        </w:rPr>
        <w:t xml:space="preserve">Os dois levantamentos têm a mesma limitação: as amostras são autosselecionadas entre usuários de portais especializados. Elas descrevem o jogador engajado, dono de acervo, e não o frequentador médio de uma luderia. Por isso, o trabalho não usa esses percentuais como premissa de demanda: eles caracterizam o núcleo do mercado, e o perfil do frequentador sai das avaliações do Bloco B2 (capítulo 5.2).</w:t>
      </w:r>
    </w:p>
    <w:p>
      <w:pPr>
        <w:spacing w:after="0" w:line="360"/>
        <w:ind w:firstLine="709"/>
        <w:jc w:val="both"/>
      </w:pPr>
      <w:r>
        <w:rPr>
          <w:rFonts w:ascii="Arial" w:cs="Arial" w:eastAsia="Arial" w:hAnsi="Arial"/>
          <w:sz w:val="24"/>
          <w:szCs w:val="24"/>
        </w:rPr>
        <w:t xml:space="preserve">O preço é a barreira mais citada. No Censo Ludopedia, 57% apontam o preço elevado como a maior preocupação com os jogos fabricados no Brasil, e 72% escolhem a loja pelo preço (FIGUEIREDO; MANTOVANI, 2022, p. 4). O dado tem leitura dupla para a luderia. De um lado, o acervo do estabelecimento dá acesso a jogos que o cliente não compraria. De outro, o jogador que já tem acervo compara o gasto no bar com a compra de um jogo, que pode ser usado muitas vezes; entrevistados de Sarpa (2016, p. 41) descrevem o gasto em bar como "desperdício de dinheiro" frente a essa compra. A tensão entra na definição do couvert lúdico (capítulo 6.3).</w:t>
      </w:r>
    </w:p>
    <w:p>
      <w:pPr>
        <w:spacing w:after="0" w:line="360"/>
        <w:ind w:firstLine="709"/>
        <w:jc w:val="both"/>
      </w:pPr>
      <w:r>
        <w:rPr>
          <w:rFonts w:ascii="Arial" w:cs="Arial" w:eastAsia="Arial" w:hAnsi="Arial"/>
          <w:sz w:val="24"/>
          <w:szCs w:val="24"/>
        </w:rPr>
        <w:t xml:space="preserve">A preferência por regras simples também orienta o acervo. Entre os jogos avaliados por usuários brasileiros, mecânicas de fácil apreensão, como coleção de conjuntos e memorização, aumentam a probabilidade de sucesso do título; jogos de guerra e de cartas colecionáveis a reduzem (FIGUEIREDO; MANTOVANI, 2022, p. 12). O capítulo 6.2 cruza esse resultado com os jogos citados nas avaliações do Bloco B2.</w:t>
      </w:r>
    </w:p>
    <w:p>
      <w:pPr>
        <w:pStyle w:val="Heading1"/>
        <w:keepNext/>
        <w:spacing w:after="240" w:before="360" w:line="360"/>
      </w:pPr>
      <w:r>
        <w:rPr>
          <w:rFonts w:ascii="Arial" w:cs="Arial" w:eastAsia="Arial" w:hAnsi="Arial"/>
          <w:b/>
          <w:bCs/>
          <w:sz w:val="24"/>
          <w:szCs w:val="24"/>
        </w:rPr>
        <w:t xml:space="preserve">2.5 ESTABELECIMENTOS DE LAZER E ENTRETENIMENTO</w:t>
      </w:r>
    </w:p>
    <w:p>
      <w:pPr>
        <w:spacing w:after="0" w:line="360"/>
        <w:ind w:firstLine="709"/>
        <w:jc w:val="both"/>
      </w:pPr>
      <w:r>
        <w:rPr>
          <w:rFonts w:ascii="Arial" w:cs="Arial" w:eastAsia="Arial" w:hAnsi="Arial"/>
          <w:sz w:val="24"/>
          <w:szCs w:val="24"/>
        </w:rPr>
        <w:t xml:space="preserve">A luderia pertence ao segmento de </w:t>
      </w:r>
      <w:r>
        <w:rPr>
          <w:rFonts w:ascii="Arial" w:cs="Arial" w:eastAsia="Arial" w:hAnsi="Arial"/>
          <w:i/>
          <w:iCs/>
          <w:sz w:val="24"/>
          <w:szCs w:val="24"/>
        </w:rPr>
        <w:t xml:space="preserve">competitive socialising</w:t>
      </w:r>
      <w:r>
        <w:rPr>
          <w:rFonts w:ascii="Arial" w:cs="Arial" w:eastAsia="Arial" w:hAnsi="Arial"/>
          <w:sz w:val="24"/>
          <w:szCs w:val="24"/>
        </w:rPr>
        <w:t xml:space="preserve">: estabelecimentos que combinam uma atividade de jogo com alimentos e bebidas em uma ocasião social (KAM INSIGHT, 2022, [AV-X02-a]). No Reino Unido, as ocasiões que levam a esses locais são encontrar amigos (67%), diversão em família (59%), datas especiais (36%), a substituição de uma saída comum a bar ou restaurante (29%) e eventos de trabalho (22%). Os atributos mais exigidos são os mesmos de qualquer bar: segurança (70%), preço (69%) e qualidade da comida (63%) (KAM INSIGHT, 2022, [AV-X02-a]). O jogo diferencia o local, mas não dispensa o básico da hospitalidade.</w:t>
      </w:r>
    </w:p>
    <w:p>
      <w:pPr>
        <w:spacing w:after="0" w:line="360"/>
        <w:ind w:firstLine="709"/>
        <w:jc w:val="both"/>
      </w:pPr>
      <w:r>
        <w:rPr>
          <w:rFonts w:ascii="Arial" w:cs="Arial" w:eastAsia="Arial" w:hAnsi="Arial"/>
          <w:sz w:val="24"/>
          <w:szCs w:val="24"/>
        </w:rPr>
        <w:t xml:space="preserve">Oldenburg (1989, [AV]) chama de terceiro lugar o espaço de convívio entre a casa e o trabalho, com acesso fácil, frequentadores habituais e a conversa como atividade principal. A luderia se aproxima do conceito pela mesa compartilhada e se afasta dele pelo couvert e pela permanência longa, que reduzem a visita espontânea. O conceito orienta a leitura das avaliações sobre recorrência e sensação de pertencimento (capítulo 5.2).</w:t>
      </w:r>
    </w:p>
    <w:p>
      <w:pPr>
        <w:spacing w:after="0" w:line="360"/>
        <w:ind w:firstLine="709"/>
        <w:jc w:val="both"/>
      </w:pPr>
      <w:r>
        <w:rPr>
          <w:rFonts w:ascii="Arial" w:cs="Arial" w:eastAsia="Arial" w:hAnsi="Arial"/>
          <w:sz w:val="24"/>
          <w:szCs w:val="24"/>
        </w:rPr>
        <w:t xml:space="preserve">O ambiente físico também compõe o serviço. O </w:t>
      </w:r>
      <w:r>
        <w:rPr>
          <w:rFonts w:ascii="Arial" w:cs="Arial" w:eastAsia="Arial" w:hAnsi="Arial"/>
          <w:i/>
          <w:iCs/>
          <w:sz w:val="24"/>
          <w:szCs w:val="24"/>
        </w:rPr>
        <w:t xml:space="preserve">servicescape</w:t>
      </w:r>
      <w:r>
        <w:rPr>
          <w:rFonts w:ascii="Arial" w:cs="Arial" w:eastAsia="Arial" w:hAnsi="Arial"/>
          <w:sz w:val="24"/>
          <w:szCs w:val="24"/>
        </w:rPr>
        <w:t xml:space="preserve"> reúne as condições ambientais, o arranjo do espaço e os sinais e símbolos do local, que afetam a avaliação do cliente e o comportamento dos funcionários (ZEITHAML; BITNER; GREMLER, 2014, [AV]). Na luderia, o arranjo inclui o tamanho das mesas, a iluminação e a exposição do acervo. Ainda assim, o ambiente não é o fator de maior peso em restaurantes. Em clientes do Outback Steakhouse no Brasil, a qualidade da comida teve o maior efeito sobre a imagem do restaurante (coeficiente padronizado de 0,866), acima do serviço (0,223) e do ambiente físico (0,107); a imagem, por sua vez, determinou a satisfação (VASCONCELLOS, 2016, p. 45–47). Comida, serviço e ambiente formam as categorias da análise de conteúdo do Bloco B2, ao lado do acervo e do preço (capítulo 6.2).</w:t>
      </w:r>
    </w:p>
    <w:p>
      <w:pPr>
        <w:spacing w:after="0" w:line="360"/>
        <w:ind w:firstLine="709"/>
        <w:jc w:val="both"/>
      </w:pPr>
      <w:r>
        <w:rPr>
          <w:rFonts w:ascii="Arial" w:cs="Arial" w:eastAsia="Arial" w:hAnsi="Arial"/>
          <w:sz w:val="24"/>
          <w:szCs w:val="24"/>
        </w:rPr>
        <w:t xml:space="preserve">A capacidade de um serviço é perecível: a mesa vazia em uma hora não pode ser vendida na hora seguinte (FITZSIMMONS; FITZSIMMONS; BORDOLOI, 2014, [AV]). A receita da luderia depende, portanto, da taxa de ocupação e do giro das mesas. A lei de Little liga essas medidas: o número médio de clientes no estabelecimento é igual à taxa de chegada multiplicada pela permanência média (HILLIER; LIEBERMAN, 2013, [AV]). A relação dá consistência à contagem do Bloco B3 e ao dimensionamento da capacidade no capítulo 7.2.</w:t>
      </w:r>
    </w:p>
    <w:p>
      <w:pPr>
        <w:pStyle w:val="Heading1"/>
        <w:keepNext/>
        <w:spacing w:after="240" w:before="360" w:line="360"/>
      </w:pPr>
      <w:r>
        <w:rPr>
          <w:rFonts w:ascii="Arial" w:cs="Arial" w:eastAsia="Arial" w:hAnsi="Arial"/>
          <w:b/>
          <w:bCs/>
          <w:sz w:val="24"/>
          <w:szCs w:val="24"/>
        </w:rPr>
        <w:t xml:space="preserve">2.6 VIABILIDADE E DECISÃO SOB INCERTEZA</w:t>
      </w:r>
    </w:p>
    <w:p>
      <w:pPr>
        <w:spacing w:after="0" w:line="360"/>
        <w:ind w:firstLine="709"/>
        <w:jc w:val="both"/>
      </w:pPr>
      <w:r>
        <w:rPr>
          <w:rFonts w:ascii="Arial" w:cs="Arial" w:eastAsia="Arial" w:hAnsi="Arial"/>
          <w:sz w:val="24"/>
          <w:szCs w:val="24"/>
        </w:rPr>
        <w:t xml:space="preserve">A viabilidade econômico-financeira é medida por indicadores calculados sobre o fluxo de caixa projetado. O valor presente líquido (VPL) é a soma dos fluxos de caixa futuros descontados pela taxa mínima de atratividade (TMA), menos o investimento inicial (ASSAF NETO, 2005, [AV-R04-a]). VPL positivo indica que o projeto remunera o capital acima da TMA. A taxa interna de retorno (TIR) é a taxa que torna o VPL igual a zero; o projeto é aceito quando a TIR supera a TMA (ASSAF NETO, 2005, [AV-R04-b]).</w:t>
      </w:r>
    </w:p>
    <w:p>
      <w:pPr>
        <w:spacing w:after="0" w:line="360"/>
        <w:ind w:firstLine="709"/>
        <w:jc w:val="both"/>
      </w:pPr>
      <w:r>
        <w:rPr>
          <w:rFonts w:ascii="Arial" w:cs="Arial" w:eastAsia="Arial" w:hAnsi="Arial"/>
          <w:sz w:val="24"/>
          <w:szCs w:val="24"/>
        </w:rPr>
        <w:t xml:space="preserve">A TMA é o retorno mínimo exigido do investimento. Ela parte de uma taxa livre de risco e soma um prêmio pelo risco do projeto (BREALEY; MYERS; ALLEN, 2018, [AV]). Um negócio pequeno, de capital fechado e sem liquidez exige prêmio maior que o de uma empresa listada (DAMODARAN, 2010, [AV]). No capítulo 9, a TMA parte da Selic e do IPCA divulgados pelo Banco Central.</w:t>
      </w:r>
    </w:p>
    <w:p>
      <w:pPr>
        <w:spacing w:after="0" w:line="360"/>
        <w:ind w:firstLine="709"/>
        <w:jc w:val="both"/>
      </w:pPr>
      <w:r>
        <w:rPr>
          <w:rFonts w:ascii="Arial" w:cs="Arial" w:eastAsia="Arial" w:hAnsi="Arial"/>
          <w:sz w:val="24"/>
          <w:szCs w:val="24"/>
        </w:rPr>
        <w:t xml:space="preserve">O payback descontado é o prazo em que os fluxos descontados pela TMA recuperam o investimento inicial (ASSAF NETO, 2005, [AV-R04-c]). O ponto de equilíbrio é o volume de vendas em que a receita cobre os custos fixos e variáveis, com lucro igual a zero (BRUNI; FAMÁ, 2019, [AV]). Para a luderia, o ponto de equilíbrio se expressa em visitantes por semana, o que permite compará-lo diretamente com o fluxo estimado.</w:t>
      </w:r>
    </w:p>
    <w:p>
      <w:pPr>
        <w:spacing w:after="0" w:line="360"/>
        <w:ind w:firstLine="709"/>
        <w:jc w:val="both"/>
      </w:pPr>
      <w:r>
        <w:rPr>
          <w:rFonts w:ascii="Arial" w:cs="Arial" w:eastAsia="Arial" w:hAnsi="Arial"/>
          <w:sz w:val="24"/>
          <w:szCs w:val="24"/>
        </w:rPr>
        <w:t xml:space="preserve">Os mesmos indicadores dominam a prática. Em empresas brasileiras, o VPL foi apontado como o método mais importante por 54% dos respondentes e a TIR por 38%, com o payback simples em terceiro lugar (FREZATTI et al., 2012, p. 12). O payback simples foi mais usado que o payback ajustado pelo custo de oportunidade, o que indica descuido com o horizonte de retorno do investimento (FREZATTI et al., 2012, p. 18). O único estudo de viabilidade localizado sobre o formato, de um </w:t>
      </w:r>
      <w:r>
        <w:rPr>
          <w:rFonts w:ascii="Arial" w:cs="Arial" w:eastAsia="Arial" w:hAnsi="Arial"/>
          <w:i/>
          <w:iCs/>
          <w:sz w:val="24"/>
          <w:szCs w:val="24"/>
        </w:rPr>
        <w:t xml:space="preserve">board game café</w:t>
      </w:r>
      <w:r>
        <w:rPr>
          <w:rFonts w:ascii="Arial" w:cs="Arial" w:eastAsia="Arial" w:hAnsi="Arial"/>
          <w:sz w:val="24"/>
          <w:szCs w:val="24"/>
        </w:rPr>
        <w:t xml:space="preserve"> em Ourinhos (SP), usa esse indicador: o investimento de R$ 38.705,06 seria recuperado em três anos e cinco meses, e o negócio é declarado viável (ASAKURA; SILVA; MELLO, 2018, [AV-R50-a]). O estudo não testa a sensibilidade do resultado às premissas de receita. O trabalho usa o payback descontado e trata a incerteza de forma explícita.</w:t>
      </w:r>
    </w:p>
    <w:p>
      <w:pPr>
        <w:spacing w:after="0" w:line="360"/>
        <w:ind w:firstLine="709"/>
        <w:jc w:val="both"/>
      </w:pPr>
      <w:r>
        <w:rPr>
          <w:rFonts w:ascii="Arial" w:cs="Arial" w:eastAsia="Arial" w:hAnsi="Arial"/>
          <w:sz w:val="24"/>
          <w:szCs w:val="24"/>
        </w:rPr>
        <w:t xml:space="preserve">A incerteza é tratada por cenários e por análise de sensibilidade. Os cenários combinam valores pessimistas, prováveis e otimistas das premissas. A análise de sensibilidade varia uma premissa por vez, mantendo as demais no valor provável, e mede o efeito sobre o VPL (BRUNI, 2018, [AV]; CASAROTTO FILHO; KOPITTKE, 2020, [AV]). Ordenadas pelo efeito, as premissas formam o gráfico de tornado; as de maior impacto são as premissas críticas. O ponto de ruptura é o valor de uma premissa crítica que torna o VPL igual a zero (BRUNI, 2018, [AV]). Ele converte o resultado em condição: o negócio é viável enquanto a taxa de ocupação ficar acima de um valor determinado. Os capítulos 9.7 e 10.3 aplicam essas ferramentas.</w:t>
      </w:r>
    </w:p>
    <w:p>
      <w:pPr>
        <w:spacing w:after="0" w:line="360"/>
        <w:ind w:firstLine="709"/>
        <w:jc w:val="both"/>
      </w:pPr>
      <w:r>
        <w:rPr>
          <w:rFonts w:ascii="Arial" w:cs="Arial" w:eastAsia="Arial" w:hAnsi="Arial"/>
          <w:sz w:val="24"/>
          <w:szCs w:val="24"/>
        </w:rPr>
        <w:t xml:space="preserve">O Quadro 1 resume os conceitos do capítulo e o ponto do plano em que cada um é aplicado.</w:t>
      </w:r>
    </w:p>
    <w:p>
      <w:pPr>
        <w:keepNext/>
        <w:spacing w:after="0" w:before="240" w:line="240"/>
        <w:jc w:val="left"/>
      </w:pPr>
      <w:r>
        <w:rPr>
          <w:rFonts w:ascii="Arial" w:cs="Arial" w:eastAsia="Arial" w:hAnsi="Arial"/>
          <w:b/>
          <w:bCs/>
          <w:sz w:val="20"/>
          <w:szCs w:val="20"/>
        </w:rPr>
        <w:t xml:space="preserve">Quadro 1 — Conceitos do referencial teórico e sua aplicação no plano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67"/>
        <w:gridCol w:w="2451"/>
        <w:gridCol w:w="2453"/>
      </w:tblGrid>
      <w:tr>
        <w:trPr>
          <w:cantSplit/>
          <w:tblHeader/>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Conceito ou ferramenta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Decisão que apoia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Aplicação</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Gestão baseada em evidências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Que dado sustenta cada premissa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 3 (escala N1–N6); cap. 11.4</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Cinco forças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Há espaço para um novo concorrente?</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 5.3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PESTEL</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Que fatores externos limitam o negócio?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 5.5</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Grade ERRC</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Proposta de valor e posicionamento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 6.1</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Modelo Kano e PRC</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Que atributos não podem ser reduzidos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Caps. 6.1 e 6.2</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SWOT</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Diagnóstico estratégico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 10.1</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Economia da experiência; </w:t>
            </w:r>
            <w:r>
              <w:rPr>
                <w:rFonts w:ascii="Arial" w:cs="Arial" w:eastAsia="Arial" w:hAnsi="Arial"/>
                <w:b w:val="false"/>
                <w:bCs w:val="false"/>
                <w:i/>
                <w:iCs/>
                <w:sz w:val="20"/>
                <w:szCs w:val="20"/>
              </w:rPr>
              <w:t xml:space="preserve">competitive socialising</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 ocasião social como produto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Caps. 5.2 e 6.1</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Perfil do jogador; barreira de preço</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Acervo e couvert lúdico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Caps. 5.2, 6.2 e 6.3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Terceiro lugar; </w:t>
            </w:r>
            <w:r>
              <w:rPr>
                <w:rFonts w:ascii="Arial" w:cs="Arial" w:eastAsia="Arial" w:hAnsi="Arial"/>
                <w:b w:val="false"/>
                <w:bCs w:val="false"/>
                <w:i/>
                <w:iCs/>
                <w:sz w:val="20"/>
                <w:szCs w:val="20"/>
              </w:rPr>
              <w:t xml:space="preserve">servicescape</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Ambiente e recorrência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Caps. 5.2 e 7.1</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Capacidade e lei de Little</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Mesas, giro e equipe</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Caps. 7.2 e 9.2</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VPL, TIR, payback descontado, ponto de equilíbrio</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Investir ou não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 9.6</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Cenários, tornado e ponto de ruptura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Sob quais condições o negócio se sustenta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Caps. 9.7 e 10.3</w:t>
            </w:r>
          </w:p>
        </w:tc>
      </w:tr>
    </w:tbl>
    <w:p>
      <w:pPr>
        <w:keepNext w:val="false"/>
        <w:spacing w:after="240" w:before="0" w:line="240"/>
        <w:jc w:val="left"/>
      </w:pPr>
      <w:r>
        <w:rPr>
          <w:rFonts w:ascii="Arial" w:cs="Arial" w:eastAsia="Arial" w:hAnsi="Arial"/>
          <w:sz w:val="20"/>
          <w:szCs w:val="20"/>
        </w:rPr>
        <w:t xml:space="preserve">Fonte: elaborado pelo autor.</w:t>
      </w:r>
    </w:p>
    <w:p>
      <w:pPr>
        <w:spacing w:after="0" w:line="360"/>
        <w:ind w:firstLine="709"/>
        <w:jc w:val="both"/>
      </w:pPr>
      <w:r>
        <w:rPr>
          <w:rFonts w:ascii="Arial" w:cs="Arial" w:eastAsia="Arial" w:hAnsi="Arial"/>
          <w:b/>
          <w:bCs/>
          <w:sz w:val="24"/>
          <w:szCs w:val="24"/>
        </w:rPr>
        <w:t xml:space="preserve">Referências citadas neste capítulo</w:t>
      </w:r>
    </w:p>
    <w:p>
      <w:pPr>
        <w:spacing w:after="0" w:line="360"/>
        <w:ind w:firstLine="709"/>
        <w:jc w:val="both"/>
      </w:pPr>
      <w:r>
        <w:rPr>
          <w:rFonts w:ascii="Arial" w:cs="Arial" w:eastAsia="Arial" w:hAnsi="Arial"/>
          <w:sz w:val="24"/>
          <w:szCs w:val="24"/>
        </w:rPr>
        <w:t xml:space="preserve">ASAKURA, P. N.; SILVA, A. R. da; MELLO, D. A. Estudo de viabilidade econômica de um boardgame café no município de Ourinhos/SP. </w:t>
      </w:r>
      <w:r>
        <w:rPr>
          <w:rFonts w:ascii="Arial" w:cs="Arial" w:eastAsia="Arial" w:hAnsi="Arial"/>
          <w:i/>
          <w:iCs/>
          <w:sz w:val="24"/>
          <w:szCs w:val="24"/>
        </w:rPr>
        <w:t xml:space="preserve">Anais do CIC - FIO</w:t>
      </w:r>
      <w:r>
        <w:rPr>
          <w:rFonts w:ascii="Arial" w:cs="Arial" w:eastAsia="Arial" w:hAnsi="Arial"/>
          <w:sz w:val="24"/>
          <w:szCs w:val="24"/>
        </w:rPr>
        <w:t xml:space="preserve">, Ourinhos, 2018. Disponível em: http://www.cic.fio.edu.br/anaisCIC/anais2018/pdf/05_01.pdf. [AV]</w:t>
      </w:r>
    </w:p>
    <w:p>
      <w:pPr>
        <w:spacing w:after="0" w:line="360"/>
        <w:ind w:firstLine="709"/>
        <w:jc w:val="both"/>
      </w:pPr>
      <w:r>
        <w:rPr>
          <w:rFonts w:ascii="Arial" w:cs="Arial" w:eastAsia="Arial" w:hAnsi="Arial"/>
          <w:sz w:val="24"/>
          <w:szCs w:val="24"/>
        </w:rPr>
        <w:t xml:space="preserve">ASSAF NETO, Alexandre. </w:t>
      </w:r>
      <w:r>
        <w:rPr>
          <w:rFonts w:ascii="Arial" w:cs="Arial" w:eastAsia="Arial" w:hAnsi="Arial"/>
          <w:i/>
          <w:iCs/>
          <w:sz w:val="24"/>
          <w:szCs w:val="24"/>
        </w:rPr>
        <w:t xml:space="preserve">Finanças corporativas e valor</w:t>
      </w:r>
      <w:r>
        <w:rPr>
          <w:rFonts w:ascii="Arial" w:cs="Arial" w:eastAsia="Arial" w:hAnsi="Arial"/>
          <w:sz w:val="24"/>
          <w:szCs w:val="24"/>
        </w:rPr>
        <w:t xml:space="preserve">. São Paulo: Atlas, 2005. [AV]</w:t>
      </w:r>
    </w:p>
    <w:p>
      <w:pPr>
        <w:spacing w:after="0" w:line="360"/>
        <w:ind w:firstLine="709"/>
        <w:jc w:val="both"/>
      </w:pPr>
      <w:r>
        <w:rPr>
          <w:rFonts w:ascii="Arial" w:cs="Arial" w:eastAsia="Arial" w:hAnsi="Arial"/>
          <w:sz w:val="24"/>
          <w:szCs w:val="24"/>
        </w:rPr>
        <w:t xml:space="preserve">BREALEY, Richard A.; MYERS, Stewart C.; ALLEN, Franklin. </w:t>
      </w:r>
      <w:r>
        <w:rPr>
          <w:rFonts w:ascii="Arial" w:cs="Arial" w:eastAsia="Arial" w:hAnsi="Arial"/>
          <w:i/>
          <w:iCs/>
          <w:sz w:val="24"/>
          <w:szCs w:val="24"/>
        </w:rPr>
        <w:t xml:space="preserve">Princípios de finanças corporativas</w:t>
      </w:r>
      <w:r>
        <w:rPr>
          <w:rFonts w:ascii="Arial" w:cs="Arial" w:eastAsia="Arial" w:hAnsi="Arial"/>
          <w:sz w:val="24"/>
          <w:szCs w:val="24"/>
        </w:rPr>
        <w:t xml:space="preserve">. 12. ed. Porto Alegre: AMGH, 2018. [AV]</w:t>
      </w:r>
    </w:p>
    <w:p>
      <w:pPr>
        <w:spacing w:after="0" w:line="360"/>
        <w:ind w:firstLine="709"/>
        <w:jc w:val="both"/>
      </w:pPr>
      <w:r>
        <w:rPr>
          <w:rFonts w:ascii="Arial" w:cs="Arial" w:eastAsia="Arial" w:hAnsi="Arial"/>
          <w:sz w:val="24"/>
          <w:szCs w:val="24"/>
        </w:rPr>
        <w:t xml:space="preserve">BRUNI, Adriano Leal. </w:t>
      </w:r>
      <w:r>
        <w:rPr>
          <w:rFonts w:ascii="Arial" w:cs="Arial" w:eastAsia="Arial" w:hAnsi="Arial"/>
          <w:i/>
          <w:iCs/>
          <w:sz w:val="24"/>
          <w:szCs w:val="24"/>
        </w:rPr>
        <w:t xml:space="preserve">Avaliação de investimentos</w:t>
      </w:r>
      <w:r>
        <w:rPr>
          <w:rFonts w:ascii="Arial" w:cs="Arial" w:eastAsia="Arial" w:hAnsi="Arial"/>
          <w:sz w:val="24"/>
          <w:szCs w:val="24"/>
        </w:rPr>
        <w:t xml:space="preserve">. 3. ed. São Paulo: Atlas, 2018. [AV]</w:t>
      </w:r>
    </w:p>
    <w:p>
      <w:pPr>
        <w:spacing w:after="0" w:line="360"/>
        <w:ind w:firstLine="709"/>
        <w:jc w:val="both"/>
      </w:pPr>
      <w:r>
        <w:rPr>
          <w:rFonts w:ascii="Arial" w:cs="Arial" w:eastAsia="Arial" w:hAnsi="Arial"/>
          <w:sz w:val="24"/>
          <w:szCs w:val="24"/>
        </w:rPr>
        <w:t xml:space="preserve">BRUNI, Adriano Leal; FAMÁ, Rubens. </w:t>
      </w:r>
      <w:r>
        <w:rPr>
          <w:rFonts w:ascii="Arial" w:cs="Arial" w:eastAsia="Arial" w:hAnsi="Arial"/>
          <w:i/>
          <w:iCs/>
          <w:sz w:val="24"/>
          <w:szCs w:val="24"/>
        </w:rPr>
        <w:t xml:space="preserve">Gestão de custos e formação de preços</w:t>
      </w:r>
      <w:r>
        <w:rPr>
          <w:rFonts w:ascii="Arial" w:cs="Arial" w:eastAsia="Arial" w:hAnsi="Arial"/>
          <w:sz w:val="24"/>
          <w:szCs w:val="24"/>
        </w:rPr>
        <w:t xml:space="preserve">. 7. ed. São Paulo: Atlas, 2019. [AV]</w:t>
      </w:r>
    </w:p>
    <w:p>
      <w:pPr>
        <w:spacing w:after="0" w:line="360"/>
        <w:ind w:firstLine="709"/>
        <w:jc w:val="both"/>
      </w:pPr>
      <w:r>
        <w:rPr>
          <w:rFonts w:ascii="Arial" w:cs="Arial" w:eastAsia="Arial" w:hAnsi="Arial"/>
          <w:sz w:val="24"/>
          <w:szCs w:val="24"/>
        </w:rPr>
        <w:t xml:space="preserve">CASAROTTO FILHO, Nelson; KOPITTKE, Bruno Hartmut. </w:t>
      </w:r>
      <w:r>
        <w:rPr>
          <w:rFonts w:ascii="Arial" w:cs="Arial" w:eastAsia="Arial" w:hAnsi="Arial"/>
          <w:i/>
          <w:iCs/>
          <w:sz w:val="24"/>
          <w:szCs w:val="24"/>
        </w:rPr>
        <w:t xml:space="preserve">Análise de investimentos</w:t>
      </w:r>
      <w:r>
        <w:rPr>
          <w:rFonts w:ascii="Arial" w:cs="Arial" w:eastAsia="Arial" w:hAnsi="Arial"/>
          <w:sz w:val="24"/>
          <w:szCs w:val="24"/>
        </w:rPr>
        <w:t xml:space="preserve">. 12. ed. São Paulo: Atlas, 2020. [AV]</w:t>
      </w:r>
    </w:p>
    <w:p>
      <w:pPr>
        <w:spacing w:after="0" w:line="360"/>
        <w:ind w:firstLine="709"/>
        <w:jc w:val="both"/>
      </w:pPr>
      <w:r>
        <w:rPr>
          <w:rFonts w:ascii="Arial" w:cs="Arial" w:eastAsia="Arial" w:hAnsi="Arial"/>
          <w:sz w:val="24"/>
          <w:szCs w:val="24"/>
        </w:rPr>
        <w:t xml:space="preserve">DAMODARAN, Aswath. </w:t>
      </w:r>
      <w:r>
        <w:rPr>
          <w:rFonts w:ascii="Arial" w:cs="Arial" w:eastAsia="Arial" w:hAnsi="Arial"/>
          <w:i/>
          <w:iCs/>
          <w:sz w:val="24"/>
          <w:szCs w:val="24"/>
        </w:rPr>
        <w:t xml:space="preserve">Avaliação de investimentos</w:t>
      </w:r>
      <w:r>
        <w:rPr>
          <w:rFonts w:ascii="Arial" w:cs="Arial" w:eastAsia="Arial" w:hAnsi="Arial"/>
          <w:sz w:val="24"/>
          <w:szCs w:val="24"/>
        </w:rPr>
        <w:t xml:space="preserve">: ferramentas e técnicas para a determinação do valor de qualquer ativo. 2. ed. Rio de Janeiro: Qualitymark, 2010. [AV]</w:t>
      </w:r>
    </w:p>
    <w:p>
      <w:pPr>
        <w:spacing w:after="0" w:line="360"/>
        <w:ind w:firstLine="709"/>
        <w:jc w:val="both"/>
      </w:pPr>
      <w:r>
        <w:rPr>
          <w:rFonts w:ascii="Arial" w:cs="Arial" w:eastAsia="Arial" w:hAnsi="Arial"/>
          <w:sz w:val="24"/>
          <w:szCs w:val="24"/>
        </w:rPr>
        <w:t xml:space="preserve">DORNELAS, José. </w:t>
      </w:r>
      <w:r>
        <w:rPr>
          <w:rFonts w:ascii="Arial" w:cs="Arial" w:eastAsia="Arial" w:hAnsi="Arial"/>
          <w:i/>
          <w:iCs/>
          <w:sz w:val="24"/>
          <w:szCs w:val="24"/>
        </w:rPr>
        <w:t xml:space="preserve">Plano de negócios</w:t>
      </w:r>
      <w:r>
        <w:rPr>
          <w:rFonts w:ascii="Arial" w:cs="Arial" w:eastAsia="Arial" w:hAnsi="Arial"/>
          <w:sz w:val="24"/>
          <w:szCs w:val="24"/>
        </w:rPr>
        <w:t xml:space="preserve">: seu guia definitivo. 3. ed. São Paulo: Empreende, 2021. [AV]</w:t>
      </w:r>
    </w:p>
    <w:p>
      <w:pPr>
        <w:spacing w:after="0" w:line="360"/>
        <w:ind w:firstLine="709"/>
        <w:jc w:val="both"/>
      </w:pPr>
      <w:r>
        <w:rPr>
          <w:rFonts w:ascii="Arial" w:cs="Arial" w:eastAsia="Arial" w:hAnsi="Arial"/>
          <w:sz w:val="24"/>
          <w:szCs w:val="24"/>
        </w:rPr>
        <w:t xml:space="preserve">FIGUEIREDO, Américo Rodrigues de. Gestão baseada em evidências. </w:t>
      </w:r>
      <w:r>
        <w:rPr>
          <w:rFonts w:ascii="Arial" w:cs="Arial" w:eastAsia="Arial" w:hAnsi="Arial"/>
          <w:i/>
          <w:iCs/>
          <w:sz w:val="24"/>
          <w:szCs w:val="24"/>
        </w:rPr>
        <w:t xml:space="preserve">GV-executivo</w:t>
      </w:r>
      <w:r>
        <w:rPr>
          <w:rFonts w:ascii="Arial" w:cs="Arial" w:eastAsia="Arial" w:hAnsi="Arial"/>
          <w:sz w:val="24"/>
          <w:szCs w:val="24"/>
        </w:rPr>
        <w:t xml:space="preserve">, São Paulo, v. 19, n. 1, p. 30–32, jan./fev. 2020.</w:t>
      </w:r>
    </w:p>
    <w:p>
      <w:pPr>
        <w:spacing w:after="0" w:line="360"/>
        <w:ind w:firstLine="709"/>
        <w:jc w:val="both"/>
      </w:pPr>
      <w:r>
        <w:rPr>
          <w:rFonts w:ascii="Arial" w:cs="Arial" w:eastAsia="Arial" w:hAnsi="Arial"/>
          <w:sz w:val="24"/>
          <w:szCs w:val="24"/>
        </w:rPr>
        <w:t xml:space="preserve">FIGUEIREDO, Caio Moretti de; MANTOVANI, Daielly Melina Nassif. Jogos de tabuleiro modernos e o consumidor brasileiro: uma análise das características desejáveis no produto via modelos estatístico-preditivos. In: SEMINÁRIOS EM ADMINISTRAÇÃO, 25., 2022, São Paulo. </w:t>
      </w:r>
      <w:r>
        <w:rPr>
          <w:rFonts w:ascii="Arial" w:cs="Arial" w:eastAsia="Arial" w:hAnsi="Arial"/>
          <w:i/>
          <w:iCs/>
          <w:sz w:val="24"/>
          <w:szCs w:val="24"/>
        </w:rPr>
        <w:t xml:space="preserve">Anais</w:t>
      </w:r>
      <w:r>
        <w:rPr>
          <w:rFonts w:ascii="Arial" w:cs="Arial" w:eastAsia="Arial" w:hAnsi="Arial"/>
          <w:sz w:val="24"/>
          <w:szCs w:val="24"/>
        </w:rPr>
        <w:t xml:space="preserve"> [...]. São Paulo: FEA-USP, 2022. Disponível em: https://login.semead.com.br/25semead/anais/arquivos/1057.pdf. [AV: data de acesso]</w:t>
      </w:r>
    </w:p>
    <w:p>
      <w:pPr>
        <w:spacing w:after="0" w:line="360"/>
        <w:ind w:firstLine="709"/>
        <w:jc w:val="both"/>
      </w:pPr>
      <w:r>
        <w:rPr>
          <w:rFonts w:ascii="Arial" w:cs="Arial" w:eastAsia="Arial" w:hAnsi="Arial"/>
          <w:sz w:val="24"/>
          <w:szCs w:val="24"/>
        </w:rPr>
        <w:t xml:space="preserve">FITZSIMMONS, James A.; FITZSIMMONS, Mona J.; BORDOLOI, Sanjeev K. </w:t>
      </w:r>
      <w:r>
        <w:rPr>
          <w:rFonts w:ascii="Arial" w:cs="Arial" w:eastAsia="Arial" w:hAnsi="Arial"/>
          <w:i/>
          <w:iCs/>
          <w:sz w:val="24"/>
          <w:szCs w:val="24"/>
        </w:rPr>
        <w:t xml:space="preserve">Administração de serviços</w:t>
      </w:r>
      <w:r>
        <w:rPr>
          <w:rFonts w:ascii="Arial" w:cs="Arial" w:eastAsia="Arial" w:hAnsi="Arial"/>
          <w:sz w:val="24"/>
          <w:szCs w:val="24"/>
        </w:rPr>
        <w:t xml:space="preserve">: operações, estratégia e tecnologia da informação. 8. ed. Porto Alegre: AMGH, 2014. [AV]</w:t>
      </w:r>
    </w:p>
    <w:p>
      <w:pPr>
        <w:spacing w:after="0" w:line="360"/>
        <w:ind w:firstLine="709"/>
        <w:jc w:val="both"/>
      </w:pPr>
      <w:r>
        <w:rPr>
          <w:rFonts w:ascii="Arial" w:cs="Arial" w:eastAsia="Arial" w:hAnsi="Arial"/>
          <w:sz w:val="24"/>
          <w:szCs w:val="24"/>
        </w:rPr>
        <w:t xml:space="preserve">FREZATTI, Fábio; BIDO, Diógenes de Souza; CRUZ, Ana Paula Capuano da; BARROSO, Marcelo Francini Girão; MACHADO, Maria José de Camargo. Decisões de investimento em ativos de longo prazo nas empresas brasileiras: qual a aderência ao modelo teórico? </w:t>
      </w:r>
      <w:r>
        <w:rPr>
          <w:rFonts w:ascii="Arial" w:cs="Arial" w:eastAsia="Arial" w:hAnsi="Arial"/>
          <w:i/>
          <w:iCs/>
          <w:sz w:val="24"/>
          <w:szCs w:val="24"/>
        </w:rPr>
        <w:t xml:space="preserve">Revista de Administração Contemporânea</w:t>
      </w:r>
      <w:r>
        <w:rPr>
          <w:rFonts w:ascii="Arial" w:cs="Arial" w:eastAsia="Arial" w:hAnsi="Arial"/>
          <w:sz w:val="24"/>
          <w:szCs w:val="24"/>
        </w:rPr>
        <w:t xml:space="preserve">, Curitiba, v. 16, n. 1, p. 1–22, jan./fev. 2012.</w:t>
      </w:r>
    </w:p>
    <w:p>
      <w:pPr>
        <w:spacing w:after="0" w:line="360"/>
        <w:ind w:firstLine="709"/>
        <w:jc w:val="both"/>
      </w:pPr>
      <w:r>
        <w:rPr>
          <w:rFonts w:ascii="Arial" w:cs="Arial" w:eastAsia="Arial" w:hAnsi="Arial"/>
          <w:sz w:val="24"/>
          <w:szCs w:val="24"/>
        </w:rPr>
        <w:t xml:space="preserve">GILOVICH, Thomas; KUMAR, Amit; JAMPOL, Lily. A wonderful life: experiential consumption and the pursuit of happiness. </w:t>
      </w:r>
      <w:r>
        <w:rPr>
          <w:rFonts w:ascii="Arial" w:cs="Arial" w:eastAsia="Arial" w:hAnsi="Arial"/>
          <w:i/>
          <w:iCs/>
          <w:sz w:val="24"/>
          <w:szCs w:val="24"/>
        </w:rPr>
        <w:t xml:space="preserve">Journal of Consumer Psychology</w:t>
      </w:r>
      <w:r>
        <w:rPr>
          <w:rFonts w:ascii="Arial" w:cs="Arial" w:eastAsia="Arial" w:hAnsi="Arial"/>
          <w:sz w:val="24"/>
          <w:szCs w:val="24"/>
        </w:rPr>
        <w:t xml:space="preserve">, v. 25, n. 1, p. 152–165, 2015. DOI: 10.1016/j.jcps.2014.08.004.</w:t>
      </w:r>
    </w:p>
    <w:p>
      <w:pPr>
        <w:spacing w:after="0" w:line="360"/>
        <w:ind w:firstLine="709"/>
        <w:jc w:val="both"/>
      </w:pPr>
      <w:r>
        <w:rPr>
          <w:rFonts w:ascii="Arial" w:cs="Arial" w:eastAsia="Arial" w:hAnsi="Arial"/>
          <w:sz w:val="24"/>
          <w:szCs w:val="24"/>
        </w:rPr>
        <w:t xml:space="preserve">HILLIER, Frederick S.; LIEBERMAN, Gerald J. </w:t>
      </w:r>
      <w:r>
        <w:rPr>
          <w:rFonts w:ascii="Arial" w:cs="Arial" w:eastAsia="Arial" w:hAnsi="Arial"/>
          <w:i/>
          <w:iCs/>
          <w:sz w:val="24"/>
          <w:szCs w:val="24"/>
        </w:rPr>
        <w:t xml:space="preserve">Introdução à pesquisa operacional</w:t>
      </w:r>
      <w:r>
        <w:rPr>
          <w:rFonts w:ascii="Arial" w:cs="Arial" w:eastAsia="Arial" w:hAnsi="Arial"/>
          <w:sz w:val="24"/>
          <w:szCs w:val="24"/>
        </w:rPr>
        <w:t xml:space="preserve">. 9. ed. Porto Alegre: AMGH, 2013. [AV]</w:t>
      </w:r>
    </w:p>
    <w:p>
      <w:pPr>
        <w:spacing w:after="0" w:line="360"/>
        <w:ind w:firstLine="709"/>
        <w:jc w:val="both"/>
      </w:pPr>
      <w:r>
        <w:rPr>
          <w:rFonts w:ascii="Arial" w:cs="Arial" w:eastAsia="Arial" w:hAnsi="Arial"/>
          <w:sz w:val="24"/>
          <w:szCs w:val="24"/>
        </w:rPr>
        <w:t xml:space="preserve">KAM INSIGHT. </w:t>
      </w:r>
      <w:r>
        <w:rPr>
          <w:rFonts w:ascii="Arial" w:cs="Arial" w:eastAsia="Arial" w:hAnsi="Arial"/>
          <w:i/>
          <w:iCs/>
          <w:sz w:val="24"/>
          <w:szCs w:val="24"/>
        </w:rPr>
        <w:t xml:space="preserve">Competitive socialising</w:t>
      </w:r>
      <w:r>
        <w:rPr>
          <w:rFonts w:ascii="Arial" w:cs="Arial" w:eastAsia="Arial" w:hAnsi="Arial"/>
          <w:sz w:val="24"/>
          <w:szCs w:val="24"/>
        </w:rPr>
        <w:t xml:space="preserve">: winning a new customer occasion. KAM Media, 2022. Disponível em: https://kaminsight.com/wp-content/uploads/sites/2044/2023/07/KAM-Competitive-Socialising-Feb-22.pdf. [AV: data de acesso]</w:t>
      </w:r>
    </w:p>
    <w:p>
      <w:pPr>
        <w:spacing w:after="0" w:line="360"/>
        <w:ind w:firstLine="709"/>
        <w:jc w:val="both"/>
      </w:pPr>
      <w:r>
        <w:rPr>
          <w:rFonts w:ascii="Arial" w:cs="Arial" w:eastAsia="Arial" w:hAnsi="Arial"/>
          <w:sz w:val="24"/>
          <w:szCs w:val="24"/>
        </w:rPr>
        <w:t xml:space="preserve">KIM, W. Chan; MAUBORGNE, Renée. </w:t>
      </w:r>
      <w:r>
        <w:rPr>
          <w:rFonts w:ascii="Arial" w:cs="Arial" w:eastAsia="Arial" w:hAnsi="Arial"/>
          <w:i/>
          <w:iCs/>
          <w:sz w:val="24"/>
          <w:szCs w:val="24"/>
        </w:rPr>
        <w:t xml:space="preserve">A estratégia do oceano azul</w:t>
      </w:r>
      <w:r>
        <w:rPr>
          <w:rFonts w:ascii="Arial" w:cs="Arial" w:eastAsia="Arial" w:hAnsi="Arial"/>
          <w:sz w:val="24"/>
          <w:szCs w:val="24"/>
        </w:rPr>
        <w:t xml:space="preserve">: como criar novos mercados e tornar a concorrência irrelevante. Rio de Janeiro: Elsevier, 2005. [AV]</w:t>
      </w:r>
    </w:p>
    <w:p>
      <w:pPr>
        <w:spacing w:after="0" w:line="360"/>
        <w:ind w:firstLine="709"/>
        <w:jc w:val="both"/>
      </w:pPr>
      <w:r>
        <w:rPr>
          <w:rFonts w:ascii="Arial" w:cs="Arial" w:eastAsia="Arial" w:hAnsi="Arial"/>
          <w:sz w:val="24"/>
          <w:szCs w:val="24"/>
        </w:rPr>
        <w:t xml:space="preserve">KOTLER, Philip; KELLER, Kevin Lane. </w:t>
      </w:r>
      <w:r>
        <w:rPr>
          <w:rFonts w:ascii="Arial" w:cs="Arial" w:eastAsia="Arial" w:hAnsi="Arial"/>
          <w:i/>
          <w:iCs/>
          <w:sz w:val="24"/>
          <w:szCs w:val="24"/>
        </w:rPr>
        <w:t xml:space="preserve">Administração de marketing</w:t>
      </w:r>
      <w:r>
        <w:rPr>
          <w:rFonts w:ascii="Arial" w:cs="Arial" w:eastAsia="Arial" w:hAnsi="Arial"/>
          <w:sz w:val="24"/>
          <w:szCs w:val="24"/>
        </w:rPr>
        <w:t xml:space="preserve">. 14. ed. São Paulo: Pearson, 2012. [AV]</w:t>
      </w:r>
    </w:p>
    <w:p>
      <w:pPr>
        <w:spacing w:after="0" w:line="360"/>
        <w:ind w:firstLine="709"/>
        <w:jc w:val="both"/>
      </w:pPr>
      <w:r>
        <w:rPr>
          <w:rFonts w:ascii="Arial" w:cs="Arial" w:eastAsia="Arial" w:hAnsi="Arial"/>
          <w:sz w:val="24"/>
          <w:szCs w:val="24"/>
        </w:rPr>
        <w:t xml:space="preserve">MARCELLINO, Nelson Carvalho. </w:t>
      </w:r>
      <w:r>
        <w:rPr>
          <w:rFonts w:ascii="Arial" w:cs="Arial" w:eastAsia="Arial" w:hAnsi="Arial"/>
          <w:i/>
          <w:iCs/>
          <w:sz w:val="24"/>
          <w:szCs w:val="24"/>
        </w:rPr>
        <w:t xml:space="preserve">Estudos do lazer</w:t>
      </w:r>
      <w:r>
        <w:rPr>
          <w:rFonts w:ascii="Arial" w:cs="Arial" w:eastAsia="Arial" w:hAnsi="Arial"/>
          <w:sz w:val="24"/>
          <w:szCs w:val="24"/>
        </w:rPr>
        <w:t xml:space="preserve">: uma introdução. 5. ed. Campinas: Autores Associados, 2012. [AV]</w:t>
      </w:r>
    </w:p>
    <w:p>
      <w:pPr>
        <w:spacing w:after="0" w:line="360"/>
        <w:ind w:firstLine="709"/>
        <w:jc w:val="both"/>
      </w:pPr>
      <w:r>
        <w:rPr>
          <w:rFonts w:ascii="Arial" w:cs="Arial" w:eastAsia="Arial" w:hAnsi="Arial"/>
          <w:sz w:val="24"/>
          <w:szCs w:val="24"/>
        </w:rPr>
        <w:t xml:space="preserve">MINTZBERG, Henry; AHLSTRAND, Bruce; LAMPEL, Joseph. </w:t>
      </w:r>
      <w:r>
        <w:rPr>
          <w:rFonts w:ascii="Arial" w:cs="Arial" w:eastAsia="Arial" w:hAnsi="Arial"/>
          <w:i/>
          <w:iCs/>
          <w:sz w:val="24"/>
          <w:szCs w:val="24"/>
        </w:rPr>
        <w:t xml:space="preserve">Safári de estratégia</w:t>
      </w:r>
      <w:r>
        <w:rPr>
          <w:rFonts w:ascii="Arial" w:cs="Arial" w:eastAsia="Arial" w:hAnsi="Arial"/>
          <w:sz w:val="24"/>
          <w:szCs w:val="24"/>
        </w:rPr>
        <w:t xml:space="preserve">. 2. ed. Porto Alegre: Bookman, 2010. [AV]</w:t>
      </w:r>
    </w:p>
    <w:p>
      <w:pPr>
        <w:spacing w:after="0" w:line="360"/>
        <w:ind w:firstLine="709"/>
        <w:jc w:val="both"/>
      </w:pPr>
      <w:r>
        <w:rPr>
          <w:rFonts w:ascii="Arial" w:cs="Arial" w:eastAsia="Arial" w:hAnsi="Arial"/>
          <w:sz w:val="24"/>
          <w:szCs w:val="24"/>
        </w:rPr>
        <w:t xml:space="preserve">OLDENBURG, Ray. </w:t>
      </w:r>
      <w:r>
        <w:rPr>
          <w:rFonts w:ascii="Arial" w:cs="Arial" w:eastAsia="Arial" w:hAnsi="Arial"/>
          <w:i/>
          <w:iCs/>
          <w:sz w:val="24"/>
          <w:szCs w:val="24"/>
        </w:rPr>
        <w:t xml:space="preserve">The great good place</w:t>
      </w:r>
      <w:r>
        <w:rPr>
          <w:rFonts w:ascii="Arial" w:cs="Arial" w:eastAsia="Arial" w:hAnsi="Arial"/>
          <w:sz w:val="24"/>
          <w:szCs w:val="24"/>
        </w:rPr>
        <w:t xml:space="preserve">. New York: Paragon House, 1989. [AV]</w:t>
      </w:r>
    </w:p>
    <w:p>
      <w:pPr>
        <w:spacing w:after="0" w:line="360"/>
        <w:ind w:firstLine="709"/>
        <w:jc w:val="both"/>
      </w:pPr>
      <w:r>
        <w:rPr>
          <w:rFonts w:ascii="Arial" w:cs="Arial" w:eastAsia="Arial" w:hAnsi="Arial"/>
          <w:sz w:val="24"/>
          <w:szCs w:val="24"/>
        </w:rPr>
        <w:t xml:space="preserve">PFEFFER, Jeffrey; SUTTON, Robert I. </w:t>
      </w:r>
      <w:r>
        <w:rPr>
          <w:rFonts w:ascii="Arial" w:cs="Arial" w:eastAsia="Arial" w:hAnsi="Arial"/>
          <w:i/>
          <w:iCs/>
          <w:sz w:val="24"/>
          <w:szCs w:val="24"/>
        </w:rPr>
        <w:t xml:space="preserve">A verdade dos fatos</w:t>
      </w:r>
      <w:r>
        <w:rPr>
          <w:rFonts w:ascii="Arial" w:cs="Arial" w:eastAsia="Arial" w:hAnsi="Arial"/>
          <w:sz w:val="24"/>
          <w:szCs w:val="24"/>
        </w:rPr>
        <w:t xml:space="preserve">: gerenciamento baseado em evidências. Rio de Janeiro: Campus/Elsevier, 2006. [AV]</w:t>
      </w:r>
    </w:p>
    <w:p>
      <w:pPr>
        <w:spacing w:after="0" w:line="360"/>
        <w:ind w:firstLine="709"/>
        <w:jc w:val="both"/>
      </w:pPr>
      <w:r>
        <w:rPr>
          <w:rFonts w:ascii="Arial" w:cs="Arial" w:eastAsia="Arial" w:hAnsi="Arial"/>
          <w:sz w:val="24"/>
          <w:szCs w:val="24"/>
        </w:rPr>
        <w:t xml:space="preserve">PICOLO, Jaime Dagostim; TONTINI, Gérson. Análise do contraste da penalidade e da recompensa (PRC): identificando oportunidades de melhoria em um serviço. </w:t>
      </w:r>
      <w:r>
        <w:rPr>
          <w:rFonts w:ascii="Arial" w:cs="Arial" w:eastAsia="Arial" w:hAnsi="Arial"/>
          <w:i/>
          <w:iCs/>
          <w:sz w:val="24"/>
          <w:szCs w:val="24"/>
        </w:rPr>
        <w:t xml:space="preserve">RAM – Revista de Administração Mackenzie</w:t>
      </w:r>
      <w:r>
        <w:rPr>
          <w:rFonts w:ascii="Arial" w:cs="Arial" w:eastAsia="Arial" w:hAnsi="Arial"/>
          <w:sz w:val="24"/>
          <w:szCs w:val="24"/>
        </w:rPr>
        <w:t xml:space="preserve">, São Paulo, v. 9, n. 5, p. 35–58, 2008.</w:t>
      </w:r>
    </w:p>
    <w:p>
      <w:pPr>
        <w:spacing w:after="0" w:line="360"/>
        <w:ind w:firstLine="709"/>
        <w:jc w:val="both"/>
      </w:pPr>
      <w:r>
        <w:rPr>
          <w:rFonts w:ascii="Arial" w:cs="Arial" w:eastAsia="Arial" w:hAnsi="Arial"/>
          <w:sz w:val="24"/>
          <w:szCs w:val="24"/>
        </w:rPr>
        <w:t xml:space="preserve">PINE, B. Joseph; GILMORE, James H. </w:t>
      </w:r>
      <w:r>
        <w:rPr>
          <w:rFonts w:ascii="Arial" w:cs="Arial" w:eastAsia="Arial" w:hAnsi="Arial"/>
          <w:i/>
          <w:iCs/>
          <w:sz w:val="24"/>
          <w:szCs w:val="24"/>
        </w:rPr>
        <w:t xml:space="preserve">O espetáculo dos negócios</w:t>
      </w:r>
      <w:r>
        <w:rPr>
          <w:rFonts w:ascii="Arial" w:cs="Arial" w:eastAsia="Arial" w:hAnsi="Arial"/>
          <w:sz w:val="24"/>
          <w:szCs w:val="24"/>
        </w:rPr>
        <w:t xml:space="preserve">. Rio de Janeiro: Campus, 1999. [AV]</w:t>
      </w:r>
    </w:p>
    <w:p>
      <w:pPr>
        <w:spacing w:after="0" w:line="360"/>
        <w:ind w:firstLine="709"/>
        <w:jc w:val="both"/>
      </w:pPr>
      <w:r>
        <w:rPr>
          <w:rFonts w:ascii="Arial" w:cs="Arial" w:eastAsia="Arial" w:hAnsi="Arial"/>
          <w:sz w:val="24"/>
          <w:szCs w:val="24"/>
        </w:rPr>
        <w:t xml:space="preserve">PORTER, Michael E. </w:t>
      </w:r>
      <w:r>
        <w:rPr>
          <w:rFonts w:ascii="Arial" w:cs="Arial" w:eastAsia="Arial" w:hAnsi="Arial"/>
          <w:i/>
          <w:iCs/>
          <w:sz w:val="24"/>
          <w:szCs w:val="24"/>
        </w:rPr>
        <w:t xml:space="preserve">Estratégia competitiva</w:t>
      </w:r>
      <w:r>
        <w:rPr>
          <w:rFonts w:ascii="Arial" w:cs="Arial" w:eastAsia="Arial" w:hAnsi="Arial"/>
          <w:sz w:val="24"/>
          <w:szCs w:val="24"/>
        </w:rPr>
        <w:t xml:space="preserve">: técnicas para análise de indústrias e da concorrência. 2. ed. Rio de Janeiro: Elsevier, 2004. [AV]</w:t>
      </w:r>
    </w:p>
    <w:p>
      <w:pPr>
        <w:spacing w:after="0" w:line="360"/>
        <w:ind w:firstLine="709"/>
        <w:jc w:val="both"/>
      </w:pPr>
      <w:r>
        <w:rPr>
          <w:rFonts w:ascii="Arial" w:cs="Arial" w:eastAsia="Arial" w:hAnsi="Arial"/>
          <w:sz w:val="24"/>
          <w:szCs w:val="24"/>
        </w:rPr>
        <w:t xml:space="preserve">SARPA, Bernard Calvert. </w:t>
      </w:r>
      <w:r>
        <w:rPr>
          <w:rFonts w:ascii="Arial" w:cs="Arial" w:eastAsia="Arial" w:hAnsi="Arial"/>
          <w:i/>
          <w:iCs/>
          <w:sz w:val="24"/>
          <w:szCs w:val="24"/>
        </w:rPr>
        <w:t xml:space="preserve">Experiências de consumo com jogos de tabuleiro modernos</w:t>
      </w:r>
      <w:r>
        <w:rPr>
          <w:rFonts w:ascii="Arial" w:cs="Arial" w:eastAsia="Arial" w:hAnsi="Arial"/>
          <w:sz w:val="24"/>
          <w:szCs w:val="24"/>
        </w:rPr>
        <w:t xml:space="preserve">. 2016. Dissertação (Mestrado em Administração) – Instituto COPPEAD de Administração, Universidade Federal do Rio de Janeiro, Rio de Janeiro, 2016.</w:t>
      </w:r>
    </w:p>
    <w:p>
      <w:pPr>
        <w:spacing w:after="0" w:line="360"/>
        <w:ind w:firstLine="709"/>
        <w:jc w:val="both"/>
      </w:pPr>
      <w:r>
        <w:rPr>
          <w:rFonts w:ascii="Arial" w:cs="Arial" w:eastAsia="Arial" w:hAnsi="Arial"/>
          <w:sz w:val="24"/>
          <w:szCs w:val="24"/>
        </w:rPr>
        <w:t xml:space="preserve">TONTINI, Gérson; THEISS, Juscelene. Estudo sobre a confiabilidade da classificação dos atributos de um serviço pelo modelo Kano de qualidade atrativa e obrigatória. </w:t>
      </w:r>
      <w:r>
        <w:rPr>
          <w:rFonts w:ascii="Arial" w:cs="Arial" w:eastAsia="Arial" w:hAnsi="Arial"/>
          <w:i/>
          <w:iCs/>
          <w:sz w:val="24"/>
          <w:szCs w:val="24"/>
        </w:rPr>
        <w:t xml:space="preserve">RAI – Revista de Administração e Inovação</w:t>
      </w:r>
      <w:r>
        <w:rPr>
          <w:rFonts w:ascii="Arial" w:cs="Arial" w:eastAsia="Arial" w:hAnsi="Arial"/>
          <w:sz w:val="24"/>
          <w:szCs w:val="24"/>
        </w:rPr>
        <w:t xml:space="preserve">, São Paulo, v. 2, n. 1, p. 34–50, 2005.</w:t>
      </w:r>
    </w:p>
    <w:p>
      <w:pPr>
        <w:spacing w:after="0" w:line="360"/>
        <w:ind w:firstLine="709"/>
        <w:jc w:val="both"/>
      </w:pPr>
      <w:r>
        <w:rPr>
          <w:rFonts w:ascii="Arial" w:cs="Arial" w:eastAsia="Arial" w:hAnsi="Arial"/>
          <w:sz w:val="24"/>
          <w:szCs w:val="24"/>
        </w:rPr>
        <w:t xml:space="preserve">VASCONCELLOS, Pedro Henrique da Silva Carvalho de Barros e. </w:t>
      </w:r>
      <w:r>
        <w:rPr>
          <w:rFonts w:ascii="Arial" w:cs="Arial" w:eastAsia="Arial" w:hAnsi="Arial"/>
          <w:i/>
          <w:iCs/>
          <w:sz w:val="24"/>
          <w:szCs w:val="24"/>
        </w:rPr>
        <w:t xml:space="preserve">A influência da qualidade de serviço na imagem, satisfação e intenções comportamentais em restaurantes</w:t>
      </w:r>
      <w:r>
        <w:rPr>
          <w:rFonts w:ascii="Arial" w:cs="Arial" w:eastAsia="Arial" w:hAnsi="Arial"/>
          <w:sz w:val="24"/>
          <w:szCs w:val="24"/>
        </w:rPr>
        <w:t xml:space="preserve">: uma análise do Outback Steakhouse Brasil. 2016. Dissertação (Mestrado em Administração de Empresas) – Pontifícia Universidade Católica do Rio de Janeiro, Rio de Janeiro, 2016.</w:t>
      </w:r>
    </w:p>
    <w:p>
      <w:pPr>
        <w:spacing w:after="0" w:line="360"/>
        <w:ind w:firstLine="709"/>
        <w:jc w:val="both"/>
      </w:pPr>
      <w:r>
        <w:rPr>
          <w:rFonts w:ascii="Arial" w:cs="Arial" w:eastAsia="Arial" w:hAnsi="Arial"/>
          <w:sz w:val="24"/>
          <w:szCs w:val="24"/>
        </w:rPr>
        <w:t xml:space="preserve">WOODS, Stewart. </w:t>
      </w:r>
      <w:r>
        <w:rPr>
          <w:rFonts w:ascii="Arial" w:cs="Arial" w:eastAsia="Arial" w:hAnsi="Arial"/>
          <w:i/>
          <w:iCs/>
          <w:sz w:val="24"/>
          <w:szCs w:val="24"/>
        </w:rPr>
        <w:t xml:space="preserve">Eurogames</w:t>
      </w:r>
      <w:r>
        <w:rPr>
          <w:rFonts w:ascii="Arial" w:cs="Arial" w:eastAsia="Arial" w:hAnsi="Arial"/>
          <w:sz w:val="24"/>
          <w:szCs w:val="24"/>
        </w:rPr>
        <w:t xml:space="preserve">: the design, culture and play of modern European board games. Jefferson: McFarland, 2012. [AV]</w:t>
      </w:r>
    </w:p>
    <w:p>
      <w:pPr>
        <w:spacing w:after="0" w:line="360"/>
        <w:ind w:firstLine="709"/>
        <w:jc w:val="both"/>
      </w:pPr>
      <w:r>
        <w:rPr>
          <w:rFonts w:ascii="Arial" w:cs="Arial" w:eastAsia="Arial" w:hAnsi="Arial"/>
          <w:sz w:val="24"/>
          <w:szCs w:val="24"/>
        </w:rPr>
        <w:t xml:space="preserve">ZEITHAML, Valarie A.; BITNER, Mary Jo; GREMLER, Dwayne D. </w:t>
      </w:r>
      <w:r>
        <w:rPr>
          <w:rFonts w:ascii="Arial" w:cs="Arial" w:eastAsia="Arial" w:hAnsi="Arial"/>
          <w:i/>
          <w:iCs/>
          <w:sz w:val="24"/>
          <w:szCs w:val="24"/>
        </w:rPr>
        <w:t xml:space="preserve">Marketing de serviços</w:t>
      </w:r>
      <w:r>
        <w:rPr>
          <w:rFonts w:ascii="Arial" w:cs="Arial" w:eastAsia="Arial" w:hAnsi="Arial"/>
          <w:sz w:val="24"/>
          <w:szCs w:val="24"/>
        </w:rPr>
        <w:t xml:space="preserve">: a empresa com foco no cliente. 6. ed. Porto Alegre: AMGH, 2014. [AV]</w:t>
      </w:r>
    </w:p>
    <w:p>
      <w:pPr>
        <w:pStyle w:val="Title"/>
        <w:pageBreakBefore/>
        <w:spacing w:after="480" w:line="360"/>
        <w:jc w:val="center"/>
      </w:pPr>
      <w:r>
        <w:rPr>
          <w:rFonts w:ascii="Arial" w:cs="Arial" w:eastAsia="Arial" w:hAnsi="Arial"/>
          <w:b/>
          <w:bCs/>
          <w:sz w:val="24"/>
          <w:szCs w:val="24"/>
        </w:rPr>
        <w:t xml:space="preserve">3 METODOLOGIA</w:t>
      </w:r>
    </w:p>
    <w:p>
      <w:pPr>
        <w:pStyle w:val="Heading1"/>
        <w:keepNext/>
        <w:spacing w:after="240" w:before="360" w:line="360"/>
      </w:pPr>
      <w:r>
        <w:rPr>
          <w:rFonts w:ascii="Arial" w:cs="Arial" w:eastAsia="Arial" w:hAnsi="Arial"/>
          <w:b/>
          <w:bCs/>
          <w:sz w:val="24"/>
          <w:szCs w:val="24"/>
        </w:rPr>
        <w:t xml:space="preserve">3.1 CARACTERIZAÇÃO DO TRABALHO</w:t>
      </w:r>
    </w:p>
    <w:p>
      <w:pPr>
        <w:spacing w:after="0" w:line="360"/>
        <w:ind w:firstLine="709"/>
        <w:jc w:val="both"/>
      </w:pPr>
      <w:r>
        <w:rPr>
          <w:rFonts w:ascii="Arial" w:cs="Arial" w:eastAsia="Arial" w:hAnsi="Arial"/>
          <w:sz w:val="24"/>
          <w:szCs w:val="24"/>
        </w:rPr>
        <w:t xml:space="preserve">O trabalho é um plano de negócios baseado em evidências. Cada decisão do plano — abrir ou não, onde, com que formato, preço, acervo e investimento — liga-se a um dado, e cada dado a uma fonte e a um nível de confiança. O método é defendido pela confiabilidade do número gerado, não pela teoria que o cerca.</w:t>
      </w:r>
    </w:p>
    <w:p>
      <w:pPr>
        <w:spacing w:after="0" w:line="360"/>
        <w:ind w:firstLine="709"/>
        <w:jc w:val="both"/>
      </w:pPr>
      <w:r>
        <w:rPr>
          <w:rFonts w:ascii="Arial" w:cs="Arial" w:eastAsia="Arial" w:hAnsi="Arial"/>
          <w:sz w:val="24"/>
          <w:szCs w:val="24"/>
        </w:rPr>
        <w:t xml:space="preserve">A pesquisa é aplicada, descritivo-exploratória e quantitativa, com análise de conteúdo das avaliações. O delineamento é transversal: os dados descrevem o mercado em outubro de 2026.</w:t>
      </w:r>
    </w:p>
    <w:p>
      <w:pPr>
        <w:spacing w:after="0" w:line="360"/>
        <w:ind w:firstLine="709"/>
        <w:jc w:val="both"/>
      </w:pPr>
      <w:r>
        <w:rPr>
          <w:rFonts w:ascii="Arial" w:cs="Arial" w:eastAsia="Arial" w:hAnsi="Arial"/>
          <w:sz w:val="24"/>
          <w:szCs w:val="24"/>
        </w:rPr>
        <w:t xml:space="preserve">Três termos são usados sempre no mesmo sentido. </w:t>
      </w:r>
      <w:r>
        <w:rPr>
          <w:rFonts w:ascii="Arial" w:cs="Arial" w:eastAsia="Arial" w:hAnsi="Arial"/>
          <w:b/>
          <w:bCs/>
          <w:sz w:val="24"/>
          <w:szCs w:val="24"/>
        </w:rPr>
        <w:t xml:space="preserve">Luderia</w:t>
      </w:r>
      <w:r>
        <w:rPr>
          <w:rFonts w:ascii="Arial" w:cs="Arial" w:eastAsia="Arial" w:hAnsi="Arial"/>
          <w:sz w:val="24"/>
          <w:szCs w:val="24"/>
        </w:rPr>
        <w:t xml:space="preserve"> é o estabelecimento que combina alimentos e bebidas com acervo de jogos de mesa para uso no local; abrange os formatos chamados ludobar e quiz-bar. </w:t>
      </w:r>
      <w:r>
        <w:rPr>
          <w:rFonts w:ascii="Arial" w:cs="Arial" w:eastAsia="Arial" w:hAnsi="Arial"/>
          <w:b/>
          <w:bCs/>
          <w:sz w:val="24"/>
          <w:szCs w:val="24"/>
        </w:rPr>
        <w:t xml:space="preserve">Concorrente</w:t>
      </w:r>
      <w:r>
        <w:rPr>
          <w:rFonts w:ascii="Arial" w:cs="Arial" w:eastAsia="Arial" w:hAnsi="Arial"/>
          <w:sz w:val="24"/>
          <w:szCs w:val="24"/>
        </w:rPr>
        <w:t xml:space="preserve"> é a luderia aprovada na curadoria do Bloco B1. </w:t>
      </w:r>
      <w:r>
        <w:rPr>
          <w:rFonts w:ascii="Arial" w:cs="Arial" w:eastAsia="Arial" w:hAnsi="Arial"/>
          <w:b/>
          <w:bCs/>
          <w:sz w:val="24"/>
          <w:szCs w:val="24"/>
        </w:rPr>
        <w:t xml:space="preserve">Avaliação</w:t>
      </w:r>
      <w:r>
        <w:rPr>
          <w:rFonts w:ascii="Arial" w:cs="Arial" w:eastAsia="Arial" w:hAnsi="Arial"/>
          <w:sz w:val="24"/>
          <w:szCs w:val="24"/>
        </w:rPr>
        <w:t xml:space="preserve"> é a avaliação com texto publicada no Google Maps. Os demais termos — taxa de ocupação, fluxo, permanência, giro, ticket médio e velocidade de avaliações — são definidos na primeira vez em que aparecem.</w:t>
      </w:r>
    </w:p>
    <w:p>
      <w:pPr>
        <w:spacing w:after="0" w:line="360"/>
        <w:ind w:firstLine="709"/>
        <w:jc w:val="both"/>
      </w:pPr>
      <w:r>
        <w:rPr>
          <w:rFonts w:ascii="Arial" w:cs="Arial" w:eastAsia="Arial" w:hAnsi="Arial"/>
          <w:sz w:val="24"/>
          <w:szCs w:val="24"/>
        </w:rPr>
        <w:t xml:space="preserve">O trabalho não usa questionários de opinião ou de intenção de compra. O entrevistado declara o que faria, não o que faz. As premissas vêm de bases públicas, de rastros digitais dos concorrentes e da contagem direta de ocupação.</w:t>
      </w:r>
    </w:p>
    <w:p>
      <w:pPr>
        <w:pStyle w:val="Heading1"/>
        <w:keepNext/>
        <w:spacing w:after="240" w:before="360" w:line="360"/>
      </w:pPr>
      <w:r>
        <w:rPr>
          <w:rFonts w:ascii="Arial" w:cs="Arial" w:eastAsia="Arial" w:hAnsi="Arial"/>
          <w:b/>
          <w:bCs/>
          <w:sz w:val="24"/>
          <w:szCs w:val="24"/>
        </w:rPr>
        <w:t xml:space="preserve">3.2 HIERARQUIA DE EVIDÊNCIAS</w:t>
      </w:r>
    </w:p>
    <w:p>
      <w:pPr>
        <w:spacing w:after="0" w:line="360"/>
        <w:ind w:firstLine="709"/>
        <w:jc w:val="both"/>
      </w:pPr>
      <w:r>
        <w:rPr>
          <w:rFonts w:ascii="Arial" w:cs="Arial" w:eastAsia="Arial" w:hAnsi="Arial"/>
          <w:sz w:val="24"/>
          <w:szCs w:val="24"/>
        </w:rPr>
        <w:t xml:space="preserve">Cada premissa do plano recebe um nível de evidência, de N1 a N6 (Quadro 3.1). A escala ordena a confiabilidade da fonte do número: N1 é a mais confiável. Premissa sustentada por mais de uma fonte registra todos os níveis, como "N3 + N5".</w:t>
      </w:r>
    </w:p>
    <w:p>
      <w:pPr>
        <w:keepNext/>
        <w:spacing w:after="0" w:before="240" w:line="240"/>
        <w:jc w:val="left"/>
      </w:pPr>
      <w:r>
        <w:rPr>
          <w:rFonts w:ascii="Arial" w:cs="Arial" w:eastAsia="Arial" w:hAnsi="Arial"/>
          <w:b/>
          <w:bCs/>
          <w:sz w:val="20"/>
          <w:szCs w:val="20"/>
        </w:rPr>
        <w:t xml:space="preserve">Quadro 3.1 – Níveis de evidência das premissas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cantSplit/>
          <w:tblHeader/>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Nível</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Tipo de evidência</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Exemplo no trabalho</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N1</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Orçamento, cotação, contrato ou tabela oficial</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Alíquotas do Simples Nacional</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N2</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Dado público estruturado</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IBGE, Novo CAGED, FipeZap, Banco Central</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N3</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Benchmark de concorrentes medido pelo autor</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Preços, horários e acervos do Bloco B1</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N4</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Referência setorial ou relatório</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Margens típicas de bares e restaurantes</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N5</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Coleta primária comportamental própria</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Contagem direta de ocupação (Bloco B3)</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N6</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Estimativa do autor</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Ocupação em dia útil</w:t>
            </w:r>
          </w:p>
        </w:tc>
      </w:tr>
    </w:tbl>
    <w:p>
      <w:pPr>
        <w:keepNext w:val="false"/>
        <w:spacing w:after="240" w:before="0" w:line="240"/>
        <w:jc w:val="left"/>
      </w:pPr>
      <w:r>
        <w:rPr>
          <w:rFonts w:ascii="Arial" w:cs="Arial" w:eastAsia="Arial" w:hAnsi="Arial"/>
          <w:sz w:val="20"/>
          <w:szCs w:val="20"/>
        </w:rPr>
        <w:t xml:space="preserve">Fonte: elaboração própria, com base em _instrucoes/8_financeiro.md.</w:t>
      </w:r>
    </w:p>
    <w:p>
      <w:pPr>
        <w:spacing w:after="0" w:line="360"/>
        <w:ind w:firstLine="709"/>
        <w:jc w:val="both"/>
      </w:pPr>
      <w:r>
        <w:rPr>
          <w:rFonts w:ascii="Arial" w:cs="Arial" w:eastAsia="Arial" w:hAnsi="Arial"/>
          <w:sz w:val="24"/>
          <w:szCs w:val="24"/>
        </w:rPr>
        <w:t xml:space="preserve">A escala tem uma regra de uso: nenhuma premissa crítica — uma das 3 a 5 premissas de maior impacto no VPL no tornado — fica só em N6. Quando não há alternativa, a premissa recebe faixa larga e destaque na análise de riscos (cap. 10).</w:t>
      </w:r>
    </w:p>
    <w:p>
      <w:pPr>
        <w:spacing w:after="0" w:line="360"/>
        <w:ind w:firstLine="709"/>
        <w:jc w:val="both"/>
      </w:pPr>
      <w:r>
        <w:rPr>
          <w:rFonts w:ascii="Arial" w:cs="Arial" w:eastAsia="Arial" w:hAnsi="Arial"/>
          <w:sz w:val="24"/>
          <w:szCs w:val="24"/>
        </w:rPr>
        <w:t xml:space="preserve">Uma segunda hierarquia ordena o tipo de dado pela proximidade com o consumo: compra com dinheiro, registro transacional, observação direta, rastro digital e, por último, opinião declarada. No mesmo tipo, prevalece o dado absoluto, calibrado, local, recente e medido.</w:t>
      </w:r>
    </w:p>
    <w:p>
      <w:pPr>
        <w:pStyle w:val="Heading1"/>
        <w:keepNext/>
        <w:spacing w:after="240" w:before="360" w:line="360"/>
      </w:pPr>
      <w:r>
        <w:rPr>
          <w:rFonts w:ascii="Arial" w:cs="Arial" w:eastAsia="Arial" w:hAnsi="Arial"/>
          <w:b/>
          <w:bCs/>
          <w:sz w:val="24"/>
          <w:szCs w:val="24"/>
        </w:rPr>
        <w:t xml:space="preserve">3.3 FONTES E INSTRUMENTOS DE COLETA</w:t>
      </w:r>
    </w:p>
    <w:p>
      <w:pPr>
        <w:spacing w:after="0" w:line="360"/>
        <w:ind w:firstLine="709"/>
        <w:jc w:val="both"/>
      </w:pPr>
      <w:r>
        <w:rPr>
          <w:rFonts w:ascii="Arial" w:cs="Arial" w:eastAsia="Arial" w:hAnsi="Arial"/>
          <w:sz w:val="24"/>
          <w:szCs w:val="24"/>
        </w:rPr>
        <w:t xml:space="preserve">A coleta organiza-se em quatro blocos, em ordem de relevância para as decisões do plano (Quadro 3.2). Os Blocos B1 e B2 são censos da fonte: o script coleta todos os estabelecimentos e todas as avaliações do recorte. O Bloco B3 é a única coleta primária. O Bloco B4 reúne bases públicas extraídas por inteiro.</w:t>
      </w:r>
    </w:p>
    <w:p>
      <w:pPr>
        <w:keepNext/>
        <w:spacing w:after="0" w:before="240" w:line="240"/>
        <w:jc w:val="left"/>
      </w:pPr>
      <w:r>
        <w:rPr>
          <w:rFonts w:ascii="Arial" w:cs="Arial" w:eastAsia="Arial" w:hAnsi="Arial"/>
          <w:b/>
          <w:bCs/>
          <w:sz w:val="20"/>
          <w:szCs w:val="20"/>
        </w:rPr>
        <w:t xml:space="preserve">Quadro 3.2 – Blocos de coleta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43"/>
        <w:gridCol w:w="2926"/>
        <w:gridCol w:w="1950"/>
        <w:gridCol w:w="1952"/>
      </w:tblGrid>
      <w:tr>
        <w:trPr>
          <w:cantSplit/>
          <w:tblHeader/>
        </w:trPr>
        <w:tc>
          <w:tcPr>
            <w:tcW w:type="dxa" w:w="224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Bloco</w:t>
            </w:r>
          </w:p>
        </w:tc>
        <w:tc>
          <w:tcPr>
            <w:tcW w:type="dxa" w:w="2926"/>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Fonte</w:t>
            </w:r>
          </w:p>
        </w:tc>
        <w:tc>
          <w:tcPr>
            <w:tcW w:type="dxa" w:w="195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Recorte</w:t>
            </w:r>
          </w:p>
        </w:tc>
        <w:tc>
          <w:tcPr>
            <w:tcW w:type="dxa" w:w="1952"/>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Uso no plano</w:t>
            </w:r>
          </w:p>
        </w:tc>
      </w:tr>
      <w:tr>
        <w:trPr>
          <w:cantSplit/>
          <w:tblHeader w:val="false"/>
        </w:trPr>
        <w:tc>
          <w:tcPr>
            <w:tcW w:type="dxa" w:w="224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B1 — Concorrentes</w:t>
            </w:r>
          </w:p>
        </w:tc>
        <w:tc>
          <w:tcPr>
            <w:tcW w:type="dxa" w:w="2926"/>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Google Places API; Google Maps; site, Instagram, cardápio e lista de acervo de cada concorrente</w:t>
            </w:r>
          </w:p>
        </w:tc>
        <w:tc>
          <w:tcPr>
            <w:tcW w:type="dxa" w:w="195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Luderias com mais de 100 avaliações nas 14 metrópoles da REGIC 2018 (IBGE) e suas regiões metropolitanas: 54 concorrentes</w:t>
            </w:r>
          </w:p>
        </w:tc>
        <w:tc>
          <w:tcPr>
            <w:tcW w:type="dxa" w:w="1952"/>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Concorrência, preço, cardápio, ponto, acervo inicial, ticket médio</w:t>
            </w:r>
          </w:p>
        </w:tc>
      </w:tr>
      <w:tr>
        <w:trPr>
          <w:cantSplit/>
          <w:tblHeader w:val="false"/>
        </w:trPr>
        <w:tc>
          <w:tcPr>
            <w:tcW w:type="dxa" w:w="224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B2 — Avaliações recentes</w:t>
            </w:r>
          </w:p>
        </w:tc>
        <w:tc>
          <w:tcPr>
            <w:tcW w:type="dxa" w:w="2926"/>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Página pública de avaliações de cada concorrente no Google Maps</w:t>
            </w:r>
          </w:p>
        </w:tc>
        <w:tc>
          <w:tcPr>
            <w:tcW w:type="dxa" w:w="195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Todas as avaliações com rótulo de data até "3 meses atrás", inclusive, na data da coleta</w:t>
            </w:r>
          </w:p>
        </w:tc>
        <w:tc>
          <w:tcPr>
            <w:tcW w:type="dxa" w:w="1952"/>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Proposta de valor, reclamações, ticket médio, tamanho do grupo, jogos citados</w:t>
            </w:r>
          </w:p>
        </w:tc>
      </w:tr>
      <w:tr>
        <w:trPr>
          <w:cantSplit/>
          <w:tblHeader w:val="false"/>
        </w:trPr>
        <w:tc>
          <w:tcPr>
            <w:tcW w:type="dxa" w:w="224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B3 — Contagem direta</w:t>
            </w:r>
          </w:p>
        </w:tc>
        <w:tc>
          <w:tcPr>
            <w:tcW w:type="dxa" w:w="2926"/>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Observação nas duas unidades da São Jogue, com leitura da NFC-e</w:t>
            </w:r>
          </w:p>
        </w:tc>
        <w:tc>
          <w:tcPr>
            <w:tcW w:type="dxa" w:w="195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4 visitas, sexta e sábado à noite, out/2026</w:t>
            </w:r>
          </w:p>
        </w:tc>
        <w:tc>
          <w:tcPr>
            <w:tcW w:type="dxa" w:w="1952"/>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Taxa de ocupação, permanência, tamanho do grupo, fluxo, calibração</w:t>
            </w:r>
          </w:p>
        </w:tc>
      </w:tr>
      <w:tr>
        <w:trPr>
          <w:cantSplit/>
          <w:tblHeader w:val="false"/>
        </w:trPr>
        <w:tc>
          <w:tcPr>
            <w:tcW w:type="dxa" w:w="224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B4 — Bases públicas</w:t>
            </w:r>
          </w:p>
        </w:tc>
        <w:tc>
          <w:tcPr>
            <w:tcW w:type="dxa" w:w="2926"/>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IBGE, Novo CAGED, FipeZap, Simples Nacional, Banco Central, CONCLA</w:t>
            </w:r>
          </w:p>
        </w:tc>
        <w:tc>
          <w:tcPr>
            <w:tcW w:type="dxa" w:w="195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Salvador e demais capitais; séries de 2017 a 2026</w:t>
            </w:r>
          </w:p>
        </w:tc>
        <w:tc>
          <w:tcPr>
            <w:tcW w:type="dxa" w:w="1952"/>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Público, aluguel, salários, tributos, taxa de desconto</w:t>
            </w:r>
          </w:p>
        </w:tc>
      </w:tr>
    </w:tbl>
    <w:p>
      <w:pPr>
        <w:keepNext w:val="false"/>
        <w:spacing w:after="240" w:before="0" w:line="240"/>
        <w:jc w:val="left"/>
      </w:pPr>
      <w:r>
        <w:rPr>
          <w:rFonts w:ascii="Arial" w:cs="Arial" w:eastAsia="Arial" w:hAnsi="Arial"/>
          <w:sz w:val="20"/>
          <w:szCs w:val="20"/>
        </w:rPr>
        <w:t xml:space="preserve">Fonte: elaboração própria.</w:t>
      </w:r>
    </w:p>
    <w:p>
      <w:pPr>
        <w:pStyle w:val="Heading2"/>
        <w:keepNext/>
        <w:spacing w:after="120" w:before="240" w:line="360"/>
      </w:pPr>
      <w:r>
        <w:rPr>
          <w:rFonts w:ascii="Arial" w:cs="Arial" w:eastAsia="Arial" w:hAnsi="Arial"/>
          <w:b/>
          <w:bCs/>
          <w:sz w:val="24"/>
          <w:szCs w:val="24"/>
        </w:rPr>
        <w:t xml:space="preserve">3.3.1 Bloco B1 — Concorrentes</w:t>
      </w:r>
    </w:p>
    <w:p>
      <w:pPr>
        <w:spacing w:after="0" w:line="360"/>
        <w:ind w:firstLine="709"/>
        <w:jc w:val="both"/>
      </w:pPr>
      <w:r>
        <w:rPr>
          <w:rFonts w:ascii="Arial" w:cs="Arial" w:eastAsia="Arial" w:hAnsi="Arial"/>
          <w:sz w:val="24"/>
          <w:szCs w:val="24"/>
        </w:rPr>
        <w:t xml:space="preserve">A busca pela Google Places API levantou 164 candidatos com mais de 100 avaliações nas 14 capitais classificadas como metrópole pela REGIC 2018 (IBGE) e em suas regiões metropolitanas. A curadoria manual aprovou 54 concorrentes. Cada concorrente pertence a uma única metrópole, pelo endereço. São Paulo reúne 19; Salvador tem 1, a São Jogue; Manaus não tem nenhum. A distribuição completa está no Apêndice E.</w:t>
      </w:r>
    </w:p>
    <w:p>
      <w:pPr>
        <w:spacing w:after="0" w:line="360"/>
        <w:ind w:firstLine="709"/>
        <w:jc w:val="both"/>
      </w:pPr>
      <w:r>
        <w:rPr>
          <w:rFonts w:ascii="Arial" w:cs="Arial" w:eastAsia="Arial" w:hAnsi="Arial"/>
          <w:sz w:val="24"/>
          <w:szCs w:val="24"/>
        </w:rPr>
        <w:t xml:space="preserve">O corte de 100 avaliações delimita concorrentes estabelecidos. Casas novas ou pequenas ficam fora: o recorte descreve quem já opera com volume, que é a referência de preço e de fluxo para o plano.</w:t>
      </w:r>
    </w:p>
    <w:p>
      <w:pPr>
        <w:spacing w:after="0" w:line="360"/>
        <w:ind w:firstLine="709"/>
        <w:jc w:val="both"/>
      </w:pPr>
      <w:r>
        <w:rPr>
          <w:rFonts w:ascii="Arial" w:cs="Arial" w:eastAsia="Arial" w:hAnsi="Arial"/>
          <w:sz w:val="24"/>
          <w:szCs w:val="24"/>
        </w:rPr>
        <w:t xml:space="preserve">De cada concorrente, são registrados a avaliação média, o volume de avaliações, o horário de funcionamento (Places API), a política de cobrança, o cardápio, o acervo de jogos e o entorno. Os cardápios têm categorias fixas — bebidas, entradas, pratos principais, sobremesas e couvert ou taxa de jogo — e preço em reais na data da coleta. Item com vários tamanhos ou combos entra nas medianas só pela linha de referência: cardápio mais recente, sem combo, no menor tamanho. Quando o couvert não aparece no cardápio, ele é buscado no site, na imprensa e nos posts e destaques do Instagram da casa, com a data da publicação.</w:t>
      </w:r>
    </w:p>
    <w:p>
      <w:pPr>
        <w:spacing w:after="0" w:line="360"/>
        <w:ind w:firstLine="709"/>
        <w:jc w:val="both"/>
      </w:pPr>
      <w:r>
        <w:rPr>
          <w:rFonts w:ascii="Arial" w:cs="Arial" w:eastAsia="Arial" w:hAnsi="Arial"/>
          <w:sz w:val="24"/>
          <w:szCs w:val="24"/>
        </w:rPr>
        <w:t xml:space="preserve">Os acervos vêm de qualquer concorrente que publique a lista de jogos, em plataformas como Acervo de Jogos e Ludopedia, no site ou em PDF. A cesta de jogos reúne os títulos presentes em 15 ou mais dos 30 acervos coletados. O preço de cada título é levantado em lojas online e expresso em faixa, do menor preço ao máximo, com a mediana como valor provável. A cesta sustenta o custo do acervo inicial (cap. 9).</w:t>
      </w:r>
    </w:p>
    <w:p>
      <w:pPr>
        <w:spacing w:after="0" w:line="360"/>
        <w:ind w:firstLine="709"/>
        <w:jc w:val="both"/>
      </w:pPr>
      <w:r>
        <w:rPr>
          <w:rFonts w:ascii="Arial" w:cs="Arial" w:eastAsia="Arial" w:hAnsi="Arial"/>
          <w:sz w:val="24"/>
          <w:szCs w:val="24"/>
        </w:rPr>
        <w:t xml:space="preserve">O entorno é medido no Google Maps. São contados as estações de metrô, trem, VLT e BRT e os shoppings de porte num raio de 500 m e de 1.000 m de cada concorrente, e é medida a distância em linha reta até a estação e o shopping mais próximos. Shopping de porte é o que tem 1.000 avaliações ou mais no Maps; os limiares de 500 e 5.000 avaliações servem de sensibilidade.</w:t>
      </w:r>
    </w:p>
    <w:p>
      <w:pPr>
        <w:pStyle w:val="Heading2"/>
        <w:keepNext/>
        <w:spacing w:after="120" w:before="240" w:line="360"/>
      </w:pPr>
      <w:r>
        <w:rPr>
          <w:rFonts w:ascii="Arial" w:cs="Arial" w:eastAsia="Arial" w:hAnsi="Arial"/>
          <w:b/>
          <w:bCs/>
          <w:sz w:val="24"/>
          <w:szCs w:val="24"/>
        </w:rPr>
        <w:t xml:space="preserve">3.3.2 Bloco B2 — Avaliações recentes</w:t>
      </w:r>
    </w:p>
    <w:p>
      <w:pPr>
        <w:spacing w:after="0" w:line="360"/>
        <w:ind w:firstLine="709"/>
        <w:jc w:val="both"/>
      </w:pPr>
      <w:r>
        <w:rPr>
          <w:rFonts w:ascii="Arial" w:cs="Arial" w:eastAsia="Arial" w:hAnsi="Arial"/>
          <w:sz w:val="24"/>
          <w:szCs w:val="24"/>
        </w:rPr>
        <w:t xml:space="preserve">O recorte reúne todas as avaliações com texto cujo rótulo de data seja de até "3 meses atrás", inclusive, na data da coleta. O rótulo "3 meses atrás" cobre de 90 a 119 dias. O número de avaliações no recorte, dividido pela duração da janela, dá a </w:t>
      </w:r>
      <w:r>
        <w:rPr>
          <w:rFonts w:ascii="Arial" w:cs="Arial" w:eastAsia="Arial" w:hAnsi="Arial"/>
          <w:b/>
          <w:bCs/>
          <w:sz w:val="24"/>
          <w:szCs w:val="24"/>
        </w:rPr>
        <w:t xml:space="preserve">velocidade de avaliações</w:t>
      </w:r>
      <w:r>
        <w:rPr>
          <w:rFonts w:ascii="Arial" w:cs="Arial" w:eastAsia="Arial" w:hAnsi="Arial"/>
          <w:sz w:val="24"/>
          <w:szCs w:val="24"/>
        </w:rPr>
        <w:t xml:space="preserve">, em avaliações com texto por mês.</w:t>
      </w:r>
    </w:p>
    <w:p>
      <w:pPr>
        <w:spacing w:after="0" w:line="360"/>
        <w:ind w:firstLine="709"/>
        <w:jc w:val="both"/>
      </w:pPr>
      <w:r>
        <w:rPr>
          <w:rFonts w:ascii="Arial" w:cs="Arial" w:eastAsia="Arial" w:hAnsi="Arial"/>
          <w:sz w:val="24"/>
          <w:szCs w:val="24"/>
        </w:rPr>
        <w:t xml:space="preserve">A coleta foi feita por script no navegador, em outubro de 2026, com cópia do texto, da nota, do rótulo de data e das notas por aspecto. O nome do autor da avaliação é trocado por um código na própria coleta. O script só conta uma avaliação como lida com o texto expandido; avaliação que ficou cortada é marcada, e o concorrente é coletado de novo. Nos 49 concorrentes da lista original, o recorte reuniu 2.218 avaliações, 1.440 delas com texto. Com as cinco luderias incluídas depois, a base de codificação tem 1.628 avaliações.</w:t>
      </w:r>
    </w:p>
    <w:p>
      <w:pPr>
        <w:pStyle w:val="Heading2"/>
        <w:keepNext/>
        <w:spacing w:after="120" w:before="240" w:line="360"/>
      </w:pPr>
      <w:r>
        <w:rPr>
          <w:rFonts w:ascii="Arial" w:cs="Arial" w:eastAsia="Arial" w:hAnsi="Arial"/>
          <w:b/>
          <w:bCs/>
          <w:sz w:val="24"/>
          <w:szCs w:val="24"/>
        </w:rPr>
        <w:t xml:space="preserve">3.3.3 Bloco B3 — Contagem direta de ocupação</w:t>
      </w:r>
    </w:p>
    <w:p>
      <w:pPr>
        <w:spacing w:after="0" w:line="360"/>
        <w:ind w:firstLine="709"/>
        <w:jc w:val="both"/>
      </w:pPr>
      <w:r>
        <w:rPr>
          <w:rFonts w:ascii="Arial" w:cs="Arial" w:eastAsia="Arial" w:hAnsi="Arial"/>
          <w:sz w:val="24"/>
          <w:szCs w:val="24"/>
        </w:rPr>
        <w:t xml:space="preserve">A contagem direta é a âncora absoluta do trabalho: mede pessoas, grupos, permanência e taxa de ocupação na São Jogue, única luderia de Salvador, nas unidades Bela Vista e Paralela.</w:t>
      </w:r>
    </w:p>
    <w:p>
      <w:pPr>
        <w:spacing w:after="0" w:line="360"/>
        <w:ind w:firstLine="709"/>
        <w:jc w:val="both"/>
      </w:pPr>
      <w:r>
        <w:rPr>
          <w:rFonts w:ascii="Arial" w:cs="Arial" w:eastAsia="Arial" w:hAnsi="Arial"/>
          <w:sz w:val="24"/>
          <w:szCs w:val="24"/>
        </w:rPr>
        <w:t xml:space="preserve">Foram quatro visitas, duas por unidade, sempre na noite de sexta ou sábado: Bela Vista em 10/10 (sábado) e 16/10 (sexta); Paralela em 17/10 (sábado) e 30/10/2026 (sexta). Os dias medem o movimento máximo da semana. As visitas duraram de 2,5 a 3,3 horas, com 10,9 horas observadas no total, e as taxas são calculadas por hora observada.</w:t>
      </w:r>
    </w:p>
    <w:p>
      <w:pPr>
        <w:spacing w:after="0" w:line="360"/>
        <w:ind w:firstLine="709"/>
        <w:jc w:val="both"/>
      </w:pPr>
      <w:r>
        <w:rPr>
          <w:rFonts w:ascii="Arial" w:cs="Arial" w:eastAsia="Arial" w:hAnsi="Arial"/>
          <w:sz w:val="24"/>
          <w:szCs w:val="24"/>
        </w:rPr>
        <w:t xml:space="preserve">O observador fica dentro do salão, sentado a uma mesa como cliente. A mesa do próprio observador não entra nos registros — nem o grupo, nem as pessoas, nem o comportamento — e sai do denominador da taxa de ocupação. Registram-se a entrada e a saída de cada grupo na porta e, em cada mesa, a hora em que o grupo senta e sai, o número de pessoas, as crianças, os jogos e as chamadas ao instrutor. Grupo que já estava no salão na chegada é estoque inicial; grupo ainda no salão ao fim da visita tem permanência censurada. As quatro visitas registraram 27 grupos de mesa, com 101 pessoas.</w:t>
      </w:r>
    </w:p>
    <w:p>
      <w:pPr>
        <w:spacing w:after="0" w:line="360"/>
        <w:ind w:firstLine="709"/>
        <w:jc w:val="both"/>
      </w:pPr>
      <w:r>
        <w:rPr>
          <w:rFonts w:ascii="Arial" w:cs="Arial" w:eastAsia="Arial" w:hAnsi="Arial"/>
          <w:sz w:val="24"/>
          <w:szCs w:val="24"/>
        </w:rPr>
        <w:t xml:space="preserve">O instrumento é um aplicativo de observação para Android, desenvolvido para o trabalho. Ele grava cada registro na hora e exporta um arquivo CSV por conteúdo — visita, grupos de mesa, porta, contagens de mesas, estrutura da unidade e preços —, descrito no Apêndice G. Os originais são guardados sem edição; correções ficam numa lista à parte, com o motivo.</w:t>
      </w:r>
    </w:p>
    <w:p>
      <w:pPr>
        <w:spacing w:after="0" w:line="360"/>
        <w:ind w:firstLine="709"/>
        <w:jc w:val="both"/>
      </w:pPr>
      <w:r>
        <w:rPr>
          <w:rFonts w:ascii="Arial" w:cs="Arial" w:eastAsia="Arial" w:hAnsi="Arial"/>
          <w:sz w:val="24"/>
          <w:szCs w:val="24"/>
        </w:rPr>
        <w:t xml:space="preserve">A </w:t>
      </w:r>
      <w:r>
        <w:rPr>
          <w:rFonts w:ascii="Arial" w:cs="Arial" w:eastAsia="Arial" w:hAnsi="Arial"/>
          <w:b/>
          <w:bCs/>
          <w:sz w:val="24"/>
          <w:szCs w:val="24"/>
        </w:rPr>
        <w:t xml:space="preserve">taxa de ocupação</w:t>
      </w:r>
      <w:r>
        <w:rPr>
          <w:rFonts w:ascii="Arial" w:cs="Arial" w:eastAsia="Arial" w:hAnsi="Arial"/>
          <w:sz w:val="24"/>
          <w:szCs w:val="24"/>
        </w:rPr>
        <w:t xml:space="preserve"> é a proporção das mesas ocupadas, em média, no período observado. O cálculo é feito minuto a minuto, a partir dos intervalos de entrada e saída dos grupos de mesa. O denominador é o número de mesas da unidade, menos a do observador: 10 na Bela Vista e 9 na Paralela. A ocupação dos assentos segue a mesma lógica, sobre os 48 lugares por turno do site de reservas, menos as pessoas da mesa do observador.</w:t>
      </w:r>
    </w:p>
    <w:p>
      <w:pPr>
        <w:spacing w:after="0" w:line="360"/>
        <w:ind w:firstLine="709"/>
        <w:jc w:val="both"/>
      </w:pPr>
      <w:r>
        <w:rPr>
          <w:rFonts w:ascii="Arial" w:cs="Arial" w:eastAsia="Arial" w:hAnsi="Arial"/>
          <w:sz w:val="24"/>
          <w:szCs w:val="24"/>
        </w:rPr>
        <w:t xml:space="preserve">A NFC-e de uma compra do autor no início e no fim de cada visita dá a série e o número da nota. A diferença entre as duas visitas da mesma unidade dá as notas emitidas no intervalo: 183 na Bela Vista, de 10/10 a 16/10 (6 dias), e 209 na Paralela, de 17/10 a 30/10/2026 (13 dias). As duas unidades só emitem a nota quando o cliente pede. As notas emitidas são, portanto, um piso das vendas.</w:t>
      </w:r>
    </w:p>
    <w:p>
      <w:pPr>
        <w:spacing w:after="0" w:line="360"/>
        <w:ind w:firstLine="709"/>
        <w:jc w:val="both"/>
      </w:pPr>
      <w:r>
        <w:rPr>
          <w:rFonts w:ascii="Arial" w:cs="Arial" w:eastAsia="Arial" w:hAnsi="Arial"/>
          <w:sz w:val="24"/>
          <w:szCs w:val="24"/>
        </w:rPr>
        <w:t xml:space="preserve">Os pedidos de cada mesa — categoria, quantidade e hora de chegada — foram registrados em parte das visitas. Como não cobrem as quatro, entram só como descrição, sem sustentar premissa.</w:t>
      </w:r>
    </w:p>
    <w:p>
      <w:pPr>
        <w:pStyle w:val="Heading2"/>
        <w:keepNext/>
        <w:spacing w:after="120" w:before="240" w:line="360"/>
      </w:pPr>
      <w:r>
        <w:rPr>
          <w:rFonts w:ascii="Arial" w:cs="Arial" w:eastAsia="Arial" w:hAnsi="Arial"/>
          <w:b/>
          <w:bCs/>
          <w:sz w:val="24"/>
          <w:szCs w:val="24"/>
        </w:rPr>
        <w:t xml:space="preserve">3.3.4 Bloco B4 — Bases públicas</w:t>
      </w:r>
    </w:p>
    <w:p>
      <w:pPr>
        <w:spacing w:after="0" w:line="360"/>
        <w:ind w:firstLine="709"/>
        <w:jc w:val="both"/>
      </w:pPr>
      <w:r>
        <w:rPr>
          <w:rFonts w:ascii="Arial" w:cs="Arial" w:eastAsia="Arial" w:hAnsi="Arial"/>
          <w:sz w:val="24"/>
          <w:szCs w:val="24"/>
        </w:rPr>
        <w:t xml:space="preserve">As bases públicas dão o tamanho e a renda do público (Censo 2022, estimativas de população e PNAD Contínua), o aluguel (FipeZap), os salários (Novo CAGED), os tributos (Simples Nacional e CONCLA), as margens do setor (Pesquisa Anual de Serviços), o gasto das famílias (POF 2017-2018, corrigida pelo IPCA) e a taxa de desconto (Banco Central). Cada série guarda o recorte e a data de referência; a lista completa está no Apêndice H.</w:t>
      </w:r>
    </w:p>
    <w:p>
      <w:pPr>
        <w:pStyle w:val="Heading1"/>
        <w:keepNext/>
        <w:spacing w:after="240" w:before="360" w:line="360"/>
      </w:pPr>
      <w:r>
        <w:rPr>
          <w:rFonts w:ascii="Arial" w:cs="Arial" w:eastAsia="Arial" w:hAnsi="Arial"/>
          <w:b/>
          <w:bCs/>
          <w:sz w:val="24"/>
          <w:szCs w:val="24"/>
        </w:rPr>
        <w:t xml:space="preserve">3.4 TRATAMENTO DOS DADOS</w:t>
      </w:r>
    </w:p>
    <w:p>
      <w:pPr>
        <w:pStyle w:val="Heading2"/>
        <w:keepNext/>
        <w:spacing w:after="120" w:before="240" w:line="360"/>
      </w:pPr>
      <w:r>
        <w:rPr>
          <w:rFonts w:ascii="Arial" w:cs="Arial" w:eastAsia="Arial" w:hAnsi="Arial"/>
          <w:b/>
          <w:bCs/>
          <w:sz w:val="24"/>
          <w:szCs w:val="24"/>
        </w:rPr>
        <w:t xml:space="preserve">3.4.1 Pipeline</w:t>
      </w:r>
    </w:p>
    <w:p>
      <w:pPr>
        <w:spacing w:after="0" w:line="360"/>
        <w:ind w:firstLine="709"/>
        <w:jc w:val="both"/>
      </w:pPr>
      <w:r>
        <w:rPr>
          <w:rFonts w:ascii="Arial" w:cs="Arial" w:eastAsia="Arial" w:hAnsi="Arial"/>
          <w:sz w:val="24"/>
          <w:szCs w:val="24"/>
        </w:rPr>
        <w:t xml:space="preserve">Os dados percorrem três etapas, cada uma com scripts próprios: coleta, tratamento e análise. Os brutos — textos integrais e listas com nomes de pessoas — ficam fora do repositório público. O trabalho e o repositório divulgam só dados processados. Todo sorteio usa semente fixa registrada no código, e qualquer número do texto pode ser gerado de novo a partir dos scripts.</w:t>
      </w:r>
    </w:p>
    <w:p>
      <w:pPr>
        <w:pStyle w:val="Heading2"/>
        <w:keepNext/>
        <w:spacing w:after="120" w:before="240" w:line="360"/>
      </w:pPr>
      <w:r>
        <w:rPr>
          <w:rFonts w:ascii="Arial" w:cs="Arial" w:eastAsia="Arial" w:hAnsi="Arial"/>
          <w:b/>
          <w:bCs/>
          <w:sz w:val="24"/>
          <w:szCs w:val="24"/>
        </w:rPr>
        <w:t xml:space="preserve">3.4.2 Codificação das avaliações</w:t>
      </w:r>
    </w:p>
    <w:p>
      <w:pPr>
        <w:spacing w:after="0" w:line="360"/>
        <w:ind w:firstLine="709"/>
        <w:jc w:val="both"/>
      </w:pPr>
      <w:r>
        <w:rPr>
          <w:rFonts w:ascii="Arial" w:cs="Arial" w:eastAsia="Arial" w:hAnsi="Arial"/>
          <w:sz w:val="24"/>
          <w:szCs w:val="24"/>
        </w:rPr>
        <w:t xml:space="preserve">As avaliações são codificadas por análise de conteúdo (BARDIN, 2011) </w:t>
      </w:r>
      <w:r>
        <w:rPr>
          <w:rFonts w:ascii="Arial" w:cs="Arial" w:eastAsia="Arial" w:hAnsi="Arial"/>
          <w:sz w:val="24"/>
          <w:szCs w:val="24"/>
        </w:rPr>
        <w:t xml:space="preserve">[AV]</w:t>
      </w:r>
      <w:r>
        <w:rPr>
          <w:rFonts w:ascii="Arial" w:cs="Arial" w:eastAsia="Arial" w:hAnsi="Arial"/>
          <w:sz w:val="24"/>
          <w:szCs w:val="24"/>
        </w:rPr>
        <w:t xml:space="preserve">. A unidade de registro é o tema: trecho que expressa um juízo sobre um atributo do concorrente. A unidade de contexto é a avaliação inteira, mais as notas por aspecto do Google quando o texto é ambíguo. A enumeração é por presença: tema citado duas vezes na mesma avaliação conta uma vez.</w:t>
      </w:r>
    </w:p>
    <w:p>
      <w:pPr>
        <w:spacing w:after="0" w:line="360"/>
        <w:ind w:firstLine="709"/>
        <w:jc w:val="both"/>
      </w:pPr>
      <w:r>
        <w:rPr>
          <w:rFonts w:ascii="Arial" w:cs="Arial" w:eastAsia="Arial" w:hAnsi="Arial"/>
          <w:sz w:val="24"/>
          <w:szCs w:val="24"/>
        </w:rPr>
        <w:t xml:space="preserve">O dicionário de temas tem 22 temas, os mesmos para elogio e crítica: a coluna em que o tema entra dá a polaridade. Os temas cobrem jogos (variedade e curadoria do acervo, conservação, explicação dos jogos), equipe e serviço, comida e bebida, preço, ambiente e regras da casa. Cada tema tem definição, exemplos do que entra e do que não entra e regra para os casos de fronteira. Ocasião da visita, público e aluguel de jogos vão para uma coluna de contexto, sem polaridade. A codificação foi feita com apoio de inteligência artificial, pelo dicionário, e é validada contra a recodificação do autor (seção 3.4.3). Do texto saem ainda o tamanho do grupo, os valores em reais e os jogos citados.</w:t>
      </w:r>
    </w:p>
    <w:p>
      <w:pPr>
        <w:pStyle w:val="Heading2"/>
        <w:keepNext/>
        <w:spacing w:after="120" w:before="240" w:line="360"/>
      </w:pPr>
      <w:r>
        <w:rPr>
          <w:rFonts w:ascii="Arial" w:cs="Arial" w:eastAsia="Arial" w:hAnsi="Arial"/>
          <w:b/>
          <w:bCs/>
          <w:sz w:val="24"/>
          <w:szCs w:val="24"/>
        </w:rPr>
        <w:t xml:space="preserve">3.4.3 Validação da coleta e da codificação</w:t>
      </w:r>
    </w:p>
    <w:p>
      <w:pPr>
        <w:spacing w:after="0" w:line="360"/>
        <w:ind w:firstLine="709"/>
        <w:jc w:val="both"/>
      </w:pPr>
      <w:r>
        <w:rPr>
          <w:rFonts w:ascii="Arial" w:cs="Arial" w:eastAsia="Arial" w:hAnsi="Arial"/>
          <w:sz w:val="24"/>
          <w:szCs w:val="24"/>
        </w:rPr>
        <w:t xml:space="preserve">A validação estima o erro que sobra depois que o dado é obtido. A referência é o modelo de erro total da pesquisa, que separa o erro amostral do erro não amostral: cobertura, medida e processamento (GROVES et al., 2009; BIEMER, 2010) </w:t>
      </w:r>
      <w:r>
        <w:rPr>
          <w:rFonts w:ascii="Arial" w:cs="Arial" w:eastAsia="Arial" w:hAnsi="Arial"/>
          <w:sz w:val="24"/>
          <w:szCs w:val="24"/>
        </w:rPr>
        <w:t xml:space="preserve">[AV]</w:t>
      </w:r>
      <w:r>
        <w:rPr>
          <w:rFonts w:ascii="Arial" w:cs="Arial" w:eastAsia="Arial" w:hAnsi="Arial"/>
          <w:sz w:val="24"/>
          <w:szCs w:val="24"/>
        </w:rPr>
        <w:t xml:space="preserve">. A adaptação desse modelo a dados de plataformas digitais está em Amaya, Biemer e Kinyon (2020) </w:t>
      </w:r>
      <w:r>
        <w:rPr>
          <w:rFonts w:ascii="Arial" w:cs="Arial" w:eastAsia="Arial" w:hAnsi="Arial"/>
          <w:sz w:val="24"/>
          <w:szCs w:val="24"/>
        </w:rPr>
        <w:t xml:space="preserve">[AV]</w:t>
      </w:r>
      <w:r>
        <w:rPr>
          <w:rFonts w:ascii="Arial" w:cs="Arial" w:eastAsia="Arial" w:hAnsi="Arial"/>
          <w:sz w:val="24"/>
          <w:szCs w:val="24"/>
        </w:rPr>
        <w:t xml:space="preserve">. O procedimento muda com a natureza de cada bloco (Quadro 3.3).</w:t>
      </w:r>
    </w:p>
    <w:p>
      <w:pPr>
        <w:keepNext/>
        <w:spacing w:after="0" w:before="240" w:line="240"/>
        <w:jc w:val="left"/>
      </w:pPr>
      <w:r>
        <w:rPr>
          <w:rFonts w:ascii="Arial" w:cs="Arial" w:eastAsia="Arial" w:hAnsi="Arial"/>
          <w:b/>
          <w:bCs/>
          <w:sz w:val="20"/>
          <w:szCs w:val="20"/>
        </w:rPr>
        <w:t xml:space="preserve">Quadro 3.3 – Validação por bloco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4"/>
        <w:gridCol w:w="2134"/>
        <w:gridCol w:w="2134"/>
        <w:gridCol w:w="2349"/>
      </w:tblGrid>
      <w:tr>
        <w:trPr>
          <w:cantSplit/>
          <w:tblHeader/>
        </w:trPr>
        <w:tc>
          <w:tcPr>
            <w:tcW w:type="dxa" w:w="245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Bloco</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Erro amostral</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Erro a validar</w:t>
            </w:r>
          </w:p>
        </w:tc>
        <w:tc>
          <w:tcPr>
            <w:tcW w:type="dxa" w:w="234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Instrumento</w:t>
            </w:r>
          </w:p>
        </w:tc>
      </w:tr>
      <w:tr>
        <w:trPr>
          <w:cantSplit/>
          <w:tblHeader w:val="false"/>
        </w:trPr>
        <w:tc>
          <w:tcPr>
            <w:tcW w:type="dxa" w:w="245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B1 e B2</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há: censo da fonte</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Fidelidade do script à página; completude; cobertura do Google Maps</w:t>
            </w:r>
          </w:p>
        </w:tc>
        <w:tc>
          <w:tcPr>
            <w:tcW w:type="dxa" w:w="234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Amostra de auditoria; contagem na página; buscas independentes e Instagram</w:t>
            </w:r>
          </w:p>
        </w:tc>
      </w:tr>
      <w:tr>
        <w:trPr>
          <w:cantSplit/>
          <w:tblHeader w:val="false"/>
        </w:trPr>
        <w:tc>
          <w:tcPr>
            <w:tcW w:type="dxa" w:w="245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B3</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Há: quatro noites representam a operação</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Omissão de registro; erro de contagem</w:t>
            </w:r>
          </w:p>
        </w:tc>
        <w:tc>
          <w:tcPr>
            <w:tcW w:type="dxa" w:w="234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Fechamento do saldo; comparação entre porta, mesas e notas</w:t>
            </w:r>
          </w:p>
        </w:tc>
      </w:tr>
      <w:tr>
        <w:trPr>
          <w:cantSplit/>
          <w:tblHeader w:val="false"/>
        </w:trPr>
        <w:tc>
          <w:tcPr>
            <w:tcW w:type="dxa" w:w="245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B4</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há na extração</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Processamento: código, filtro, unidade, deflação</w:t>
            </w:r>
          </w:p>
        </w:tc>
        <w:tc>
          <w:tcPr>
            <w:tcW w:type="dxa" w:w="234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Reconciliação com a tabela publicada; soma das linhas igual ao total</w:t>
            </w:r>
          </w:p>
        </w:tc>
      </w:tr>
    </w:tbl>
    <w:p>
      <w:pPr>
        <w:keepNext w:val="false"/>
        <w:spacing w:after="240" w:before="0" w:line="240"/>
        <w:jc w:val="left"/>
      </w:pPr>
      <w:r>
        <w:rPr>
          <w:rFonts w:ascii="Arial" w:cs="Arial" w:eastAsia="Arial" w:hAnsi="Arial"/>
          <w:sz w:val="20"/>
          <w:szCs w:val="20"/>
        </w:rPr>
        <w:t xml:space="preserve">Fonte: elaboração própria.</w:t>
      </w:r>
    </w:p>
    <w:p>
      <w:pPr>
        <w:spacing w:after="0" w:line="360"/>
        <w:ind w:firstLine="709"/>
        <w:jc w:val="both"/>
      </w:pPr>
      <w:r>
        <w:rPr>
          <w:rFonts w:ascii="Arial" w:cs="Arial" w:eastAsia="Arial" w:hAnsi="Arial"/>
          <w:sz w:val="24"/>
          <w:szCs w:val="24"/>
        </w:rPr>
        <w:t xml:space="preserve">Nos Blocos B1 e B2, a amostra estima a taxa de erro do script. Cada coleta tem uma amostra de auditoria sorteada por script, com semente fixa: 20% dos concorrentes e do entorno, estratificados por capital e faixa de volume; 200 avaliações, 200 posts do Instagram, 200 itens de cardápio e 200 jogos, com mínimo de 3 por concorrente. Cada unidade sorteada é conferida na página. A taxa de erro de cada variável sai com intervalo de confiança de 95% pelo método de Wilson (1927) </w:t>
      </w:r>
      <w:r>
        <w:rPr>
          <w:rFonts w:ascii="Arial" w:cs="Arial" w:eastAsia="Arial" w:hAnsi="Arial"/>
          <w:sz w:val="24"/>
          <w:szCs w:val="24"/>
        </w:rPr>
        <w:t xml:space="preserve">[AV]</w:t>
      </w:r>
      <w:r>
        <w:rPr>
          <w:rFonts w:ascii="Arial" w:cs="Arial" w:eastAsia="Arial" w:hAnsi="Arial"/>
          <w:sz w:val="24"/>
          <w:szCs w:val="24"/>
        </w:rPr>
        <w:t xml:space="preserve">. A variável é aceita quando o limite superior do intervalo fica em 5% ou menos: com 200 conferências, isso admite até 3 erros. Variável reprovada tem o script corrigido e o estrato coletado de novo.</w:t>
      </w:r>
    </w:p>
    <w:p>
      <w:pPr>
        <w:spacing w:after="0" w:line="360"/>
        <w:ind w:firstLine="709"/>
        <w:jc w:val="both"/>
      </w:pPr>
      <w:r>
        <w:rPr>
          <w:rFonts w:ascii="Arial" w:cs="Arial" w:eastAsia="Arial" w:hAnsi="Arial"/>
          <w:sz w:val="24"/>
          <w:szCs w:val="24"/>
        </w:rPr>
        <w:t xml:space="preserve">A amostra das avaliações inclui todos os concorrentes. A razão é o padrão das falhas: elas se concentram em certas páginas, e um concorrente fora da amostra esconderia a falha. Erro concentrado num grupo gera viés, e o tamanho da base não o dilui (MENG, 2018) </w:t>
      </w:r>
      <w:r>
        <w:rPr>
          <w:rFonts w:ascii="Arial" w:cs="Arial" w:eastAsia="Arial" w:hAnsi="Arial"/>
          <w:sz w:val="24"/>
          <w:szCs w:val="24"/>
        </w:rPr>
        <w:t xml:space="preserve">[AV]</w:t>
      </w:r>
      <w:r>
        <w:rPr>
          <w:rFonts w:ascii="Arial" w:cs="Arial" w:eastAsia="Arial" w:hAnsi="Arial"/>
          <w:sz w:val="24"/>
          <w:szCs w:val="24"/>
        </w:rPr>
        <w:t xml:space="preserve">. Por isso, a completude é conferida em todos os concorrentes: o número de avaliações com texto no recorte, contado na página, é comparado ao coletado.</w:t>
      </w:r>
    </w:p>
    <w:p>
      <w:pPr>
        <w:spacing w:after="0" w:line="360"/>
        <w:ind w:firstLine="709"/>
        <w:jc w:val="both"/>
      </w:pPr>
      <w:r>
        <w:rPr>
          <w:rFonts w:ascii="Arial" w:cs="Arial" w:eastAsia="Arial" w:hAnsi="Arial"/>
          <w:sz w:val="24"/>
          <w:szCs w:val="24"/>
        </w:rPr>
        <w:t xml:space="preserve">A cobertura do Bloco B1 é checada por buscas manuais nas capitais e por uma bola de neve no Instagram: conta seguida por três ou mais concorrentes vira candidata e é classificada à mão. A sobreposição das duas listas estima a cobertura por captura e recaptura, como limite inferior.</w:t>
      </w:r>
    </w:p>
    <w:p>
      <w:pPr>
        <w:spacing w:after="0" w:line="360"/>
        <w:ind w:firstLine="709"/>
        <w:jc w:val="both"/>
      </w:pPr>
      <w:r>
        <w:rPr>
          <w:rFonts w:ascii="Arial" w:cs="Arial" w:eastAsia="Arial" w:hAnsi="Arial"/>
          <w:sz w:val="24"/>
          <w:szCs w:val="24"/>
        </w:rPr>
        <w:t xml:space="preserve">A codificação das avaliações é validada por recodificação cega. O autor codifica de novo 139 avaliações sorteadas com estratificação, sem ver a primeira codificação. A concordância é medida pelo kappa de Cohen (COHEN, 1960) </w:t>
      </w:r>
      <w:r>
        <w:rPr>
          <w:rFonts w:ascii="Arial" w:cs="Arial" w:eastAsia="Arial" w:hAnsi="Arial"/>
          <w:sz w:val="24"/>
          <w:szCs w:val="24"/>
        </w:rPr>
        <w:t xml:space="preserve">[AV]</w:t>
      </w:r>
      <w:r>
        <w:rPr>
          <w:rFonts w:ascii="Arial" w:cs="Arial" w:eastAsia="Arial" w:hAnsi="Arial"/>
          <w:sz w:val="24"/>
          <w:szCs w:val="24"/>
        </w:rPr>
        <w:t xml:space="preserve">, por tema, com aceitação a partir de 0,70. Tema abaixo do critério tem a definição revista; se continuar abaixo, é reportado como exploratório e não sustenta premissa sozinho.</w:t>
      </w:r>
    </w:p>
    <w:p>
      <w:pPr>
        <w:spacing w:after="0" w:line="360"/>
        <w:ind w:firstLine="709"/>
        <w:jc w:val="both"/>
      </w:pPr>
      <w:r>
        <w:rPr>
          <w:rFonts w:ascii="Arial" w:cs="Arial" w:eastAsia="Arial" w:hAnsi="Arial"/>
          <w:sz w:val="24"/>
          <w:szCs w:val="24"/>
        </w:rPr>
        <w:t xml:space="preserve">No Bloco B3 não há gravação para auditar depois. A validação usa a consistência do próprio registro: a contagem inicial mais as entradas e menos as saídas é comparada às contagens periódicas de mesas, e os grupos sem saída são separados entre censurados, ainda no salão, e omissões. As três estimativas de fluxo — pela porta, pelas mesas e pelas notas — são comparadas em cada visita. Dado não anotado é tratado como faltante, sem imputação.</w:t>
      </w:r>
    </w:p>
    <w:p>
      <w:pPr>
        <w:pStyle w:val="Heading1"/>
        <w:keepNext/>
        <w:spacing w:after="240" w:before="360" w:line="360"/>
      </w:pPr>
      <w:r>
        <w:rPr>
          <w:rFonts w:ascii="Arial" w:cs="Arial" w:eastAsia="Arial" w:hAnsi="Arial"/>
          <w:b/>
          <w:bCs/>
          <w:sz w:val="24"/>
          <w:szCs w:val="24"/>
        </w:rPr>
        <w:t xml:space="preserve">3.5 TÉCNICAS DE ANÁLISE E CONTROLES</w:t>
      </w:r>
    </w:p>
    <w:p>
      <w:pPr>
        <w:pStyle w:val="Heading2"/>
        <w:keepNext/>
        <w:spacing w:after="120" w:before="240" w:line="360"/>
      </w:pPr>
      <w:r>
        <w:rPr>
          <w:rFonts w:ascii="Arial" w:cs="Arial" w:eastAsia="Arial" w:hAnsi="Arial"/>
          <w:b/>
          <w:bCs/>
          <w:sz w:val="24"/>
          <w:szCs w:val="24"/>
        </w:rPr>
        <w:t xml:space="preserve">3.5.1 Análises por área do plano</w:t>
      </w:r>
    </w:p>
    <w:p>
      <w:pPr>
        <w:spacing w:after="0" w:line="360"/>
        <w:ind w:firstLine="709"/>
        <w:jc w:val="both"/>
      </w:pPr>
      <w:r>
        <w:rPr>
          <w:rFonts w:ascii="Arial" w:cs="Arial" w:eastAsia="Arial" w:hAnsi="Arial"/>
          <w:sz w:val="24"/>
          <w:szCs w:val="24"/>
        </w:rPr>
        <w:t xml:space="preserve">No marketing, a análise de penalidade e recompensa — nota média com e sem crítica a cada tema, ponderada por concorrente — separa os atributos obrigatórios dos que diferenciam. Os cardápios são comparados por categoria e por metrópole.</w:t>
      </w:r>
    </w:p>
    <w:p>
      <w:pPr>
        <w:spacing w:after="0" w:line="360"/>
        <w:ind w:firstLine="709"/>
        <w:jc w:val="both"/>
      </w:pPr>
      <w:r>
        <w:rPr>
          <w:rFonts w:ascii="Arial" w:cs="Arial" w:eastAsia="Arial" w:hAnsi="Arial"/>
          <w:sz w:val="24"/>
          <w:szCs w:val="24"/>
        </w:rPr>
        <w:t xml:space="preserve">No operacional, as reclamações são ordenadas pela frequência de cada tema negativo; o tamanho dos grupos e a permanência do Bloco B3 dimensionam as mesas.</w:t>
      </w:r>
    </w:p>
    <w:p>
      <w:pPr>
        <w:spacing w:after="0" w:line="360"/>
        <w:ind w:firstLine="709"/>
        <w:jc w:val="both"/>
      </w:pPr>
      <w:r>
        <w:rPr>
          <w:rFonts w:ascii="Arial" w:cs="Arial" w:eastAsia="Arial" w:hAnsi="Arial"/>
          <w:sz w:val="24"/>
          <w:szCs w:val="24"/>
        </w:rPr>
        <w:t xml:space="preserve">No financeiro, cada premissa crítica tem técnica e limitação próprias. A taxa de ocupação de fim de semana vem da contagem direta. O ticket médio vem do consumo por pessoa — uma bebida e uma entrada ou prato, por metrópole, com o couvert somado só onde foi encontrado (cesta completa) —, calibrada pelos valores citados nas avaliações e pelos preços da São Jogue e checada contra a POF. A </w:t>
      </w:r>
      <w:r>
        <w:rPr>
          <w:rFonts w:ascii="Arial" w:cs="Arial" w:eastAsia="Arial" w:hAnsi="Arial"/>
          <w:b/>
          <w:bCs/>
          <w:sz w:val="24"/>
          <w:szCs w:val="24"/>
        </w:rPr>
        <w:t xml:space="preserve">permanência</w:t>
      </w:r>
      <w:r>
        <w:rPr>
          <w:rFonts w:ascii="Arial" w:cs="Arial" w:eastAsia="Arial" w:hAnsi="Arial"/>
          <w:sz w:val="24"/>
          <w:szCs w:val="24"/>
        </w:rPr>
        <w:t xml:space="preserve"> — tempo entre a entrada e a saída de um grupo — sai das visitas; o </w:t>
      </w:r>
      <w:r>
        <w:rPr>
          <w:rFonts w:ascii="Arial" w:cs="Arial" w:eastAsia="Arial" w:hAnsi="Arial"/>
          <w:b/>
          <w:bCs/>
          <w:sz w:val="24"/>
          <w:szCs w:val="24"/>
        </w:rPr>
        <w:t xml:space="preserve">giro</w:t>
      </w:r>
      <w:r>
        <w:rPr>
          <w:rFonts w:ascii="Arial" w:cs="Arial" w:eastAsia="Arial" w:hAnsi="Arial"/>
          <w:sz w:val="24"/>
          <w:szCs w:val="24"/>
        </w:rPr>
        <w:t xml:space="preserve">, número de grupos que uma mesa recebe por dia, é o horário de funcionamento dividido pela permanência média.</w:t>
      </w:r>
    </w:p>
    <w:p>
      <w:pPr>
        <w:pStyle w:val="Heading2"/>
        <w:keepNext/>
        <w:spacing w:after="120" w:before="240" w:line="360"/>
      </w:pPr>
      <w:r>
        <w:rPr>
          <w:rFonts w:ascii="Arial" w:cs="Arial" w:eastAsia="Arial" w:hAnsi="Arial"/>
          <w:b/>
          <w:bCs/>
          <w:sz w:val="24"/>
          <w:szCs w:val="24"/>
        </w:rPr>
        <w:t xml:space="preserve">3.5.2 Calibração do fluxo</w:t>
      </w:r>
    </w:p>
    <w:p>
      <w:pPr>
        <w:spacing w:after="0" w:line="360"/>
        <w:ind w:firstLine="709"/>
        <w:jc w:val="both"/>
      </w:pPr>
      <w:r>
        <w:rPr>
          <w:rFonts w:ascii="Arial" w:cs="Arial" w:eastAsia="Arial" w:hAnsi="Arial"/>
          <w:sz w:val="24"/>
          <w:szCs w:val="24"/>
        </w:rPr>
        <w:t xml:space="preserve">O </w:t>
      </w:r>
      <w:r>
        <w:rPr>
          <w:rFonts w:ascii="Arial" w:cs="Arial" w:eastAsia="Arial" w:hAnsi="Arial"/>
          <w:b/>
          <w:bCs/>
          <w:sz w:val="24"/>
          <w:szCs w:val="24"/>
        </w:rPr>
        <w:t xml:space="preserve">fluxo</w:t>
      </w:r>
      <w:r>
        <w:rPr>
          <w:rFonts w:ascii="Arial" w:cs="Arial" w:eastAsia="Arial" w:hAnsi="Arial"/>
          <w:sz w:val="24"/>
          <w:szCs w:val="24"/>
        </w:rPr>
        <w:t xml:space="preserve"> é o número de visitantes por semana. Na São Jogue, ele é estimado por dois caminhos independentes. O primeiro usa as notas fiscais: notas emitidas no intervalo entre as visitas, por dia, vezes sete, vezes as pessoas por nota observadas. Como a nota só sai a pedido, esse caminho dá o limite inferior. O segundo usa a contagem: pessoas por hora no movimento máximo vezes as horas de funcionamento do fim de semana, o que dá o limite superior. A divergência entre os dois define a faixa da premissa.</w:t>
      </w:r>
    </w:p>
    <w:p>
      <w:pPr>
        <w:spacing w:after="0" w:line="360"/>
        <w:ind w:firstLine="709"/>
        <w:jc w:val="both"/>
      </w:pPr>
      <w:r>
        <w:rPr>
          <w:rFonts w:ascii="Arial" w:cs="Arial" w:eastAsia="Arial" w:hAnsi="Arial"/>
          <w:sz w:val="24"/>
          <w:szCs w:val="24"/>
        </w:rPr>
        <w:t xml:space="preserve">A calibração estende a medida aos demais concorrentes. A velocidade de avaliações da São Jogue, dividida pelo seu fluxo estimado, dá a razão entre avaliações e visitantes. A velocidade de avaliações de cada concorrente, dividida por essa razão, estima o seu fluxo, sempre em faixa. O resultado entra no registro de premissas com nível N5 + N3.</w:t>
      </w:r>
    </w:p>
    <w:p>
      <w:pPr>
        <w:pStyle w:val="Heading2"/>
        <w:keepNext/>
        <w:spacing w:after="120" w:before="240" w:line="360"/>
      </w:pPr>
      <w:r>
        <w:rPr>
          <w:rFonts w:ascii="Arial" w:cs="Arial" w:eastAsia="Arial" w:hAnsi="Arial"/>
          <w:b/>
          <w:bCs/>
          <w:sz w:val="24"/>
          <w:szCs w:val="24"/>
        </w:rPr>
        <w:t xml:space="preserve">3.5.3 Controles estatísticos</w:t>
      </w:r>
    </w:p>
    <w:p>
      <w:pPr>
        <w:spacing w:after="0" w:line="360"/>
        <w:ind w:firstLine="709"/>
        <w:jc w:val="both"/>
      </w:pPr>
      <w:r>
        <w:rPr>
          <w:rFonts w:ascii="Arial" w:cs="Arial" w:eastAsia="Arial" w:hAnsi="Arial"/>
          <w:sz w:val="24"/>
          <w:szCs w:val="24"/>
        </w:rPr>
        <w:t xml:space="preserve">As análises com avaliações dão peso igual a cada concorrente, para que os mais movimentados não dominem o resultado. Toda proporção ou média usada em premissa vem com intervalo de confiança. Os resultados são refeitos sem os cinco concorrentes de maior volume e sem os de menos de 10 avaliações no recorte.</w:t>
      </w:r>
    </w:p>
    <w:p>
      <w:pPr>
        <w:pStyle w:val="Heading1"/>
        <w:keepNext/>
        <w:spacing w:after="240" w:before="360" w:line="360"/>
      </w:pPr>
      <w:r>
        <w:rPr>
          <w:rFonts w:ascii="Arial" w:cs="Arial" w:eastAsia="Arial" w:hAnsi="Arial"/>
          <w:b/>
          <w:bCs/>
          <w:sz w:val="24"/>
          <w:szCs w:val="24"/>
        </w:rPr>
        <w:t xml:space="preserve">3.6 MATRIZ DE EVIDÊNCIAS</w:t>
      </w:r>
    </w:p>
    <w:p>
      <w:pPr>
        <w:spacing w:after="0" w:line="360"/>
        <w:ind w:firstLine="709"/>
        <w:jc w:val="both"/>
      </w:pPr>
      <w:r>
        <w:rPr>
          <w:rFonts w:ascii="Arial" w:cs="Arial" w:eastAsia="Arial" w:hAnsi="Arial"/>
          <w:sz w:val="24"/>
          <w:szCs w:val="24"/>
        </w:rPr>
        <w:t xml:space="preserve">A matriz liga cada decisão do plano à pergunta que ela responde, ao dado usado, à fonte e ao nível de evidência (Quadro 3.4). Toda premissa crítica do cap. 9 aparece nela.</w:t>
      </w:r>
    </w:p>
    <w:p>
      <w:pPr>
        <w:keepNext/>
        <w:spacing w:after="0" w:before="240" w:line="240"/>
        <w:jc w:val="left"/>
      </w:pPr>
      <w:r>
        <w:rPr>
          <w:rFonts w:ascii="Arial" w:cs="Arial" w:eastAsia="Arial" w:hAnsi="Arial"/>
          <w:b/>
          <w:bCs/>
          <w:sz w:val="20"/>
          <w:szCs w:val="20"/>
        </w:rPr>
        <w:t xml:space="preserve">Quadro 3.4 – Matriz de evidências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5"/>
        <w:gridCol w:w="1591"/>
        <w:gridCol w:w="1591"/>
        <w:gridCol w:w="2387"/>
        <w:gridCol w:w="797"/>
      </w:tblGrid>
      <w:tr>
        <w:trPr>
          <w:cantSplit/>
          <w:tblHeader/>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Decisão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Pergunta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Dado usado</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Fonte</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Nível</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Em que bairro abrir?</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Onde está o público, longe da concorrência e com aluguel compatível?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População, idade e renda; localização da São Jogue; aluguel; entorno</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Censo 2022; PNAD Contínua; B1; FipeZap</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N2 + N3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modelo de cobrança?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modelo o mercado pratica e qual gera menos reclamação de preço?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Política de cobrança; críticas a preço</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B1 e B2</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Que cardápio oferecer?</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o peso da comida na nota e que itens e preços o mercado pratica?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Temas de comida × nota; cardápios</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B1 e B2</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ticket médio projetar?</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Quanto uma pessoa gasta por visita?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Consumo por pessoa do cardápio; valores citados; NFC-e; POF</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B1, B2, B3 e B4</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N3 + N5 + N2</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taxa de ocupação projetar?</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Quantas mesas um concorrente comparável ocupa?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Ocupação minuto a minuto; notas emitidas (piso); velocidade de avaliações calibrada</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B2 e B3</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N5 + N3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giro projetar?</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Quanto tempo uma mesa fica ocupada?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Permanência observada; modelos de cobrança</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B1 e B3</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N5</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Quantas mesas e de que tamanho?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Quantas pessoas ocupam cada mesa?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Tamanho do grupo citado e observado</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B2 e B3</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N3 + N5</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acervo inicial?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Que jogos o público cita, quais os concorrentes têm e quanto custam?</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Jogos citados; acervos; cesta de jogos</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B1 e B2</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regime tributário?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a carga sobre a receita projetada?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Alíquotas</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LC 123/2006; CONCLA</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N1</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taxa de desconto?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Qual o custo de oportunidade do capital?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Selic e IPCA projetados</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Banco Central (Focus)</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N2</w:t>
            </w:r>
          </w:p>
        </w:tc>
      </w:tr>
    </w:tbl>
    <w:p>
      <w:pPr>
        <w:keepNext w:val="false"/>
        <w:spacing w:after="240" w:before="0" w:line="240"/>
        <w:jc w:val="left"/>
      </w:pPr>
      <w:r>
        <w:rPr>
          <w:rFonts w:ascii="Arial" w:cs="Arial" w:eastAsia="Arial" w:hAnsi="Arial"/>
          <w:sz w:val="20"/>
          <w:szCs w:val="20"/>
        </w:rPr>
        <w:t xml:space="preserve">Fonte: elaboração própria.</w:t>
      </w:r>
    </w:p>
    <w:p>
      <w:pPr>
        <w:pStyle w:val="Heading1"/>
        <w:keepNext/>
        <w:spacing w:after="240" w:before="360" w:line="360"/>
      </w:pPr>
      <w:r>
        <w:rPr>
          <w:rFonts w:ascii="Arial" w:cs="Arial" w:eastAsia="Arial" w:hAnsi="Arial"/>
          <w:b/>
          <w:bCs/>
          <w:sz w:val="24"/>
          <w:szCs w:val="24"/>
        </w:rPr>
        <w:t xml:space="preserve">3.7 ASPECTOS ÉTICOS E LEGAIS</w:t>
      </w:r>
    </w:p>
    <w:p>
      <w:pPr>
        <w:spacing w:after="0" w:line="360"/>
        <w:ind w:firstLine="709"/>
        <w:jc w:val="both"/>
      </w:pPr>
      <w:r>
        <w:rPr>
          <w:rFonts w:ascii="Arial" w:cs="Arial" w:eastAsia="Arial" w:hAnsi="Arial"/>
          <w:sz w:val="24"/>
          <w:szCs w:val="24"/>
        </w:rPr>
        <w:t xml:space="preserve">As avaliações são informações de acesso público. O nome de usuário, único dado que identificaria o autor, é trocado por um código aleatório na coleta, e nem nome nem link são guardados. Trechos citados são curtos e sem elemento identificador.</w:t>
      </w:r>
    </w:p>
    <w:p>
      <w:pPr>
        <w:spacing w:after="0" w:line="360"/>
        <w:ind w:firstLine="709"/>
        <w:jc w:val="both"/>
      </w:pPr>
      <w:r>
        <w:rPr>
          <w:rFonts w:ascii="Arial" w:cs="Arial" w:eastAsia="Arial" w:hAnsi="Arial"/>
          <w:sz w:val="24"/>
          <w:szCs w:val="24"/>
        </w:rPr>
        <w:t xml:space="preserve">A contagem direta é observação agregada, feita dentro de espaço comercial aberto ao público, com o observador sentado como cliente. Não há fotos de pessoas, registro de características individuais nem interação com clientes. O número da NFC-e vem de nota emitida para compra do próprio autor.</w:t>
      </w:r>
    </w:p>
    <w:p>
      <w:pPr>
        <w:spacing w:after="0" w:line="360"/>
        <w:ind w:firstLine="709"/>
        <w:jc w:val="both"/>
      </w:pPr>
      <w:r>
        <w:rPr>
          <w:rFonts w:ascii="Arial" w:cs="Arial" w:eastAsia="Arial" w:hAnsi="Arial"/>
          <w:sz w:val="24"/>
          <w:szCs w:val="24"/>
        </w:rPr>
        <w:t xml:space="preserve">O tratamento segue a Lei nº 13.709/2018 (Lei Geral de Proteção de Dados) e a Resolução CNS nº 510/2016, que trata das pesquisas em ciências humanas e sociais com dados de acesso público e informações agregadas </w:t>
      </w:r>
      <w:r>
        <w:rPr>
          <w:rFonts w:ascii="Arial" w:cs="Arial" w:eastAsia="Arial" w:hAnsi="Arial"/>
          <w:sz w:val="24"/>
          <w:szCs w:val="24"/>
        </w:rPr>
        <w:t xml:space="preserve">[AV]</w:t>
      </w:r>
      <w:r>
        <w:rPr>
          <w:rFonts w:ascii="Arial" w:cs="Arial" w:eastAsia="Arial" w:hAnsi="Arial"/>
          <w:sz w:val="24"/>
          <w:szCs w:val="24"/>
        </w:rPr>
        <w:t xml:space="preserve">. A dispensa de submissão ao Comitê de Ética foi consultada com a orientação.</w:t>
      </w:r>
    </w:p>
    <w:p>
      <w:pPr>
        <w:pStyle w:val="Heading1"/>
        <w:keepNext/>
        <w:spacing w:after="240" w:before="360" w:line="360"/>
      </w:pPr>
      <w:r>
        <w:rPr>
          <w:rFonts w:ascii="Arial" w:cs="Arial" w:eastAsia="Arial" w:hAnsi="Arial"/>
          <w:b/>
          <w:bCs/>
          <w:sz w:val="24"/>
          <w:szCs w:val="24"/>
        </w:rPr>
        <w:t xml:space="preserve">3.8 LIMITAÇÕES</w:t>
      </w:r>
    </w:p>
    <w:p>
      <w:pPr>
        <w:spacing w:after="0" w:line="360"/>
        <w:ind w:firstLine="709"/>
        <w:jc w:val="both"/>
      </w:pPr>
      <w:r>
        <w:rPr>
          <w:rFonts w:ascii="Arial" w:cs="Arial" w:eastAsia="Arial" w:hAnsi="Arial"/>
          <w:sz w:val="24"/>
          <w:szCs w:val="24"/>
        </w:rPr>
        <w:t xml:space="preserve">O método mede bem o que acontece nos concorrentes estabelecidos e no movimento máximo da São Jogue; mede mal a média da semana e a variação ao longo do ano. Cada limitação entra na faixa da premissa que ela afeta (Quadro 3.5).</w:t>
      </w:r>
    </w:p>
    <w:p>
      <w:pPr>
        <w:keepNext/>
        <w:spacing w:after="0" w:before="240" w:line="240"/>
        <w:jc w:val="left"/>
      </w:pPr>
      <w:r>
        <w:rPr>
          <w:rFonts w:ascii="Arial" w:cs="Arial" w:eastAsia="Arial" w:hAnsi="Arial"/>
          <w:b/>
          <w:bCs/>
          <w:sz w:val="20"/>
          <w:szCs w:val="20"/>
        </w:rPr>
        <w:t xml:space="preserve">Quadro 3.5 – Limitações e tratamento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67"/>
        <w:gridCol w:w="2451"/>
        <w:gridCol w:w="2453"/>
      </w:tblGrid>
      <w:tr>
        <w:trPr>
          <w:cantSplit/>
          <w:tblHeader/>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Limitação</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Efeito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Tratamento</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Autosseleção de quem avalia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Experiências extremas e usuários ativos ficam sobrerrepresentados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Peso igual por concorrente; declarada</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Recorte de três meses de avaliações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mede sazonalidade; o rótulo do Google é arredondado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Data da coleta registrada; sazonalidade como premissa com faixa</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Corte de 100 avaliações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Exclui casas novas ou pequenas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Total da busca apresentado ao lado do recorte</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Contagem em um só estabelecimento, quatro noites de sexta e sábado</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Ocupação do movimento máximo supera a média da semana; a razão de calibração pode não valer em outros locais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Contagem como limite superior; notas como piso; ocupação no tornado</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NFC-e só a pedido do cliente</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Notas emitidas são piso das vendas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Caminho das notas como limite inferior; retomada em 11.3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Um único intervalo de notas por unidade (6 e 13 dias, abaixo dos 15 planejados)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capta a variação do mês nem a sazonalidade</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Notas por dia em faixa; retomada em 11.3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Observação dentro do salão</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 mesa do observador ocupa um lugar; nem todas as mesas são vistas ao mesmo tempo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Mesa do observador fora do denominador; contagens periódicas</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Permanência censurada pelo início e fim da visita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Subestima a permanência dos grupos longos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Censurados sinalizados e contados à parte</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Falhas do script de coleta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Registros perdidos ou campos errados, concentrados em algumas páginas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Auditoria com taxa de erro e IC 95%; recoleta do estrato</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Erro de codificação das avaliações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Viés nos temas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Recodificação cega com kappa; tema reprovado vira exploratório</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FipeZap por cidade e POF de 2017-2018</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Aluguel sem distinção de bairro; valores defasados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Faixa larga; correção pelo IPCA; cotação do ponto antes de investir</w:t>
            </w:r>
          </w:p>
        </w:tc>
      </w:tr>
    </w:tbl>
    <w:p>
      <w:pPr>
        <w:keepNext w:val="false"/>
        <w:spacing w:after="240" w:before="0" w:line="240"/>
        <w:jc w:val="left"/>
      </w:pPr>
      <w:r>
        <w:rPr>
          <w:rFonts w:ascii="Arial" w:cs="Arial" w:eastAsia="Arial" w:hAnsi="Arial"/>
          <w:sz w:val="20"/>
          <w:szCs w:val="20"/>
        </w:rPr>
        <w:t xml:space="preserve">Fonte: elaboração própria.</w:t>
      </w:r>
    </w:p>
    <w:p>
      <w:pPr>
        <w:pStyle w:val="Title"/>
        <w:pageBreakBefore/>
        <w:spacing w:after="480" w:line="360"/>
        <w:jc w:val="center"/>
      </w:pPr>
      <w:r>
        <w:rPr>
          <w:rFonts w:ascii="Arial" w:cs="Arial" w:eastAsia="Arial" w:hAnsi="Arial"/>
          <w:b/>
          <w:bCs/>
          <w:sz w:val="24"/>
          <w:szCs w:val="24"/>
        </w:rPr>
        <w:t xml:space="preserve">4 SUMÁRIO EXECUTIVO</w:t>
      </w:r>
    </w:p>
    <w:p>
      <w:pPr>
        <w:pStyle w:val="Heading1"/>
        <w:keepNext/>
        <w:spacing w:after="240" w:before="360" w:line="360"/>
      </w:pPr>
      <w:r>
        <w:rPr>
          <w:rFonts w:ascii="Arial" w:cs="Arial" w:eastAsia="Arial" w:hAnsi="Arial"/>
          <w:b/>
          <w:bCs/>
          <w:sz w:val="24"/>
          <w:szCs w:val="24"/>
        </w:rPr>
        <w:t xml:space="preserve">4.1 CONCEITO DO NEGÓCIO</w:t>
      </w:r>
    </w:p>
    <w:p>
      <w:pPr>
        <w:spacing w:after="0" w:line="360"/>
        <w:ind w:firstLine="709"/>
        <w:jc w:val="both"/>
      </w:pPr>
      <w:r>
        <w:rPr>
          <w:rFonts w:ascii="Arial" w:cs="Arial" w:eastAsia="Arial" w:hAnsi="Arial"/>
          <w:sz w:val="24"/>
          <w:szCs w:val="24"/>
        </w:rPr>
        <w:t xml:space="preserve">A luderia é um salão de jogos de tabuleiro com cozinha e bar, na Pituba, em Salvador. O cliente paga uma taxa de entrada por pessoa, por turno de 3 horas, escolhe entre 322 títulos com a ajuda de um instrutor e consome alimentos e bebidas na mesa. </w:t>
      </w:r>
      <w:r>
        <w:rPr>
          <w:rFonts w:ascii="Arial" w:cs="Arial" w:eastAsia="Arial" w:hAnsi="Arial"/>
          <w:sz w:val="24"/>
          <w:szCs w:val="24"/>
        </w:rPr>
        <w:t xml:space="preserve">[proposta de valor em uma frase, do 6.1]</w:t>
      </w:r>
    </w:p>
    <w:p>
      <w:pPr>
        <w:pStyle w:val="Heading1"/>
        <w:keepNext/>
        <w:spacing w:after="240" w:before="360" w:line="360"/>
      </w:pPr>
      <w:r>
        <w:rPr>
          <w:rFonts w:ascii="Arial" w:cs="Arial" w:eastAsia="Arial" w:hAnsi="Arial"/>
          <w:b/>
          <w:bCs/>
          <w:sz w:val="24"/>
          <w:szCs w:val="24"/>
        </w:rPr>
        <w:t xml:space="preserve">4.2 EMPREENDEDOR</w:t>
      </w:r>
    </w:p>
    <w:p>
      <w:pPr>
        <w:spacing w:after="0" w:line="360"/>
        <w:ind w:firstLine="709"/>
        <w:jc w:val="both"/>
      </w:pPr>
      <w:r>
        <w:rPr>
          <w:rFonts w:ascii="Arial" w:cs="Arial" w:eastAsia="Arial" w:hAnsi="Arial"/>
          <w:sz w:val="24"/>
          <w:szCs w:val="24"/>
        </w:rPr>
        <w:t xml:space="preserve">[preencher pelo autor: formação, experiência e competências ligadas ao negócio.]</w:t>
      </w:r>
    </w:p>
    <w:p>
      <w:pPr>
        <w:pStyle w:val="Heading1"/>
        <w:keepNext/>
        <w:spacing w:after="240" w:before="360" w:line="360"/>
      </w:pPr>
      <w:r>
        <w:rPr>
          <w:rFonts w:ascii="Arial" w:cs="Arial" w:eastAsia="Arial" w:hAnsi="Arial"/>
          <w:b/>
          <w:bCs/>
          <w:sz w:val="24"/>
          <w:szCs w:val="24"/>
        </w:rPr>
        <w:t xml:space="preserve">4.3 MISSÃO, VISÃO E VALORES</w:t>
      </w:r>
    </w:p>
    <w:p>
      <w:pPr>
        <w:spacing w:after="0" w:line="360"/>
        <w:ind w:firstLine="709"/>
        <w:jc w:val="both"/>
      </w:pPr>
      <w:r>
        <w:rPr>
          <w:rFonts w:ascii="Arial" w:cs="Arial" w:eastAsia="Arial" w:hAnsi="Arial"/>
          <w:sz w:val="24"/>
          <w:szCs w:val="24"/>
        </w:rPr>
        <w:t xml:space="preserve">[preencher pelo autor.]</w:t>
      </w:r>
    </w:p>
    <w:p>
      <w:pPr>
        <w:pStyle w:val="Heading1"/>
        <w:keepNext/>
        <w:spacing w:after="240" w:before="360" w:line="360"/>
      </w:pPr>
      <w:r>
        <w:rPr>
          <w:rFonts w:ascii="Arial" w:cs="Arial" w:eastAsia="Arial" w:hAnsi="Arial"/>
          <w:b/>
          <w:bCs/>
          <w:sz w:val="24"/>
          <w:szCs w:val="24"/>
        </w:rPr>
        <w:t xml:space="preserve">4.4 SÍNTESE DE MERCADO</w:t>
      </w:r>
    </w:p>
    <w:p>
      <w:pPr>
        <w:spacing w:after="0" w:line="360"/>
        <w:ind w:firstLine="709"/>
        <w:jc w:val="both"/>
      </w:pPr>
      <w:r>
        <w:rPr>
          <w:rFonts w:ascii="Arial" w:cs="Arial" w:eastAsia="Arial" w:hAnsi="Arial"/>
          <w:sz w:val="24"/>
          <w:szCs w:val="24"/>
        </w:rPr>
        <w:t xml:space="preserve">As 14 metrópoles brasileiras têm 54 luderias com mais de 100 avaliações no Google Maps, em 13 delas. Salvador tem uma, a São Jogue, com duas unidades, a 4,8 estrelas em 787 avaliações (Bloco B1). Os concorrentes que publicam a taxa de entrada cobram mediana de R$ 25,00 no fim de semana, e o consumo por pessoa tem mediana de R$ 50,25 (seções 5.3 e 6.3). A Pituba lidera a matriz de bairros pela população de 20 a 39 anos e pela proporção de domicílios em apartamento, e não tem unidade da São Jogue (seção 6.4).</w:t>
      </w:r>
    </w:p>
    <w:p>
      <w:pPr>
        <w:pStyle w:val="Heading1"/>
        <w:keepNext/>
        <w:spacing w:after="240" w:before="360" w:line="360"/>
      </w:pPr>
      <w:r>
        <w:rPr>
          <w:rFonts w:ascii="Arial" w:cs="Arial" w:eastAsia="Arial" w:hAnsi="Arial"/>
          <w:b/>
          <w:bCs/>
          <w:sz w:val="24"/>
          <w:szCs w:val="24"/>
        </w:rPr>
        <w:t xml:space="preserve">4.5 SÍNTESE FINANCEIRA</w:t>
      </w:r>
    </w:p>
    <w:p>
      <w:pPr>
        <w:spacing w:after="0" w:line="360"/>
        <w:ind w:firstLine="709"/>
        <w:jc w:val="both"/>
      </w:pPr>
      <w:r>
        <w:rPr>
          <w:rFonts w:ascii="Arial" w:cs="Arial" w:eastAsia="Arial" w:hAnsi="Arial"/>
          <w:sz w:val="24"/>
          <w:szCs w:val="24"/>
        </w:rPr>
        <w:t xml:space="preserve">O investimento provável é de R$ 503 mil, com a reforma (36%) e o capital de giro (20%) como maiores itens. No ano maduro, a receita bruta é de R$ 73,1 mil por mês, a partir de 48 pessoas por dia, taxa de R$ 28,00 no fim de semana e R$ 22,00 no dia útil e gasto com A&amp;B de R$ 24,00 por pessoa (cap. 9).</w:t>
      </w:r>
    </w:p>
    <w:p>
      <w:pPr>
        <w:keepNext/>
        <w:spacing w:after="0" w:before="240" w:line="240"/>
        <w:jc w:val="left"/>
      </w:pPr>
      <w:r>
        <w:rPr>
          <w:rFonts w:ascii="Arial" w:cs="Arial" w:eastAsia="Arial" w:hAnsi="Arial"/>
          <w:b/>
          <w:bCs/>
          <w:sz w:val="20"/>
          <w:szCs w:val="20"/>
        </w:rPr>
        <w:t xml:space="preserve">Quadro 4.1 – Indicadores por cenário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26"/>
        <w:gridCol w:w="1411"/>
        <w:gridCol w:w="1411"/>
        <w:gridCol w:w="1411"/>
        <w:gridCol w:w="1412"/>
      </w:tblGrid>
      <w:tr>
        <w:trPr>
          <w:cantSplit/>
          <w:tblHeader/>
        </w:trPr>
        <w:tc>
          <w:tcPr>
            <w:tcW w:type="dxa" w:w="342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Indicador</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Pessimista</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Provável</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Provável, equipe do cap. 7</w:t>
            </w:r>
          </w:p>
        </w:tc>
        <w:tc>
          <w:tcPr>
            <w:tcW w:type="dxa" w:w="1412"/>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Otimista</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Investimento inicial</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849.497,00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503.231,00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490.374,00</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288.832,00</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VPL a 15% real</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-2.824.036,00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-478.829,00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-213.787,00</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4.263.293,00</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TIR real</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há</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-21,0%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-0,3%</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394,0%</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Payback descontado</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mais de 5 anos</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mais de 5 anos</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mais de 5 anos</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0,3 ano</w:t>
            </w:r>
          </w:p>
        </w:tc>
      </w:tr>
      <w:tr>
        <w:trPr>
          <w:cantSplit/>
          <w:tblHeader w:val="false"/>
        </w:trPr>
        <w:tc>
          <w:tcPr>
            <w:tcW w:type="dxa" w:w="342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Ponto de equilíbrio mensal</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atinge</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70.411,00</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61.545,00</w:t>
            </w:r>
          </w:p>
        </w:tc>
        <w:tc>
          <w:tcPr>
            <w:tcW w:type="dxa" w:w="1412"/>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atinge</w:t>
            </w:r>
          </w:p>
        </w:tc>
      </w:tr>
    </w:tbl>
    <w:p>
      <w:pPr>
        <w:keepNext w:val="false"/>
        <w:spacing w:after="240" w:before="0" w:line="240"/>
        <w:jc w:val="left"/>
      </w:pPr>
      <w:r>
        <w:rPr>
          <w:rFonts w:ascii="Arial" w:cs="Arial" w:eastAsia="Arial" w:hAnsi="Arial"/>
          <w:sz w:val="20"/>
          <w:szCs w:val="20"/>
        </w:rPr>
        <w:t xml:space="preserve">Fonte: elaborado pelo próprio autor com base no modelo do cap. 9 (31/10/2026).</w:t>
      </w:r>
    </w:p>
    <w:p>
      <w:pPr>
        <w:pStyle w:val="Heading1"/>
        <w:keepNext/>
        <w:spacing w:after="240" w:before="360" w:line="360"/>
      </w:pPr>
      <w:r>
        <w:rPr>
          <w:rFonts w:ascii="Arial" w:cs="Arial" w:eastAsia="Arial" w:hAnsi="Arial"/>
          <w:b/>
          <w:bCs/>
          <w:sz w:val="24"/>
          <w:szCs w:val="24"/>
        </w:rPr>
        <w:t xml:space="preserve">4.6 PARECER DE VIABILIDADE</w:t>
      </w:r>
    </w:p>
    <w:p>
      <w:pPr>
        <w:spacing w:after="0" w:line="360"/>
        <w:ind w:firstLine="709"/>
        <w:jc w:val="both"/>
      </w:pPr>
      <w:r>
        <w:rPr>
          <w:rFonts w:ascii="Arial" w:cs="Arial" w:eastAsia="Arial" w:hAnsi="Arial"/>
          <w:sz w:val="24"/>
          <w:szCs w:val="24"/>
        </w:rPr>
        <w:t xml:space="preserve">O negócio não é viável nas premissas prováveis. Ele passa a ser viável com a equipe de 8 pessoas do cap. 7 e ocupação de fim de semana de 41,5% ou mais, abaixo da média de 46,1% medida nas noites de pico da São Jogue (seção 10.3). A ocupação de dia útil não foi medida e é a premissa que mais precisa de validação antes do investimento, junto com a cotação do ponto e da reforma (seção 10.5).</w:t>
      </w:r>
    </w:p>
    <w:p>
      <w:pPr>
        <w:pStyle w:val="Title"/>
        <w:pageBreakBefore/>
        <w:spacing w:after="480" w:line="360"/>
        <w:jc w:val="center"/>
      </w:pPr>
      <w:r>
        <w:rPr>
          <w:rFonts w:ascii="Arial" w:cs="Arial" w:eastAsia="Arial" w:hAnsi="Arial"/>
          <w:b/>
          <w:bCs/>
          <w:sz w:val="24"/>
          <w:szCs w:val="24"/>
        </w:rPr>
        <w:t xml:space="preserve">5 ANÁLISE DE MERCADO</w:t>
      </w:r>
    </w:p>
    <w:p>
      <w:pPr>
        <w:pStyle w:val="Heading1"/>
        <w:keepNext/>
        <w:spacing w:after="240" w:before="360" w:line="360"/>
      </w:pPr>
      <w:r>
        <w:rPr>
          <w:rFonts w:ascii="Arial" w:cs="Arial" w:eastAsia="Arial" w:hAnsi="Arial"/>
          <w:b/>
          <w:bCs/>
          <w:sz w:val="24"/>
          <w:szCs w:val="24"/>
        </w:rPr>
        <w:t xml:space="preserve">5.1 ANÁLISE DO SETOR</w:t>
      </w:r>
    </w:p>
    <w:p>
      <w:pPr>
        <w:pStyle w:val="Heading2"/>
        <w:keepNext/>
        <w:spacing w:after="120" w:before="240" w:line="360"/>
      </w:pPr>
      <w:r>
        <w:rPr>
          <w:rFonts w:ascii="Arial" w:cs="Arial" w:eastAsia="Arial" w:hAnsi="Arial"/>
          <w:b/>
          <w:bCs/>
          <w:sz w:val="24"/>
          <w:szCs w:val="24"/>
        </w:rPr>
        <w:t xml:space="preserve">5.1.1 Serviços às famílias no Brasil</w:t>
      </w:r>
    </w:p>
    <w:p>
      <w:pPr>
        <w:spacing w:after="0" w:line="360"/>
        <w:ind w:firstLine="709"/>
        <w:jc w:val="both"/>
      </w:pPr>
      <w:r>
        <w:rPr>
          <w:rFonts w:ascii="Arial" w:cs="Arial" w:eastAsia="Arial" w:hAnsi="Arial"/>
          <w:sz w:val="24"/>
          <w:szCs w:val="24"/>
        </w:rPr>
        <w:t xml:space="preserve">Os serviços prestados às famílias recuperaram a perda da pandemia e cresceram acima da inflação. A receita bruta das empresas do segmento caiu 21,2% em 2020 e passou de R$ 223,9 bilhões, em 2019, para R$ 388,9 bilhões, em 2023 (IBGE, PAS, tabela 2611). A alta nominal é de 73,7%; descontado o IPCA do período, o ganho real fica em torno de 36% </w:t>
      </w:r>
      <w:r>
        <w:rPr>
          <w:rFonts w:ascii="Arial" w:cs="Arial" w:eastAsia="Arial" w:hAnsi="Arial"/>
          <w:sz w:val="24"/>
          <w:szCs w:val="24"/>
        </w:rPr>
        <w:t xml:space="preserve">[script]</w:t>
      </w:r>
      <w:r>
        <w:rPr>
          <w:rFonts w:ascii="Arial" w:cs="Arial" w:eastAsia="Arial" w:hAnsi="Arial"/>
          <w:sz w:val="24"/>
          <w:szCs w:val="24"/>
        </w:rPr>
        <w:t xml:space="preserve">. O plano parte, portanto, de um setor em expansão real, e não só de recuperação.</w:t>
      </w:r>
    </w:p>
    <w:p>
      <w:pPr>
        <w:spacing w:after="0" w:line="360"/>
        <w:ind w:firstLine="709"/>
        <w:jc w:val="both"/>
      </w:pPr>
      <w:r>
        <w:rPr>
          <w:rFonts w:ascii="Arial" w:cs="Arial" w:eastAsia="Arial" w:hAnsi="Arial"/>
          <w:sz w:val="24"/>
          <w:szCs w:val="24"/>
        </w:rPr>
        <w:t xml:space="preserve">O crescimento foi maior no lazer que na alimentação. Entre 2019 e 2023, a receita das atividades culturais, recreativas e esportivas subiu 95,4%, de R$ 15,0 bilhões para R$ 29,4 bilhões; a dos serviços de alimentação subiu 67,7%, de R$ 146,6 bilhões para R$ 245,9 bilhões (IBGE, PAS, tabela 2611). Em 2024, os dois segmentos somaram R$ 306,6 bilhões de receita de serviços: R$ 270,9 bilhões na alimentação e R$ 35,7 bilhões no lazer (IBGE, PAS 2024, tabela 10758). A luderia combina as duas atividades: a receita principal vem de alimentos e bebidas, e o diferencial, do lazer.</w:t>
      </w:r>
    </w:p>
    <w:p>
      <w:pPr>
        <w:spacing w:after="0" w:line="360"/>
        <w:ind w:firstLine="709"/>
        <w:jc w:val="both"/>
      </w:pPr>
      <w:r>
        <w:rPr>
          <w:rFonts w:ascii="Arial" w:cs="Arial" w:eastAsia="Arial" w:hAnsi="Arial"/>
          <w:sz w:val="24"/>
          <w:szCs w:val="24"/>
        </w:rPr>
        <w:t xml:space="preserve">A alimentação concentrou-se em menos empresas, e o lazer atraiu novas. O número de empresas de alimentação caiu 8,7% entre 2019 e 2023 (de 241.802 para 220.791), enquanto o de atividades culturais e recreativas cresceu 35,1% (de 38.463 para 51.968) (IBGE, PAS, tabela 2619). A receita média por empresa de alimentação passou de R$ 606 mil para R$ 1,1 milhão no mesmo período </w:t>
      </w:r>
      <w:r>
        <w:rPr>
          <w:rFonts w:ascii="Arial" w:cs="Arial" w:eastAsia="Arial" w:hAnsi="Arial"/>
          <w:sz w:val="24"/>
          <w:szCs w:val="24"/>
        </w:rPr>
        <w:t xml:space="preserve">[script]</w:t>
      </w:r>
      <w:r>
        <w:rPr>
          <w:rFonts w:ascii="Arial" w:cs="Arial" w:eastAsia="Arial" w:hAnsi="Arial"/>
          <w:sz w:val="24"/>
          <w:szCs w:val="24"/>
        </w:rPr>
        <w:t xml:space="preserve">. O dado indica concorrência mais forte por escala no bar e no restaurante comuns, e espaço para entrantes no lazer: a luderia disputa clientes como bar, mas se diferencia como lazer.</w:t>
      </w:r>
    </w:p>
    <w:p>
      <w:pPr>
        <w:spacing w:after="0" w:line="360"/>
        <w:ind w:firstLine="709"/>
        <w:jc w:val="both"/>
      </w:pPr>
      <w:r>
        <w:rPr>
          <w:rFonts w:ascii="Arial" w:cs="Arial" w:eastAsia="Arial" w:hAnsi="Arial"/>
          <w:sz w:val="24"/>
          <w:szCs w:val="24"/>
        </w:rPr>
        <w:t xml:space="preserve">A estrutura de custos dos serviços de alimentação serve de referência para o plano financeiro. Em 2024, os gastos com pessoal equivaleram a 25,1% da receita operacional líquida do segmento, o consumo de mercadorias e materiais a 26,8% e o aluguel de imóveis a 4,0% (IBGE, PAS 2024, tabela 10758) </w:t>
      </w:r>
      <w:r>
        <w:rPr>
          <w:rFonts w:ascii="Arial" w:cs="Arial" w:eastAsia="Arial" w:hAnsi="Arial"/>
          <w:sz w:val="24"/>
          <w:szCs w:val="24"/>
        </w:rPr>
        <w:t xml:space="preserve">[script]</w:t>
      </w:r>
      <w:r>
        <w:rPr>
          <w:rFonts w:ascii="Arial" w:cs="Arial" w:eastAsia="Arial" w:hAnsi="Arial"/>
          <w:sz w:val="24"/>
          <w:szCs w:val="24"/>
        </w:rPr>
        <w:t xml:space="preserve">. Esses percentuais entram como teto de comparação das premissas de custo no cap. 9.</w:t>
      </w:r>
    </w:p>
    <w:p>
      <w:pPr>
        <w:pStyle w:val="Heading2"/>
        <w:keepNext/>
        <w:spacing w:after="120" w:before="240" w:line="360"/>
      </w:pPr>
      <w:r>
        <w:rPr>
          <w:rFonts w:ascii="Arial" w:cs="Arial" w:eastAsia="Arial" w:hAnsi="Arial"/>
          <w:b/>
          <w:bCs/>
          <w:sz w:val="24"/>
          <w:szCs w:val="24"/>
        </w:rPr>
        <w:t xml:space="preserve">5.1.2 Jogos de tabuleiro no Brasil e no mundo</w:t>
      </w:r>
    </w:p>
    <w:p>
      <w:pPr>
        <w:spacing w:after="0" w:line="360"/>
        <w:ind w:firstLine="709"/>
        <w:jc w:val="both"/>
      </w:pPr>
      <w:r>
        <w:rPr>
          <w:rFonts w:ascii="Arial" w:cs="Arial" w:eastAsia="Arial" w:hAnsi="Arial"/>
          <w:sz w:val="24"/>
          <w:szCs w:val="24"/>
        </w:rPr>
        <w:t xml:space="preserve">Os jogos de tabuleiro ganharam participação na indústria nacional de brinquedos. Os jogos de tabuleiro e cartas passaram de 9,1% para 13,1% das vendas do setor entre 2017 e 2025, com alta de 16% no último ano (ABRINQ, 2026). Não há série oficial para o segmento: a Abrinq é a fonte setorial mais alta disponível. O número sustenta o crescimento do hábito de jogar, não a demanda por luderias.</w:t>
      </w:r>
    </w:p>
    <w:p>
      <w:pPr>
        <w:spacing w:after="0" w:line="360"/>
        <w:ind w:firstLine="709"/>
        <w:jc w:val="both"/>
      </w:pPr>
      <w:r>
        <w:rPr>
          <w:rFonts w:ascii="Arial" w:cs="Arial" w:eastAsia="Arial" w:hAnsi="Arial"/>
          <w:sz w:val="24"/>
          <w:szCs w:val="24"/>
        </w:rPr>
        <w:t xml:space="preserve">No mundo, o mercado de jogos de tabuleiro é estimado em R$ 53 bilhões em 2024 (SEBRAE, 2026). </w:t>
      </w:r>
      <w:r>
        <w:rPr>
          <w:rFonts w:ascii="Arial" w:cs="Arial" w:eastAsia="Arial" w:hAnsi="Arial"/>
          <w:sz w:val="24"/>
          <w:szCs w:val="24"/>
        </w:rPr>
        <w:t xml:space="preserve">[BUSCAR a fonte original citada pelo Sebrae; se não houver, mover para nota ou cortar.]</w:t>
      </w:r>
      <w:r>
        <w:rPr>
          <w:rFonts w:ascii="Arial" w:cs="Arial" w:eastAsia="Arial" w:hAnsi="Arial"/>
          <w:sz w:val="24"/>
          <w:szCs w:val="24"/>
        </w:rPr>
        <w:t xml:space="preserve"> O formato de lazer social com jogos já tem escala em outros países: o Reino Unido soma mais de 800 locais de </w:t>
      </w:r>
      <w:r>
        <w:rPr>
          <w:rFonts w:ascii="Arial" w:cs="Arial" w:eastAsia="Arial" w:hAnsi="Arial"/>
          <w:i/>
          <w:iCs/>
          <w:sz w:val="24"/>
          <w:szCs w:val="24"/>
        </w:rPr>
        <w:t xml:space="preserve">competitive socialising</w:t>
      </w:r>
      <w:r>
        <w:rPr>
          <w:rFonts w:ascii="Arial" w:cs="Arial" w:eastAsia="Arial" w:hAnsi="Arial"/>
          <w:sz w:val="24"/>
          <w:szCs w:val="24"/>
        </w:rPr>
        <w:t xml:space="preserve"> (SAVILLS, [s.d.]). </w:t>
      </w:r>
      <w:r>
        <w:rPr>
          <w:rFonts w:ascii="Arial" w:cs="Arial" w:eastAsia="Arial" w:hAnsi="Arial"/>
          <w:sz w:val="24"/>
          <w:szCs w:val="24"/>
        </w:rPr>
        <w:t xml:space="preserve">[Relatório de consultoria imobiliária — nível 3; conferir ano.]</w:t>
      </w:r>
    </w:p>
    <w:p>
      <w:pPr>
        <w:pStyle w:val="Heading2"/>
        <w:keepNext/>
        <w:spacing w:after="120" w:before="240" w:line="360"/>
      </w:pPr>
      <w:r>
        <w:rPr>
          <w:rFonts w:ascii="Arial" w:cs="Arial" w:eastAsia="Arial" w:hAnsi="Arial"/>
          <w:b/>
          <w:bCs/>
          <w:sz w:val="24"/>
          <w:szCs w:val="24"/>
        </w:rPr>
        <w:t xml:space="preserve">5.1.3 Alimentação fora do lar na Bahia</w:t>
      </w:r>
    </w:p>
    <w:p>
      <w:pPr>
        <w:spacing w:after="0" w:line="360"/>
        <w:ind w:firstLine="709"/>
        <w:jc w:val="both"/>
      </w:pPr>
      <w:r>
        <w:rPr>
          <w:rFonts w:ascii="Arial" w:cs="Arial" w:eastAsia="Arial" w:hAnsi="Arial"/>
          <w:sz w:val="24"/>
          <w:szCs w:val="24"/>
        </w:rPr>
        <w:t xml:space="preserve">O consumo de alimentação fora do domicílio pesa mais no orçamento baiano que na média nacional. Na Bahia, a alimentação fora do domicílio respondia por 36,1% da despesa familiar com alimentação, contra 32,8% no Brasil; cervejas, chopes e outras bebidas alcoólicas consumidas fora de casa respondiam por 2,6% da despesa com alimentação na Bahia e 1,5% no Brasil (IBGE, POF 2017-2018). A despesa com recreação e cultura tinha peso semelhante nos dois recortes: 2,2% da despesa total na Bahia e 2,1% no Brasil (IBGE, POF 2017-2018). A propensão local a consumir bebida fora de casa favorece um modelo de receita apoiado em alimentos e bebidas, com o jogo como motivo da visita.</w:t>
      </w:r>
    </w:p>
    <w:p>
      <w:pPr>
        <w:spacing w:after="0" w:line="360"/>
        <w:ind w:firstLine="709"/>
        <w:jc w:val="both"/>
      </w:pPr>
      <w:r>
        <w:rPr>
          <w:rFonts w:ascii="Arial" w:cs="Arial" w:eastAsia="Arial" w:hAnsi="Arial"/>
          <w:sz w:val="24"/>
          <w:szCs w:val="24"/>
        </w:rPr>
        <w:t xml:space="preserve">A POF é de 2017-2018 e não tem recorte para Salvador nesta tabela. O dado entra como evidência de hábito (N2), não como estimativa de gasto atual. </w:t>
      </w:r>
      <w:r>
        <w:rPr>
          <w:rFonts w:ascii="Arial" w:cs="Arial" w:eastAsia="Arial" w:hAnsi="Arial"/>
          <w:sz w:val="24"/>
          <w:szCs w:val="24"/>
        </w:rPr>
        <w:t xml:space="preserve">[Conferir se a POF traz o recorte da Região Metropolitana de Salvador em outra tabela do SIDRA.]</w:t>
      </w:r>
    </w:p>
    <w:p>
      <w:pPr>
        <w:pStyle w:val="Heading2"/>
        <w:keepNext/>
        <w:spacing w:after="120" w:before="240" w:line="360"/>
      </w:pPr>
      <w:r>
        <w:rPr>
          <w:rFonts w:ascii="Arial" w:cs="Arial" w:eastAsia="Arial" w:hAnsi="Arial"/>
          <w:b/>
          <w:bCs/>
          <w:sz w:val="24"/>
          <w:szCs w:val="24"/>
        </w:rPr>
        <w:t xml:space="preserve">5.1.4 Luderias</w:t>
      </w:r>
    </w:p>
    <w:p>
      <w:pPr>
        <w:spacing w:after="0" w:line="360"/>
        <w:ind w:firstLine="709"/>
        <w:jc w:val="both"/>
      </w:pPr>
      <w:r>
        <w:rPr>
          <w:rFonts w:ascii="Arial" w:cs="Arial" w:eastAsia="Arial" w:hAnsi="Arial"/>
          <w:sz w:val="24"/>
          <w:szCs w:val="24"/>
        </w:rPr>
        <w:t xml:space="preserve">Não há levantamento oficial nem setorial sobre luderias no Brasil. O formato não tem código próprio na CNAE: o plano adota a subclasse de restaurantes e similares (5611-2/01), e a São Jogue está na de lanchonetes (5611-2/03) (CONCLA, 2026; cap. 8). Por isso, o tamanho do segmento é medido pelo levantamento próprio do Bloco B1 (seção 5.3), e não por estatística pública. </w:t>
      </w:r>
      <w:r>
        <w:rPr>
          <w:rFonts w:ascii="Arial" w:cs="Arial" w:eastAsia="Arial" w:hAnsi="Arial"/>
          <w:sz w:val="24"/>
          <w:szCs w:val="24"/>
        </w:rPr>
        <w:t xml:space="preserve">[Dados abertos do CNPJ: contar estabelecimentos ativos nas subclasses 5611-2/01 e 5611-2/03 em Salvador, sabendo que nenhuma isola luderias e nas metrópoles, com abertura e baixa por ano — sobrevivência; ver 3_mercado.md.]</w:t>
      </w:r>
    </w:p>
    <w:p>
      <w:pPr>
        <w:pStyle w:val="Heading1"/>
        <w:keepNext/>
        <w:spacing w:after="240" w:before="360" w:line="360"/>
      </w:pPr>
      <w:r>
        <w:rPr>
          <w:rFonts w:ascii="Arial" w:cs="Arial" w:eastAsia="Arial" w:hAnsi="Arial"/>
          <w:b/>
          <w:bCs/>
          <w:sz w:val="24"/>
          <w:szCs w:val="24"/>
        </w:rPr>
        <w:t xml:space="preserve">5.2 PÚBLICO-ALVO E SEGMENTAÇÃO</w:t>
      </w:r>
    </w:p>
    <w:p>
      <w:pPr>
        <w:pStyle w:val="Heading2"/>
        <w:keepNext/>
        <w:spacing w:after="120" w:before="240" w:line="360"/>
      </w:pPr>
      <w:r>
        <w:rPr>
          <w:rFonts w:ascii="Arial" w:cs="Arial" w:eastAsia="Arial" w:hAnsi="Arial"/>
          <w:b/>
          <w:bCs/>
          <w:sz w:val="24"/>
          <w:szCs w:val="24"/>
        </w:rPr>
        <w:t xml:space="preserve">5.2.1 População e renda: Brasil → capitais → Salvador</w:t>
      </w:r>
    </w:p>
    <w:p>
      <w:pPr>
        <w:spacing w:after="0" w:line="360"/>
        <w:ind w:firstLine="709"/>
        <w:jc w:val="both"/>
      </w:pPr>
      <w:r>
        <w:rPr>
          <w:rFonts w:ascii="Arial" w:cs="Arial" w:eastAsia="Arial" w:hAnsi="Arial"/>
          <w:sz w:val="24"/>
          <w:szCs w:val="24"/>
        </w:rPr>
        <w:t xml:space="preserve">Salvador tem a quinta maior população entre as capitais e uma das menores rendas. A população estimada em 2026 é de 2.559.945 habitantes (IBGE, Estimativas da População, 2026); no Censo 2022, 736.849 pessoas, ou 30,5% dos residentes, tinham de 20 a 39 anos (IBGE, Censo 2022). O rendimento médio habitual do trabalho, de R$ 3.417,00 no 2º trimestre de 2026, coloca Salvador em 22º lugar entre as 27 capitais (IBGE, PNAD Contínua). O rendimento domiciliar per capita caiu de R$ 1.985,00, em 2023, para R$ 1.900,00, em 2025, enquanto o do Brasil subiu de R$ 2.039,00 para R$ 2.280,00 (IBGE, PNAD Contínua). A cidade tem público em número, mas com renda menor: o preço de entrada da luderia precisa ficar abaixo da média das metrópoles (retomado em 6.3), e o ponto precisa estar onde a renda se concentra (6.4).</w:t>
      </w:r>
    </w:p>
    <w:p>
      <w:pPr>
        <w:spacing w:after="0" w:line="360"/>
        <w:ind w:firstLine="709"/>
        <w:jc w:val="both"/>
      </w:pPr>
      <w:r>
        <w:rPr>
          <w:rFonts w:ascii="Arial" w:cs="Arial" w:eastAsia="Arial" w:hAnsi="Arial"/>
          <w:sz w:val="24"/>
          <w:szCs w:val="24"/>
        </w:rPr>
        <w:t xml:space="preserve">[Renda por bairro: Censo 2022, rendimento do responsável por setor censitário agregado por bairro — ainda não coletado no B4. População por bairro já existe em ponto_operacoes/.]</w:t>
      </w:r>
    </w:p>
    <w:p>
      <w:pPr>
        <w:pStyle w:val="Heading2"/>
        <w:keepNext/>
        <w:spacing w:after="120" w:before="240" w:line="360"/>
      </w:pPr>
      <w:r>
        <w:rPr>
          <w:rFonts w:ascii="Arial" w:cs="Arial" w:eastAsia="Arial" w:hAnsi="Arial"/>
          <w:b/>
          <w:bCs/>
          <w:sz w:val="24"/>
          <w:szCs w:val="24"/>
        </w:rPr>
        <w:t xml:space="preserve">5.2.2 Ocasiões de consumo e o que o público valoriza</w:t>
      </w:r>
    </w:p>
    <w:p>
      <w:pPr>
        <w:spacing w:after="0" w:line="360"/>
        <w:ind w:firstLine="709"/>
        <w:jc w:val="both"/>
      </w:pPr>
      <w:r>
        <w:rPr>
          <w:rFonts w:ascii="Arial" w:cs="Arial" w:eastAsia="Arial" w:hAnsi="Arial"/>
          <w:sz w:val="24"/>
          <w:szCs w:val="24"/>
        </w:rPr>
        <w:t xml:space="preserve">[B2, provisório — 1.588 avaliações de 53 casas.]</w:t>
      </w:r>
      <w:r>
        <w:rPr>
          <w:rFonts w:ascii="Arial" w:cs="Arial" w:eastAsia="Arial" w:hAnsi="Arial"/>
          <w:sz w:val="24"/>
          <w:szCs w:val="24"/>
        </w:rPr>
        <w:t xml:space="preserve"> O atendimento é o tema mais citado nas avaliações das luderias: aparece em 55,7% das avaliações, seguido de alimentos e bebidas (40,6%) e acervo (26,9%). A mediação lúdica — a explicação de regras pela equipe — aparece em 16,4% e, quando negativa, acompanha nota média de 2,83. Preço e valor percebido aparecem em 12,8%; as menções negativas a preço têm nota média de 3,11. Fonte: elaborado pelo próprio autor com base nas avaliações do Google Maps (Bloco B2, 2026). A decisão afetada é o quadro de pessoal (monitor de jogos) e o peso do cardápio na proposta de valor.</w:t>
      </w:r>
    </w:p>
    <w:p>
      <w:pPr>
        <w:spacing w:after="0" w:line="360"/>
        <w:ind w:firstLine="709"/>
        <w:jc w:val="both"/>
      </w:pPr>
      <w:r>
        <w:rPr>
          <w:rFonts w:ascii="Arial" w:cs="Arial" w:eastAsia="Arial" w:hAnsi="Arial"/>
          <w:sz w:val="24"/>
          <w:szCs w:val="24"/>
        </w:rPr>
        <w:t xml:space="preserve">[Ocasiões (aniversário, encontro, corporativo): frequência a extrair da codificação do B2.]</w:t>
      </w:r>
    </w:p>
    <w:p>
      <w:pPr>
        <w:pStyle w:val="Heading2"/>
        <w:keepNext/>
        <w:spacing w:after="120" w:before="240" w:line="360"/>
      </w:pPr>
      <w:r>
        <w:rPr>
          <w:rFonts w:ascii="Arial" w:cs="Arial" w:eastAsia="Arial" w:hAnsi="Arial"/>
          <w:b/>
          <w:bCs/>
          <w:sz w:val="24"/>
          <w:szCs w:val="24"/>
        </w:rPr>
        <w:t xml:space="preserve">5.2.3 Tamanho do público em Salvador</w:t>
      </w:r>
    </w:p>
    <w:p>
      <w:pPr>
        <w:spacing w:after="0" w:line="360"/>
        <w:ind w:firstLine="709"/>
        <w:jc w:val="both"/>
      </w:pPr>
      <w:r>
        <w:rPr>
          <w:rFonts w:ascii="Arial" w:cs="Arial" w:eastAsia="Arial" w:hAnsi="Arial"/>
          <w:sz w:val="24"/>
          <w:szCs w:val="24"/>
        </w:rPr>
        <w:t xml:space="preserve">[Público estimado do Meta Ads e volume de buscas do planejador de palavras-chave (N5, rastros digitais) cruzados com a faixa de 20 a 39 anos do Censo. Ainda não coletados.]</w:t>
      </w:r>
    </w:p>
    <w:p>
      <w:pPr>
        <w:pStyle w:val="Heading1"/>
        <w:keepNext/>
        <w:spacing w:after="240" w:before="360" w:line="360"/>
      </w:pPr>
      <w:r>
        <w:rPr>
          <w:rFonts w:ascii="Arial" w:cs="Arial" w:eastAsia="Arial" w:hAnsi="Arial"/>
          <w:b/>
          <w:bCs/>
          <w:sz w:val="24"/>
          <w:szCs w:val="24"/>
        </w:rPr>
        <w:t xml:space="preserve">5.3 ANÁLISE DA CONCORRÊNCIA</w:t>
      </w:r>
    </w:p>
    <w:p>
      <w:pPr>
        <w:pStyle w:val="Heading2"/>
        <w:keepNext/>
        <w:spacing w:after="120" w:before="240" w:line="360"/>
      </w:pPr>
      <w:r>
        <w:rPr>
          <w:rFonts w:ascii="Arial" w:cs="Arial" w:eastAsia="Arial" w:hAnsi="Arial"/>
          <w:b/>
          <w:bCs/>
          <w:sz w:val="24"/>
          <w:szCs w:val="24"/>
        </w:rPr>
        <w:t xml:space="preserve">5.3.1 Concorrentes nas 14 metrópoles</w:t>
      </w:r>
    </w:p>
    <w:p>
      <w:pPr>
        <w:spacing w:after="0" w:line="360"/>
        <w:ind w:firstLine="709"/>
        <w:jc w:val="both"/>
      </w:pPr>
      <w:r>
        <w:rPr>
          <w:rFonts w:ascii="Arial" w:cs="Arial" w:eastAsia="Arial" w:hAnsi="Arial"/>
          <w:sz w:val="24"/>
          <w:szCs w:val="24"/>
        </w:rPr>
        <w:t xml:space="preserve">O Bloco B1 identificou 54 luderias com mais de 100 avaliações no Google Maps nas 14 metrópoles da REGIC (IBGE, 2020), em outubro de 2026. São Paulo concentra 19 delas; Belo Horizonte, Brasília e Curitiba têm seis cada; Rio de Janeiro, cinco; Florianópolis, três; Fortaleza e Porto Alegre, duas; Belém, Goiânia, Recife, Salvador e Vitória, uma; Manaus não tem nenhuma (soma: 54). Fonte: elaborado pelo próprio autor com base no Google Maps (Bloco B1, 2026). O recorte descreve concorrentes estabelecidos: casas novas ou com menos de 100 avaliações ficam de fora.</w:t>
      </w:r>
    </w:p>
    <w:p>
      <w:pPr>
        <w:spacing w:after="0" w:line="360"/>
        <w:ind w:firstLine="709"/>
        <w:jc w:val="both"/>
      </w:pPr>
      <w:r>
        <w:rPr>
          <w:rFonts w:ascii="Arial" w:cs="Arial" w:eastAsia="Arial" w:hAnsi="Arial"/>
          <w:sz w:val="24"/>
          <w:szCs w:val="24"/>
        </w:rPr>
        <w:t xml:space="preserve">O desempenho dos concorrentes é homogêneo na nota e disperso no volume. A nota mediana é 4,7 (de 4,2 a 5,0), e o volume mediano de avaliações é 621 (de 105 a 5.137). As casas abrem, em média, 43,9 horas por semana. Fonte: elaborado pelo próprio autor com base no Google Maps (Bloco B1, 2026). Nota alta é condição de entrada no mercado, não diferencial; o volume de avaliações é a variável que separa as casas e alimenta a estimativa de fluxo (cap. 6).</w:t>
      </w:r>
    </w:p>
    <w:p>
      <w:pPr>
        <w:pStyle w:val="Heading2"/>
        <w:keepNext/>
        <w:spacing w:after="120" w:before="240" w:line="360"/>
      </w:pPr>
      <w:r>
        <w:rPr>
          <w:rFonts w:ascii="Arial" w:cs="Arial" w:eastAsia="Arial" w:hAnsi="Arial"/>
          <w:b/>
          <w:bCs/>
          <w:sz w:val="24"/>
          <w:szCs w:val="24"/>
        </w:rPr>
        <w:t xml:space="preserve">5.3.2 Densidade: Salvador frente às demais metrópoles</w:t>
      </w:r>
    </w:p>
    <w:p>
      <w:pPr>
        <w:spacing w:after="0" w:line="360"/>
        <w:ind w:firstLine="709"/>
        <w:jc w:val="both"/>
      </w:pPr>
      <w:r>
        <w:rPr>
          <w:rFonts w:ascii="Arial" w:cs="Arial" w:eastAsia="Arial" w:hAnsi="Arial"/>
          <w:sz w:val="24"/>
          <w:szCs w:val="24"/>
        </w:rPr>
        <w:t xml:space="preserve">Salvador tem a menor oferta de luderias por habitante entre as metrópoles com ao menos uma casa. São cerca de 0,04 luderia por 100 mil habitantes, contra 0,16 em São Paulo, 0,25 em Belo Horizonte e 0,33 em Curitiba </w:t>
      </w:r>
      <w:r>
        <w:rPr>
          <w:rFonts w:ascii="Arial" w:cs="Arial" w:eastAsia="Arial" w:hAnsi="Arial"/>
          <w:sz w:val="24"/>
          <w:szCs w:val="24"/>
        </w:rPr>
        <w:t xml:space="preserve">[script; numerador pela capital da região metropolitana do endereço, denominador pela população do município-sede — alinhar recortes antes de publicar]</w:t>
      </w:r>
      <w:r>
        <w:rPr>
          <w:rFonts w:ascii="Arial" w:cs="Arial" w:eastAsia="Arial" w:hAnsi="Arial"/>
          <w:sz w:val="24"/>
          <w:szCs w:val="24"/>
        </w:rPr>
        <w:t xml:space="preserve">. Fonte: elaborado pelo próprio autor com base no Bloco B1 (2026) e em IBGE (Estimativas da População, 2026). A baixa densidade indica espaço para um segundo concorrente, mas também pode refletir a renda menor (5.2.1): as duas leituras precisam ser testadas pela ocupação observada na São Jogue (Bloco B3).</w:t>
      </w:r>
    </w:p>
    <w:p>
      <w:pPr>
        <w:pStyle w:val="Heading2"/>
        <w:keepNext/>
        <w:spacing w:after="120" w:before="240" w:line="360"/>
      </w:pPr>
      <w:r>
        <w:rPr>
          <w:rFonts w:ascii="Arial" w:cs="Arial" w:eastAsia="Arial" w:hAnsi="Arial"/>
          <w:b/>
          <w:bCs/>
          <w:sz w:val="24"/>
          <w:szCs w:val="24"/>
        </w:rPr>
        <w:t xml:space="preserve">5.3.3 Concorrência em Salvador</w:t>
      </w:r>
    </w:p>
    <w:p>
      <w:pPr>
        <w:spacing w:after="0" w:line="360"/>
        <w:ind w:firstLine="709"/>
        <w:jc w:val="both"/>
      </w:pPr>
      <w:r>
        <w:rPr>
          <w:rFonts w:ascii="Arial" w:cs="Arial" w:eastAsia="Arial" w:hAnsi="Arial"/>
          <w:sz w:val="24"/>
          <w:szCs w:val="24"/>
        </w:rPr>
        <w:t xml:space="preserve">A São Jogue é a única luderia de Salvador no recorte. A unidade Bela Vista (Pernambués) tem nota 4,8, 787 avaliações e abre 68 horas por semana — a quinta maior carga horária do recorte; a unidade Paralela, aberta há menos tempo, tem 16 avaliações e fica abaixo do corte. Fonte: elaborado pelo próprio autor com base no Google Maps (Bloco B1, 2026). A localização das duas unidades, no eixo da Avenida Paralela, define a área já atendida e orienta a escolha de bairro em 6.4.</w:t>
      </w:r>
    </w:p>
    <w:p>
      <w:pPr>
        <w:spacing w:after="0" w:line="360"/>
        <w:ind w:firstLine="709"/>
        <w:jc w:val="both"/>
      </w:pPr>
      <w:r>
        <w:rPr>
          <w:rFonts w:ascii="Arial" w:cs="Arial" w:eastAsia="Arial" w:hAnsi="Arial"/>
          <w:sz w:val="24"/>
          <w:szCs w:val="24"/>
        </w:rPr>
        <w:t xml:space="preserve">O aluguel de jogos para levar para casa é o substituto mais próximo. A plataforma Acervo de Jogos lista seis acervos em Salvador, entre eles Boar Games (549 títulos), Coliseu dos Jogos (373) e a própria São Jogue (351). Fonte: elaborado pelo próprio autor com base em Acervo de Jogos (2026). O aluguel compete com o jogo na mesa, mas não com a ocasião social e o consumo de alimentos e bebidas.</w:t>
      </w:r>
    </w:p>
    <w:p>
      <w:pPr>
        <w:spacing w:after="0" w:line="360"/>
        <w:ind w:firstLine="709"/>
        <w:jc w:val="both"/>
      </w:pPr>
      <w:r>
        <w:rPr>
          <w:rFonts w:ascii="Arial" w:cs="Arial" w:eastAsia="Arial" w:hAnsi="Arial"/>
          <w:sz w:val="24"/>
          <w:szCs w:val="24"/>
        </w:rPr>
        <w:t xml:space="preserve">[Mapa de concorrentes: figura no texto + versão no site. Incluir bares com noite de quiz e lojas com mesa de jogo, como concorrência indireta.]</w:t>
      </w:r>
    </w:p>
    <w:p>
      <w:pPr>
        <w:pStyle w:val="Heading2"/>
        <w:keepNext/>
        <w:spacing w:after="120" w:before="240" w:line="360"/>
      </w:pPr>
      <w:r>
        <w:rPr>
          <w:rFonts w:ascii="Arial" w:cs="Arial" w:eastAsia="Arial" w:hAnsi="Arial"/>
          <w:b/>
          <w:bCs/>
          <w:sz w:val="24"/>
          <w:szCs w:val="24"/>
        </w:rPr>
        <w:t xml:space="preserve">5.3.4 Posicionamento: acervo e preço</w:t>
      </w:r>
    </w:p>
    <w:p>
      <w:pPr>
        <w:spacing w:after="0" w:line="360"/>
        <w:ind w:firstLine="709"/>
        <w:jc w:val="both"/>
      </w:pPr>
      <w:r>
        <w:rPr>
          <w:rFonts w:ascii="Arial" w:cs="Arial" w:eastAsia="Arial" w:hAnsi="Arial"/>
          <w:sz w:val="24"/>
          <w:szCs w:val="24"/>
        </w:rPr>
        <w:t xml:space="preserve">O acervo dos concorrentes tem mediana de 468 títulos (de 190 a 1.357), nas 17 casas com acervo conhecido. Das 54 casas, 42 têm cardápio coletado. O couvert lúdico ou taxa de entrada foi encontrado em 22 dos 53 concorrentes, no cardápio, no site, na imprensa ou no Instagram. A mediana é de R$ 20,00 por pessoa, de R$ 5,00 a R$ 40,00 pela mediana de cada casa. A Ludus declara que não cobra; nos outros 30, o couvert não foi encontrado, o que não basta para afirmar que não cobram. O consumo por pessoa (uma bebida e uma entrada ou prato) tem mediana de R$ 50,25 em 36 casas, com faixa interquartil de R$ 38,38 a R$ 65,70; na São Jogue, é de R$ 48,50. Somado o couvert, a cesta completa tem mediana de R$ 73,75 nas 18 casas com as três partes. Fonte: elaborado pelo próprio autor com base nos cardápios e acervos (Bloco B1, 2026). Das 23 casas com a política de cobrança conhecida, 22 cobram: entre as que divulgam preço, o couvert é a regra (retomado em 6.3).</w:t>
      </w:r>
    </w:p>
    <w:p>
      <w:pPr>
        <w:pStyle w:val="Heading2"/>
        <w:keepNext/>
        <w:spacing w:after="120" w:before="240" w:line="360"/>
      </w:pPr>
      <w:r>
        <w:rPr>
          <w:rFonts w:ascii="Arial" w:cs="Arial" w:eastAsia="Arial" w:hAnsi="Arial"/>
          <w:b/>
          <w:bCs/>
          <w:sz w:val="24"/>
          <w:szCs w:val="24"/>
        </w:rPr>
        <w:t xml:space="preserve">5.3.5 Cinco forças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67"/>
        <w:gridCol w:w="2451"/>
        <w:gridCol w:w="2453"/>
      </w:tblGrid>
      <w:tr>
        <w:trPr>
          <w:cantSplit/>
          <w:tblHeader/>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Força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Intensidade</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Evidência</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Rivalidade</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Baixa no formato, alta no bar comum</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 luderia no recorte (B1); PAS: alimentação concentra receita em menos empresas</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Ameaça de entrantes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Média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Investimento baixo em acervo frente ao de cozinha; barreira na curadoria e na mediação lúdica (B2)</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Substitutos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Alta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Bares, aluguel de jogos (6 acervos em Salvador), lazer em casa</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Poder dos fornecedores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Baixo a médio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Jogos com preço tabelado e várias lojas (5.4); A&amp;B com muitos distribuidores</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Poder dos clientes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Médio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Renda abaixo da média das capitais (5.2.1); custo de troca baixo</w:t>
            </w:r>
          </w:p>
        </w:tc>
      </w:tr>
    </w:tbl>
    <w:p>
      <w:pPr>
        <w:spacing w:after="0" w:line="360"/>
        <w:ind w:firstLine="709"/>
        <w:jc w:val="both"/>
      </w:pPr>
      <w:r>
        <w:rPr>
          <w:rFonts w:ascii="Arial" w:cs="Arial" w:eastAsia="Arial" w:hAnsi="Arial"/>
          <w:sz w:val="24"/>
          <w:szCs w:val="24"/>
        </w:rPr>
        <w:t xml:space="preserve">[Sobrevivência pelos dados abertos do CNPJ e velocidade de avaliações calibrada — entram aqui quando prontas.]</w:t>
      </w:r>
    </w:p>
    <w:p>
      <w:pPr>
        <w:pStyle w:val="Heading1"/>
        <w:keepNext/>
        <w:spacing w:after="240" w:before="360" w:line="360"/>
      </w:pPr>
      <w:r>
        <w:rPr>
          <w:rFonts w:ascii="Arial" w:cs="Arial" w:eastAsia="Arial" w:hAnsi="Arial"/>
          <w:b/>
          <w:bCs/>
          <w:sz w:val="24"/>
          <w:szCs w:val="24"/>
        </w:rPr>
        <w:t xml:space="preserve">5.4 FORNECEDORES</w:t>
      </w:r>
    </w:p>
    <w:p>
      <w:pPr>
        <w:pStyle w:val="Heading2"/>
        <w:keepNext/>
        <w:spacing w:after="120" w:before="240" w:line="360"/>
      </w:pPr>
      <w:r>
        <w:rPr>
          <w:rFonts w:ascii="Arial" w:cs="Arial" w:eastAsia="Arial" w:hAnsi="Arial"/>
          <w:b/>
          <w:bCs/>
          <w:sz w:val="24"/>
          <w:szCs w:val="24"/>
        </w:rPr>
        <w:t xml:space="preserve">5.4.1 Jogos</w:t>
      </w:r>
    </w:p>
    <w:p>
      <w:pPr>
        <w:spacing w:after="0" w:line="360"/>
        <w:ind w:firstLine="709"/>
        <w:jc w:val="both"/>
      </w:pPr>
      <w:r>
        <w:rPr>
          <w:rFonts w:ascii="Arial" w:cs="Arial" w:eastAsia="Arial" w:hAnsi="Arial"/>
          <w:sz w:val="24"/>
          <w:szCs w:val="24"/>
        </w:rPr>
        <w:t xml:space="preserve">O preço de aquisição do acervo é observável e disperso. Em oito lojas especializadas, 2.342 produtos tinham preço mediano de R$ 130,00, com faixa interquartil de R$ 69,90 a R$ 249,88. Fonte: elaborado pelo próprio autor com base nos sites das lojas (Bloco B1, 2026). Um acervo do tamanho mediano dos concorrentes (468 títulos) custaria, a esse preço, cerca de R$ 61 mil </w:t>
      </w:r>
      <w:r>
        <w:rPr>
          <w:rFonts w:ascii="Arial" w:cs="Arial" w:eastAsia="Arial" w:hAnsi="Arial"/>
          <w:sz w:val="24"/>
          <w:szCs w:val="24"/>
        </w:rPr>
        <w:t xml:space="preserve">[script; o mix de títulos do acervo inicial muda a conta — cap. 9]</w:t>
      </w:r>
      <w:r>
        <w:rPr>
          <w:rFonts w:ascii="Arial" w:cs="Arial" w:eastAsia="Arial" w:hAnsi="Arial"/>
          <w:sz w:val="24"/>
          <w:szCs w:val="24"/>
        </w:rPr>
        <w:t xml:space="preserve">.</w:t>
      </w:r>
    </w:p>
    <w:p>
      <w:pPr>
        <w:spacing w:after="0" w:line="360"/>
        <w:ind w:firstLine="709"/>
        <w:jc w:val="both"/>
      </w:pPr>
      <w:r>
        <w:rPr>
          <w:rFonts w:ascii="Arial" w:cs="Arial" w:eastAsia="Arial" w:hAnsi="Arial"/>
          <w:sz w:val="24"/>
          <w:szCs w:val="24"/>
        </w:rPr>
        <w:t xml:space="preserve">[BUSCAR, em ordem de preferência: (1) dados oficiais de importação de jogos de tabuleiro (Comex Stat/MDIC, NCM 9504.90) — tamanho e origem do mercado; (2) Abrinq: participação das editoras nacionais; (3) políticas comerciais das editoras (Galápagos, Devir, Conclave, Meeple BR) — desconto para revenda e lojistas; só como fato pontual.]</w:t>
      </w:r>
    </w:p>
    <w:p>
      <w:pPr>
        <w:pStyle w:val="Heading2"/>
        <w:keepNext/>
        <w:spacing w:after="120" w:before="240" w:line="360"/>
      </w:pPr>
      <w:r>
        <w:rPr>
          <w:rFonts w:ascii="Arial" w:cs="Arial" w:eastAsia="Arial" w:hAnsi="Arial"/>
          <w:b/>
          <w:bCs/>
          <w:sz w:val="24"/>
          <w:szCs w:val="24"/>
        </w:rPr>
        <w:t xml:space="preserve">5.4.2 Alimentos e bebidas</w:t>
      </w:r>
    </w:p>
    <w:p>
      <w:pPr>
        <w:spacing w:after="0" w:line="360"/>
        <w:ind w:firstLine="709"/>
        <w:jc w:val="both"/>
      </w:pPr>
      <w:r>
        <w:rPr>
          <w:rFonts w:ascii="Arial" w:cs="Arial" w:eastAsia="Arial" w:hAnsi="Arial"/>
          <w:sz w:val="24"/>
          <w:szCs w:val="24"/>
        </w:rPr>
        <w:t xml:space="preserve">[Dados de Salvador: CAGED (B4) para salário de cozinheiro e garçom — já coletado; preço dos insumos pelo IPCA de Salvador (5.5); distribuidores de bebidas e opção de cozinha terceirizada — cotação direta (registro operacional, N2 na hierarquia de dados).]</w:t>
      </w:r>
    </w:p>
    <w:p>
      <w:pPr>
        <w:pStyle w:val="Heading2"/>
        <w:keepNext/>
        <w:spacing w:after="120" w:before="240" w:line="360"/>
      </w:pPr>
      <w:r>
        <w:rPr>
          <w:rFonts w:ascii="Arial" w:cs="Arial" w:eastAsia="Arial" w:hAnsi="Arial"/>
          <w:b/>
          <w:bCs/>
          <w:sz w:val="24"/>
          <w:szCs w:val="24"/>
        </w:rPr>
        <w:t xml:space="preserve">5.4.3 Mobiliário e equipamentos</w:t>
      </w:r>
    </w:p>
    <w:p>
      <w:pPr>
        <w:spacing w:after="0" w:line="360"/>
        <w:ind w:firstLine="709"/>
        <w:jc w:val="both"/>
      </w:pPr>
      <w:r>
        <w:rPr>
          <w:rFonts w:ascii="Arial" w:cs="Arial" w:eastAsia="Arial" w:hAnsi="Arial"/>
          <w:sz w:val="24"/>
          <w:szCs w:val="24"/>
        </w:rPr>
        <w:t xml:space="preserve">[Cotação de mesas, cadeiras e estantes; referência de depreciação da PAS. Pode migrar para o cap. 7.]</w:t>
      </w:r>
    </w:p>
    <w:p>
      <w:pPr>
        <w:pStyle w:val="Heading1"/>
        <w:keepNext/>
        <w:spacing w:after="240" w:before="360" w:line="360"/>
      </w:pPr>
      <w:r>
        <w:rPr>
          <w:rFonts w:ascii="Arial" w:cs="Arial" w:eastAsia="Arial" w:hAnsi="Arial"/>
          <w:b/>
          <w:bCs/>
          <w:sz w:val="24"/>
          <w:szCs w:val="24"/>
        </w:rPr>
        <w:t xml:space="preserve">5.5 MACROAMBIENTE (PESTEL)</w:t>
      </w:r>
    </w:p>
    <w:p>
      <w:pPr>
        <w:pStyle w:val="Heading2"/>
        <w:keepNext/>
        <w:spacing w:after="120" w:before="240" w:line="360"/>
      </w:pPr>
      <w:r>
        <w:rPr>
          <w:rFonts w:ascii="Arial" w:cs="Arial" w:eastAsia="Arial" w:hAnsi="Arial"/>
          <w:b/>
          <w:bCs/>
          <w:sz w:val="24"/>
          <w:szCs w:val="24"/>
        </w:rPr>
        <w:t xml:space="preserve">5.5.1 Econômico</w:t>
      </w:r>
    </w:p>
    <w:p>
      <w:pPr>
        <w:spacing w:after="0" w:line="360"/>
        <w:ind w:firstLine="709"/>
        <w:jc w:val="both"/>
      </w:pPr>
      <w:r>
        <w:rPr>
          <w:rFonts w:ascii="Arial" w:cs="Arial" w:eastAsia="Arial" w:hAnsi="Arial"/>
          <w:sz w:val="24"/>
          <w:szCs w:val="24"/>
        </w:rPr>
        <w:t xml:space="preserve">Os juros altos encarecem o capital do investimento. A meta da Selic estava em 14,00% ao ano em 14/09/2026, e a mediana das expectativas do mercado aponta 13,75% no fim de 2026 e 12,00% no fim de 2027 (BCB, SGS e Focus, 11/09/2026). A taxa de desconto do plano financeiro parte dessa curva (cap. 9): com juros nesse patamar, o negócio precisa render acima de um título público sem risco.</w:t>
      </w:r>
    </w:p>
    <w:p>
      <w:pPr>
        <w:spacing w:after="0" w:line="360"/>
        <w:ind w:firstLine="709"/>
        <w:jc w:val="both"/>
      </w:pPr>
      <w:r>
        <w:rPr>
          <w:rFonts w:ascii="Arial" w:cs="Arial" w:eastAsia="Arial" w:hAnsi="Arial"/>
          <w:sz w:val="24"/>
          <w:szCs w:val="24"/>
        </w:rPr>
        <w:t xml:space="preserve">A inflação geral está controlada, mas a da alimentação fora do domicílio corre acima dela, e mais em Salvador. Em 12 meses até agosto de 2026, o IPCA subiu 4,22% no Brasil e 3,64% em Salvador; a alimentação fora do domicílio subiu 5,40% no Brasil e 6,55% em Salvador (IBGE, IPCA). O expediente de reajustar o cardápio pela inflação do subitem, e não pelo índice geral, protege a margem: a premissa de reajuste de preço do cap. 9 usa o subitem de Salvador. A expectativa para o IPCA de 2026 é de 4,90%, e para o PIB, de 1,89% (BCB, Focus, 11/09/2026).</w:t>
      </w:r>
    </w:p>
    <w:p>
      <w:pPr>
        <w:spacing w:after="0" w:line="360"/>
        <w:ind w:firstLine="709"/>
        <w:jc w:val="both"/>
      </w:pPr>
      <w:r>
        <w:rPr>
          <w:rFonts w:ascii="Arial" w:cs="Arial" w:eastAsia="Arial" w:hAnsi="Arial"/>
          <w:sz w:val="24"/>
          <w:szCs w:val="24"/>
        </w:rPr>
        <w:t xml:space="preserve">O aluguel comercial em Salvador sobe mais rápido que no resto do país. O preço médio de locação comercial chegou a R$ 54,15 por m² em julho de 2026, alta de 18,9% em 12 meses, contra 7,8% em São Paulo e 8,8% em Belo Horizonte (FIPE, Índice FipeZAP, 2026). O aluguel é o principal custo fixo da luderia: a escolha de ponto (6.4) e a sensibilidade do cap. 9 tratam esse custo como premissa de risco.</w:t>
      </w:r>
    </w:p>
    <w:p>
      <w:pPr>
        <w:spacing w:after="0" w:line="360"/>
        <w:ind w:firstLine="709"/>
        <w:jc w:val="both"/>
      </w:pPr>
      <w:r>
        <w:rPr>
          <w:rFonts w:ascii="Arial" w:cs="Arial" w:eastAsia="Arial" w:hAnsi="Arial"/>
          <w:sz w:val="24"/>
          <w:szCs w:val="24"/>
        </w:rPr>
        <w:t xml:space="preserve">A renda menor e estagnada de Salvador (5.2.1) limita o ticket médio. O salário mínimo de R$ 1.621,00 (BCB, SGS, set. 2026) é a base do custo de pessoal.</w:t>
      </w:r>
    </w:p>
    <w:p>
      <w:pPr>
        <w:pStyle w:val="Heading2"/>
        <w:keepNext/>
        <w:spacing w:after="120" w:before="240" w:line="360"/>
      </w:pPr>
      <w:r>
        <w:rPr>
          <w:rFonts w:ascii="Arial" w:cs="Arial" w:eastAsia="Arial" w:hAnsi="Arial"/>
          <w:b/>
          <w:bCs/>
          <w:sz w:val="24"/>
          <w:szCs w:val="24"/>
        </w:rPr>
        <w:t xml:space="preserve">5.5.2 Político-legal</w:t>
      </w:r>
    </w:p>
    <w:p>
      <w:pPr>
        <w:spacing w:after="0" w:line="360"/>
        <w:ind w:firstLine="709"/>
        <w:jc w:val="both"/>
      </w:pPr>
      <w:r>
        <w:rPr>
          <w:rFonts w:ascii="Arial" w:cs="Arial" w:eastAsia="Arial" w:hAnsi="Arial"/>
          <w:sz w:val="24"/>
          <w:szCs w:val="24"/>
        </w:rPr>
        <w:t xml:space="preserve">O enquadramento tributário e a licença de funcionamento são tratados no cap. 8. No mercado, dois fatores pesam: a transição da reforma tributária sobre o consumo (Lei Complementar n. 214/2025), que muda a tributação de bares e restaurantes a partir de 2026 </w:t>
      </w:r>
      <w:r>
        <w:rPr>
          <w:rFonts w:ascii="Arial" w:cs="Arial" w:eastAsia="Arial" w:hAnsi="Arial"/>
          <w:sz w:val="24"/>
          <w:szCs w:val="24"/>
        </w:rPr>
        <w:t xml:space="preserve">[AV — conferir cronograma e regime de bares no texto da lei]</w:t>
      </w:r>
      <w:r>
        <w:rPr>
          <w:rFonts w:ascii="Arial" w:cs="Arial" w:eastAsia="Arial" w:hAnsi="Arial"/>
          <w:sz w:val="24"/>
          <w:szCs w:val="24"/>
        </w:rPr>
        <w:t xml:space="preserve">, e a regulação municipal de ruído e horário </w:t>
      </w:r>
      <w:r>
        <w:rPr>
          <w:rFonts w:ascii="Arial" w:cs="Arial" w:eastAsia="Arial" w:hAnsi="Arial"/>
          <w:sz w:val="24"/>
          <w:szCs w:val="24"/>
        </w:rPr>
        <w:t xml:space="preserve">[BUSCAR — legislação de Salvador sobre emissão sonora e alvará de funcionamento noturno]</w:t>
      </w:r>
      <w:r>
        <w:rPr>
          <w:rFonts w:ascii="Arial" w:cs="Arial" w:eastAsia="Arial" w:hAnsi="Arial"/>
          <w:sz w:val="24"/>
          <w:szCs w:val="24"/>
        </w:rPr>
        <w:t xml:space="preserve">.</w:t>
      </w:r>
    </w:p>
    <w:p>
      <w:pPr>
        <w:pStyle w:val="Heading2"/>
        <w:keepNext/>
        <w:spacing w:after="120" w:before="240" w:line="360"/>
      </w:pPr>
      <w:r>
        <w:rPr>
          <w:rFonts w:ascii="Arial" w:cs="Arial" w:eastAsia="Arial" w:hAnsi="Arial"/>
          <w:b/>
          <w:bCs/>
          <w:sz w:val="24"/>
          <w:szCs w:val="24"/>
        </w:rPr>
        <w:t xml:space="preserve">5.5.3 Social</w:t>
      </w:r>
    </w:p>
    <w:p>
      <w:pPr>
        <w:spacing w:after="0" w:line="360"/>
        <w:ind w:firstLine="709"/>
        <w:jc w:val="both"/>
      </w:pPr>
      <w:r>
        <w:rPr>
          <w:rFonts w:ascii="Arial" w:cs="Arial" w:eastAsia="Arial" w:hAnsi="Arial"/>
          <w:sz w:val="24"/>
          <w:szCs w:val="24"/>
        </w:rPr>
        <w:t xml:space="preserve">O lazer fora de casa e o consumo de bebida fora do lar têm peso maior no orçamento baiano (5.1.3). A faixa de 20 a 39 anos soma 30,5% da população de Salvador (IBGE, Censo 2022). </w:t>
      </w:r>
      <w:r>
        <w:rPr>
          <w:rFonts w:ascii="Arial" w:cs="Arial" w:eastAsia="Arial" w:hAnsi="Arial"/>
          <w:sz w:val="24"/>
          <w:szCs w:val="24"/>
        </w:rPr>
        <w:t xml:space="preserve">[Referência acadêmica sobre consumo de experiências (Gilovich; Kumar; Jampol, 2015) já citada no cap. 1 — usar só se ligar a uma decisão.]</w:t>
      </w:r>
    </w:p>
    <w:p>
      <w:pPr>
        <w:pStyle w:val="Heading2"/>
        <w:keepNext/>
        <w:spacing w:after="120" w:before="240" w:line="360"/>
      </w:pPr>
      <w:r>
        <w:rPr>
          <w:rFonts w:ascii="Arial" w:cs="Arial" w:eastAsia="Arial" w:hAnsi="Arial"/>
          <w:b/>
          <w:bCs/>
          <w:sz w:val="24"/>
          <w:szCs w:val="24"/>
        </w:rPr>
        <w:t xml:space="preserve">5.5.4 Tecnológico</w:t>
      </w:r>
    </w:p>
    <w:p>
      <w:pPr>
        <w:spacing w:after="0" w:line="360"/>
        <w:ind w:firstLine="709"/>
        <w:jc w:val="both"/>
      </w:pPr>
      <w:r>
        <w:rPr>
          <w:rFonts w:ascii="Arial" w:cs="Arial" w:eastAsia="Arial" w:hAnsi="Arial"/>
          <w:sz w:val="24"/>
          <w:szCs w:val="24"/>
        </w:rPr>
        <w:t xml:space="preserve">A divulgação das luderias acontece nas redes sociais. As 49 luderias com perfil coletado no Instagram têm mediana de 14.021 seguidores; a São Jogue tem 38.492. Fonte: elaborado pelo próprio autor com base no Instagram (Bloco B1, 2026). Isso define o canal principal do plano de comunicação (cap. 6). </w:t>
      </w:r>
      <w:r>
        <w:rPr>
          <w:rFonts w:ascii="Arial" w:cs="Arial" w:eastAsia="Arial" w:hAnsi="Arial"/>
          <w:sz w:val="24"/>
          <w:szCs w:val="24"/>
        </w:rPr>
        <w:t xml:space="preserve">[Fonte oficial sobre uso de internet: IBGE, PNAD Contínua TIC — buscar dado da Bahia.]</w:t>
      </w:r>
    </w:p>
    <w:p>
      <w:pPr>
        <w:pStyle w:val="Heading1"/>
        <w:keepNext/>
        <w:spacing w:after="240" w:before="360" w:line="360"/>
      </w:pPr>
      <w:r>
        <w:rPr>
          <w:rFonts w:ascii="Arial" w:cs="Arial" w:eastAsia="Arial" w:hAnsi="Arial"/>
          <w:b/>
          <w:bCs/>
          <w:sz w:val="24"/>
          <w:szCs w:val="24"/>
        </w:rPr>
        <w:t xml:space="preserve">FONTES POR NÍVEL DE PREFERÊNCIA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25"/>
        <w:gridCol w:w="3677"/>
        <w:gridCol w:w="1716"/>
        <w:gridCol w:w="2453"/>
      </w:tblGrid>
      <w:tr>
        <w:trPr>
          <w:cantSplit/>
          <w:tblHeader/>
        </w:trPr>
        <w:tc>
          <w:tcPr>
            <w:tcW w:type="dxa" w:w="1225"/>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Nível</w:t>
            </w:r>
          </w:p>
        </w:tc>
        <w:tc>
          <w:tcPr>
            <w:tcW w:type="dxa" w:w="367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Fonte</w:t>
            </w:r>
          </w:p>
        </w:tc>
        <w:tc>
          <w:tcPr>
            <w:tcW w:type="dxa" w:w="171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Uso no capítulo</w:t>
            </w:r>
          </w:p>
        </w:tc>
        <w:tc>
          <w:tcPr>
            <w:tcW w:type="dxa" w:w="245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Situação</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 — oficial</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IBGE (PAS, POF, PNAD Contínua, Censo 2022, Estimativas, IPCA, REGIC), BCB (SGS, Focus), CONCLA</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5.1, 5.2.1, 5.5</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Coletado no B4</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 — oficial</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Lei Complementar n. 214/2025</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5.5.2</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[AV]</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 — oficial</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Comex Stat (MDIC), dados abertos do CNPJ (Receita Federal), PNAD TIC</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5.1.4, 5.4.1, 5.5.4</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[BUSCAR]</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2 — fundação</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Fipe (Índice FipeZAP)</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5.5.1</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Coletado no B4</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3 — entidade setorial e acadêmico</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Abrinq (2026), Sebrae (2026), Savills, Gilovich et al. (2015)</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5.1.2, 5.5.3</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Abrinq e Sebrae: buscar original</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Próprio</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Blocos B1, B2 e B3</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5.2.2, 5.3, 5.4.1</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B2 provisório</w:t>
            </w:r>
          </w:p>
        </w:tc>
      </w:tr>
      <w:tr>
        <w:trPr>
          <w:cantSplit/>
          <w:tblHeader w:val="false"/>
        </w:trPr>
        <w:tc>
          <w:tcPr>
            <w:tcW w:type="dxa" w:w="1225"/>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4 — imprensa</w:t>
            </w:r>
          </w:p>
        </w:tc>
        <w:tc>
          <w:tcPr>
            <w:tcW w:type="dxa" w:w="367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Mercado&amp;Consumo (cap. 1)</w:t>
            </w:r>
          </w:p>
        </w:tc>
        <w:tc>
          <w:tcPr>
            <w:tcW w:type="dxa" w:w="171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usado aqui</w:t>
            </w:r>
          </w:p>
        </w:tc>
        <w:tc>
          <w:tcPr>
            <w:tcW w:type="dxa" w:w="245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Substituir pela Abrasce</w:t>
            </w:r>
          </w:p>
        </w:tc>
      </w:tr>
    </w:tbl>
    <w:p>
      <w:pPr>
        <w:pStyle w:val="Heading1"/>
        <w:keepNext/>
        <w:spacing w:after="240" w:before="360" w:line="360"/>
      </w:pPr>
      <w:r>
        <w:rPr>
          <w:rFonts w:ascii="Arial" w:cs="Arial" w:eastAsia="Arial" w:hAnsi="Arial"/>
          <w:b/>
          <w:bCs/>
          <w:sz w:val="24"/>
          <w:szCs w:val="24"/>
        </w:rPr>
        <w:t xml:space="preserve">REFERÊNCIAS CITADAS NESTE ESBOÇO</w:t>
      </w:r>
    </w:p>
    <w:p>
      <w:pPr>
        <w:spacing w:after="0" w:line="360"/>
        <w:ind w:firstLine="709"/>
        <w:jc w:val="both"/>
      </w:pPr>
      <w:r>
        <w:rPr>
          <w:rFonts w:ascii="Arial" w:cs="Arial" w:eastAsia="Arial" w:hAnsi="Arial"/>
          <w:sz w:val="24"/>
          <w:szCs w:val="24"/>
        </w:rPr>
        <w:t xml:space="preserve">ABRINQ. </w:t>
      </w:r>
      <w:r>
        <w:rPr>
          <w:rFonts w:ascii="Arial" w:cs="Arial" w:eastAsia="Arial" w:hAnsi="Arial"/>
          <w:i/>
          <w:iCs/>
          <w:sz w:val="24"/>
          <w:szCs w:val="24"/>
        </w:rPr>
        <w:t xml:space="preserve">Anuário da Abrinq 2026</w:t>
      </w:r>
      <w:r>
        <w:rPr>
          <w:rFonts w:ascii="Arial" w:cs="Arial" w:eastAsia="Arial" w:hAnsi="Arial"/>
          <w:sz w:val="24"/>
          <w:szCs w:val="24"/>
        </w:rPr>
        <w:t xml:space="preserve">. São Paulo: Associação Brasileira dos Fabricantes de Brinquedos, 2026. </w:t>
      </w:r>
      <w:r>
        <w:rPr>
          <w:rFonts w:ascii="Arial" w:cs="Arial" w:eastAsia="Arial" w:hAnsi="Arial"/>
          <w:sz w:val="24"/>
          <w:szCs w:val="24"/>
        </w:rPr>
        <w:t xml:space="preserve">[AV]</w:t>
      </w:r>
    </w:p>
    <w:p>
      <w:pPr>
        <w:spacing w:after="0" w:line="360"/>
        <w:ind w:firstLine="709"/>
        <w:jc w:val="both"/>
      </w:pPr>
      <w:r>
        <w:rPr>
          <w:rFonts w:ascii="Arial" w:cs="Arial" w:eastAsia="Arial" w:hAnsi="Arial"/>
          <w:sz w:val="24"/>
          <w:szCs w:val="24"/>
        </w:rPr>
        <w:t xml:space="preserve">BANCO CENTRAL DO BRASIL (BCB). </w:t>
      </w:r>
      <w:r>
        <w:rPr>
          <w:rFonts w:ascii="Arial" w:cs="Arial" w:eastAsia="Arial" w:hAnsi="Arial"/>
          <w:i/>
          <w:iCs/>
          <w:sz w:val="24"/>
          <w:szCs w:val="24"/>
        </w:rPr>
        <w:t xml:space="preserve">Sistema Gerenciador de Séries Temporais (SGS)</w:t>
      </w:r>
      <w:r>
        <w:rPr>
          <w:rFonts w:ascii="Arial" w:cs="Arial" w:eastAsia="Arial" w:hAnsi="Arial"/>
          <w:sz w:val="24"/>
          <w:szCs w:val="24"/>
        </w:rPr>
        <w:t xml:space="preserve">: séries 432, 1619 e 13522. Brasília, 2026. Acesso em: 14 out. 2026.</w:t>
      </w:r>
    </w:p>
    <w:p>
      <w:pPr>
        <w:spacing w:after="0" w:line="360"/>
        <w:ind w:firstLine="709"/>
        <w:jc w:val="both"/>
      </w:pPr>
      <w:r>
        <w:rPr>
          <w:rFonts w:ascii="Arial" w:cs="Arial" w:eastAsia="Arial" w:hAnsi="Arial"/>
          <w:sz w:val="24"/>
          <w:szCs w:val="24"/>
        </w:rPr>
        <w:t xml:space="preserve">BANCO CENTRAL DO BRASIL (BCB). </w:t>
      </w:r>
      <w:r>
        <w:rPr>
          <w:rFonts w:ascii="Arial" w:cs="Arial" w:eastAsia="Arial" w:hAnsi="Arial"/>
          <w:i/>
          <w:iCs/>
          <w:sz w:val="24"/>
          <w:szCs w:val="24"/>
        </w:rPr>
        <w:t xml:space="preserve">Relatório Focus</w:t>
      </w:r>
      <w:r>
        <w:rPr>
          <w:rFonts w:ascii="Arial" w:cs="Arial" w:eastAsia="Arial" w:hAnsi="Arial"/>
          <w:sz w:val="24"/>
          <w:szCs w:val="24"/>
        </w:rPr>
        <w:t xml:space="preserve">: expectativas de mercado de 11 set. 2026. Brasília, 2026.</w:t>
      </w:r>
    </w:p>
    <w:p>
      <w:pPr>
        <w:spacing w:after="0" w:line="360"/>
        <w:ind w:firstLine="709"/>
        <w:jc w:val="both"/>
      </w:pPr>
      <w:r>
        <w:rPr>
          <w:rFonts w:ascii="Arial" w:cs="Arial" w:eastAsia="Arial" w:hAnsi="Arial"/>
          <w:sz w:val="24"/>
          <w:szCs w:val="24"/>
        </w:rPr>
        <w:t xml:space="preserve">COMISSÃO NACIONAL DE CLASSIFICAÇÃO (CONCLA). </w:t>
      </w:r>
      <w:r>
        <w:rPr>
          <w:rFonts w:ascii="Arial" w:cs="Arial" w:eastAsia="Arial" w:hAnsi="Arial"/>
          <w:i/>
          <w:iCs/>
          <w:sz w:val="24"/>
          <w:szCs w:val="24"/>
        </w:rPr>
        <w:t xml:space="preserve">CNAE 2.3</w:t>
      </w:r>
      <w:r>
        <w:rPr>
          <w:rFonts w:ascii="Arial" w:cs="Arial" w:eastAsia="Arial" w:hAnsi="Arial"/>
          <w:sz w:val="24"/>
          <w:szCs w:val="24"/>
        </w:rPr>
        <w:t xml:space="preserve">: subclasses 5611-2/01, 5611-2/04 e 5611-2/05. Rio de Janeiro: IBGE, 2026.</w:t>
      </w:r>
    </w:p>
    <w:p>
      <w:pPr>
        <w:spacing w:after="0" w:line="360"/>
        <w:ind w:firstLine="709"/>
        <w:jc w:val="both"/>
      </w:pPr>
      <w:r>
        <w:rPr>
          <w:rFonts w:ascii="Arial" w:cs="Arial" w:eastAsia="Arial" w:hAnsi="Arial"/>
          <w:sz w:val="24"/>
          <w:szCs w:val="24"/>
        </w:rPr>
        <w:t xml:space="preserve">FUNDAÇÃO INSTITUTO DE PESQUISAS ECONÔMICAS (FIPE). </w:t>
      </w:r>
      <w:r>
        <w:rPr>
          <w:rFonts w:ascii="Arial" w:cs="Arial" w:eastAsia="Arial" w:hAnsi="Arial"/>
          <w:i/>
          <w:iCs/>
          <w:sz w:val="24"/>
          <w:szCs w:val="24"/>
        </w:rPr>
        <w:t xml:space="preserve">Índice FipeZAP</w:t>
      </w:r>
      <w:r>
        <w:rPr>
          <w:rFonts w:ascii="Arial" w:cs="Arial" w:eastAsia="Arial" w:hAnsi="Arial"/>
          <w:sz w:val="24"/>
          <w:szCs w:val="24"/>
        </w:rPr>
        <w:t xml:space="preserve">: locação comercial, julho de 2026. São Paulo, 2026.</w:t>
      </w:r>
    </w:p>
    <w:p>
      <w:pPr>
        <w:spacing w:after="0" w:line="360"/>
        <w:ind w:firstLine="709"/>
        <w:jc w:val="both"/>
      </w:pPr>
      <w:r>
        <w:rPr>
          <w:rFonts w:ascii="Arial" w:cs="Arial" w:eastAsia="Arial" w:hAnsi="Arial"/>
          <w:sz w:val="24"/>
          <w:szCs w:val="24"/>
        </w:rPr>
        <w:t xml:space="preserve">IBGE. </w:t>
      </w:r>
      <w:r>
        <w:rPr>
          <w:rFonts w:ascii="Arial" w:cs="Arial" w:eastAsia="Arial" w:hAnsi="Arial"/>
          <w:i/>
          <w:iCs/>
          <w:sz w:val="24"/>
          <w:szCs w:val="24"/>
        </w:rPr>
        <w:t xml:space="preserve">Censo Demográfico 2022</w:t>
      </w:r>
      <w:r>
        <w:rPr>
          <w:rFonts w:ascii="Arial" w:cs="Arial" w:eastAsia="Arial" w:hAnsi="Arial"/>
          <w:sz w:val="24"/>
          <w:szCs w:val="24"/>
        </w:rPr>
        <w:t xml:space="preserve">: população residente por idade. Rio de Janeiro: IBGE, 2023. </w:t>
      </w:r>
      <w:r>
        <w:rPr>
          <w:rFonts w:ascii="Arial" w:cs="Arial" w:eastAsia="Arial" w:hAnsi="Arial"/>
          <w:sz w:val="24"/>
          <w:szCs w:val="24"/>
        </w:rPr>
        <w:t xml:space="preserve">[AV ano]</w:t>
      </w:r>
    </w:p>
    <w:p>
      <w:pPr>
        <w:spacing w:after="0" w:line="360"/>
        <w:ind w:firstLine="709"/>
        <w:jc w:val="both"/>
      </w:pPr>
      <w:r>
        <w:rPr>
          <w:rFonts w:ascii="Arial" w:cs="Arial" w:eastAsia="Arial" w:hAnsi="Arial"/>
          <w:sz w:val="24"/>
          <w:szCs w:val="24"/>
        </w:rPr>
        <w:t xml:space="preserve">IBGE. </w:t>
      </w:r>
      <w:r>
        <w:rPr>
          <w:rFonts w:ascii="Arial" w:cs="Arial" w:eastAsia="Arial" w:hAnsi="Arial"/>
          <w:i/>
          <w:iCs/>
          <w:sz w:val="24"/>
          <w:szCs w:val="24"/>
        </w:rPr>
        <w:t xml:space="preserve">Estimativas da população residente</w:t>
      </w:r>
      <w:r>
        <w:rPr>
          <w:rFonts w:ascii="Arial" w:cs="Arial" w:eastAsia="Arial" w:hAnsi="Arial"/>
          <w:sz w:val="24"/>
          <w:szCs w:val="24"/>
        </w:rPr>
        <w:t xml:space="preserve">: 2026. Rio de Janeiro: IBGE, 2026.</w:t>
      </w:r>
    </w:p>
    <w:p>
      <w:pPr>
        <w:spacing w:after="0" w:line="360"/>
        <w:ind w:firstLine="709"/>
        <w:jc w:val="both"/>
      </w:pPr>
      <w:r>
        <w:rPr>
          <w:rFonts w:ascii="Arial" w:cs="Arial" w:eastAsia="Arial" w:hAnsi="Arial"/>
          <w:sz w:val="24"/>
          <w:szCs w:val="24"/>
        </w:rPr>
        <w:t xml:space="preserve">IBGE. </w:t>
      </w:r>
      <w:r>
        <w:rPr>
          <w:rFonts w:ascii="Arial" w:cs="Arial" w:eastAsia="Arial" w:hAnsi="Arial"/>
          <w:i/>
          <w:iCs/>
          <w:sz w:val="24"/>
          <w:szCs w:val="24"/>
        </w:rPr>
        <w:t xml:space="preserve">Pesquisa Anual de Serviços (PAS)</w:t>
      </w:r>
      <w:r>
        <w:rPr>
          <w:rFonts w:ascii="Arial" w:cs="Arial" w:eastAsia="Arial" w:hAnsi="Arial"/>
          <w:sz w:val="24"/>
          <w:szCs w:val="24"/>
        </w:rPr>
        <w:t xml:space="preserve">: tabelas 2611, 2619 e 10758. Rio de Janeiro: IBGE, 2025-2026. </w:t>
      </w:r>
      <w:r>
        <w:rPr>
          <w:rFonts w:ascii="Arial" w:cs="Arial" w:eastAsia="Arial" w:hAnsi="Arial"/>
          <w:sz w:val="24"/>
          <w:szCs w:val="24"/>
        </w:rPr>
        <w:t xml:space="preserve">[AV ano de cada edição]</w:t>
      </w:r>
    </w:p>
    <w:p>
      <w:pPr>
        <w:spacing w:after="0" w:line="360"/>
        <w:ind w:firstLine="709"/>
        <w:jc w:val="both"/>
      </w:pPr>
      <w:r>
        <w:rPr>
          <w:rFonts w:ascii="Arial" w:cs="Arial" w:eastAsia="Arial" w:hAnsi="Arial"/>
          <w:sz w:val="24"/>
          <w:szCs w:val="24"/>
        </w:rPr>
        <w:t xml:space="preserve">IBGE. </w:t>
      </w:r>
      <w:r>
        <w:rPr>
          <w:rFonts w:ascii="Arial" w:cs="Arial" w:eastAsia="Arial" w:hAnsi="Arial"/>
          <w:i/>
          <w:iCs/>
          <w:sz w:val="24"/>
          <w:szCs w:val="24"/>
        </w:rPr>
        <w:t xml:space="preserve">Pesquisa de Orçamentos Familiares 2017-2018</w:t>
      </w:r>
      <w:r>
        <w:rPr>
          <w:rFonts w:ascii="Arial" w:cs="Arial" w:eastAsia="Arial" w:hAnsi="Arial"/>
          <w:sz w:val="24"/>
          <w:szCs w:val="24"/>
        </w:rPr>
        <w:t xml:space="preserve">: tabelas 6715 e 6972. Rio de Janeiro: IBGE, 2019.</w:t>
      </w:r>
    </w:p>
    <w:p>
      <w:pPr>
        <w:spacing w:after="0" w:line="360"/>
        <w:ind w:firstLine="709"/>
        <w:jc w:val="both"/>
      </w:pPr>
      <w:r>
        <w:rPr>
          <w:rFonts w:ascii="Arial" w:cs="Arial" w:eastAsia="Arial" w:hAnsi="Arial"/>
          <w:sz w:val="24"/>
          <w:szCs w:val="24"/>
        </w:rPr>
        <w:t xml:space="preserve">IBGE. </w:t>
      </w:r>
      <w:r>
        <w:rPr>
          <w:rFonts w:ascii="Arial" w:cs="Arial" w:eastAsia="Arial" w:hAnsi="Arial"/>
          <w:i/>
          <w:iCs/>
          <w:sz w:val="24"/>
          <w:szCs w:val="24"/>
        </w:rPr>
        <w:t xml:space="preserve">Pesquisa Nacional por Amostra de Domicílios Contínua</w:t>
      </w:r>
      <w:r>
        <w:rPr>
          <w:rFonts w:ascii="Arial" w:cs="Arial" w:eastAsia="Arial" w:hAnsi="Arial"/>
          <w:sz w:val="24"/>
          <w:szCs w:val="24"/>
        </w:rPr>
        <w:t xml:space="preserve">: tabelas 5436 e 7395. Rio de Janeiro: IBGE, 2026.</w:t>
      </w:r>
    </w:p>
    <w:p>
      <w:pPr>
        <w:spacing w:after="0" w:line="360"/>
        <w:ind w:firstLine="709"/>
        <w:jc w:val="both"/>
      </w:pPr>
      <w:r>
        <w:rPr>
          <w:rFonts w:ascii="Arial" w:cs="Arial" w:eastAsia="Arial" w:hAnsi="Arial"/>
          <w:sz w:val="24"/>
          <w:szCs w:val="24"/>
        </w:rPr>
        <w:t xml:space="preserve">IBGE. </w:t>
      </w:r>
      <w:r>
        <w:rPr>
          <w:rFonts w:ascii="Arial" w:cs="Arial" w:eastAsia="Arial" w:hAnsi="Arial"/>
          <w:i/>
          <w:iCs/>
          <w:sz w:val="24"/>
          <w:szCs w:val="24"/>
        </w:rPr>
        <w:t xml:space="preserve">Regiões de influência das cidades 2018</w:t>
      </w:r>
      <w:r>
        <w:rPr>
          <w:rFonts w:ascii="Arial" w:cs="Arial" w:eastAsia="Arial" w:hAnsi="Arial"/>
          <w:sz w:val="24"/>
          <w:szCs w:val="24"/>
        </w:rPr>
        <w:t xml:space="preserve">. Rio de Janeiro: IBGE, 2020.</w:t>
      </w:r>
    </w:p>
    <w:p>
      <w:pPr>
        <w:spacing w:after="0" w:line="360"/>
        <w:ind w:firstLine="709"/>
        <w:jc w:val="both"/>
      </w:pPr>
      <w:r>
        <w:rPr>
          <w:rFonts w:ascii="Arial" w:cs="Arial" w:eastAsia="Arial" w:hAnsi="Arial"/>
          <w:sz w:val="24"/>
          <w:szCs w:val="24"/>
        </w:rPr>
        <w:t xml:space="preserve">IBGE. </w:t>
      </w:r>
      <w:r>
        <w:rPr>
          <w:rFonts w:ascii="Arial" w:cs="Arial" w:eastAsia="Arial" w:hAnsi="Arial"/>
          <w:i/>
          <w:iCs/>
          <w:sz w:val="24"/>
          <w:szCs w:val="24"/>
        </w:rPr>
        <w:t xml:space="preserve">Sistema Nacional de Índices de Preços ao Consumidor</w:t>
      </w:r>
      <w:r>
        <w:rPr>
          <w:rFonts w:ascii="Arial" w:cs="Arial" w:eastAsia="Arial" w:hAnsi="Arial"/>
          <w:sz w:val="24"/>
          <w:szCs w:val="24"/>
        </w:rPr>
        <w:t xml:space="preserve">: IPCA, tabela 7060. Rio de Janeiro: IBGE, 2026.</w:t>
      </w:r>
    </w:p>
    <w:p>
      <w:pPr>
        <w:spacing w:after="0" w:line="360"/>
        <w:ind w:firstLine="709"/>
        <w:jc w:val="both"/>
      </w:pPr>
      <w:r>
        <w:rPr>
          <w:rFonts w:ascii="Arial" w:cs="Arial" w:eastAsia="Arial" w:hAnsi="Arial"/>
          <w:sz w:val="24"/>
          <w:szCs w:val="24"/>
        </w:rPr>
        <w:t xml:space="preserve">SAVILLS. </w:t>
      </w:r>
      <w:r>
        <w:rPr>
          <w:rFonts w:ascii="Arial" w:cs="Arial" w:eastAsia="Arial" w:hAnsi="Arial"/>
          <w:i/>
          <w:iCs/>
          <w:sz w:val="24"/>
          <w:szCs w:val="24"/>
        </w:rPr>
        <w:t xml:space="preserve">Competitive socialising</w:t>
      </w:r>
      <w:r>
        <w:rPr>
          <w:rFonts w:ascii="Arial" w:cs="Arial" w:eastAsia="Arial" w:hAnsi="Arial"/>
          <w:sz w:val="24"/>
          <w:szCs w:val="24"/>
        </w:rPr>
        <w:t xml:space="preserve">. Londres: Savills UK, [s.d.]. </w:t>
      </w:r>
      <w:r>
        <w:rPr>
          <w:rFonts w:ascii="Arial" w:cs="Arial" w:eastAsia="Arial" w:hAnsi="Arial"/>
          <w:sz w:val="24"/>
          <w:szCs w:val="24"/>
        </w:rPr>
        <w:t xml:space="preserve">[AV ano]</w:t>
      </w:r>
    </w:p>
    <w:p>
      <w:pPr>
        <w:spacing w:after="0" w:line="360"/>
        <w:ind w:firstLine="709"/>
        <w:jc w:val="both"/>
      </w:pPr>
      <w:r>
        <w:rPr>
          <w:rFonts w:ascii="Arial" w:cs="Arial" w:eastAsia="Arial" w:hAnsi="Arial"/>
          <w:sz w:val="24"/>
          <w:szCs w:val="24"/>
        </w:rPr>
        <w:t xml:space="preserve">SEBRAE. Jogos de tabuleiro movimentaram R$ 53 bilhões em 2024. </w:t>
      </w:r>
      <w:r>
        <w:rPr>
          <w:rFonts w:ascii="Arial" w:cs="Arial" w:eastAsia="Arial" w:hAnsi="Arial"/>
          <w:i/>
          <w:iCs/>
          <w:sz w:val="24"/>
          <w:szCs w:val="24"/>
        </w:rPr>
        <w:t xml:space="preserve">Agência Sebrae de Notícias</w:t>
      </w:r>
      <w:r>
        <w:rPr>
          <w:rFonts w:ascii="Arial" w:cs="Arial" w:eastAsia="Arial" w:hAnsi="Arial"/>
          <w:sz w:val="24"/>
          <w:szCs w:val="24"/>
        </w:rPr>
        <w:t xml:space="preserve">, 2026. </w:t>
      </w:r>
      <w:r>
        <w:rPr>
          <w:rFonts w:ascii="Arial" w:cs="Arial" w:eastAsia="Arial" w:hAnsi="Arial"/>
          <w:sz w:val="24"/>
          <w:szCs w:val="24"/>
        </w:rPr>
        <w:t xml:space="preserve">[Buscar fonte original]</w:t>
      </w:r>
    </w:p>
    <w:p>
      <w:pPr>
        <w:pStyle w:val="Title"/>
        <w:pageBreakBefore/>
        <w:spacing w:after="480" w:line="360"/>
        <w:jc w:val="center"/>
      </w:pPr>
      <w:r>
        <w:rPr>
          <w:rFonts w:ascii="Arial" w:cs="Arial" w:eastAsia="Arial" w:hAnsi="Arial"/>
          <w:b/>
          <w:bCs/>
          <w:sz w:val="24"/>
          <w:szCs w:val="24"/>
        </w:rPr>
        <w:t xml:space="preserve">6 PLANO DE MARKETING</w:t>
      </w:r>
    </w:p>
    <w:p>
      <w:pPr>
        <w:pStyle w:val="Heading1"/>
        <w:keepNext/>
        <w:spacing w:after="240" w:before="360" w:line="360"/>
      </w:pPr>
      <w:r>
        <w:rPr>
          <w:rFonts w:ascii="Arial" w:cs="Arial" w:eastAsia="Arial" w:hAnsi="Arial"/>
          <w:b/>
          <w:bCs/>
          <w:sz w:val="24"/>
          <w:szCs w:val="24"/>
        </w:rPr>
        <w:t xml:space="preserve">6.3 PREÇO</w:t>
      </w:r>
    </w:p>
    <w:p>
      <w:pPr>
        <w:spacing w:after="0" w:line="360"/>
        <w:ind w:firstLine="709"/>
        <w:jc w:val="both"/>
      </w:pPr>
      <w:r>
        <w:rPr>
          <w:rFonts w:ascii="Arial" w:cs="Arial" w:eastAsia="Arial" w:hAnsi="Arial"/>
          <w:sz w:val="24"/>
          <w:szCs w:val="24"/>
        </w:rPr>
        <w:t xml:space="preserve">A luderia cobra uma taxa de entrada por pessoa, por turno de 3 horas, com valor maior de sexta a domingo. É o modelo da São Jogue e o mais comum entre os concorrentes que divulgam a taxa: 15 dos 22 que cobram diferenciam o preço pelo dia da semana (Tabela 6.1). O turno de 3 horas fica acima da permanência média medida no B3, de 109 minutos, e não limita o grupo típico; serve para liberar a mesa nos horários de reserva.</w:t>
      </w:r>
    </w:p>
    <w:p>
      <w:pPr>
        <w:keepNext/>
        <w:spacing w:after="0" w:before="240" w:line="240"/>
        <w:jc w:val="left"/>
      </w:pPr>
      <w:r>
        <w:rPr>
          <w:rFonts w:ascii="Arial" w:cs="Arial" w:eastAsia="Arial" w:hAnsi="Arial"/>
          <w:b/>
          <w:bCs/>
          <w:sz w:val="20"/>
          <w:szCs w:val="20"/>
        </w:rPr>
        <w:t xml:space="preserve">Tabela 6.1 – Taxa de entrada por pessoa nos concorrentes que a divulgam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88"/>
        <w:gridCol w:w="2093"/>
        <w:gridCol w:w="1628"/>
        <w:gridCol w:w="1862"/>
      </w:tblGrid>
      <w:tr>
        <w:trPr>
          <w:cantSplit/>
          <w:tblHeader/>
        </w:trPr>
        <w:tc>
          <w:tcPr>
            <w:tcW w:type="dxa" w:w="348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Concorrente</w:t>
            </w:r>
          </w:p>
        </w:tc>
        <w:tc>
          <w:tcPr>
            <w:tcW w:type="dxa" w:w="209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Capital</w:t>
            </w:r>
          </w:p>
        </w:tc>
        <w:tc>
          <w:tcPr>
            <w:tcW w:type="dxa" w:w="162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Dia útil</w:t>
            </w:r>
          </w:p>
        </w:tc>
        <w:tc>
          <w:tcPr>
            <w:tcW w:type="dxa" w:w="1862"/>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Fim de semana</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São Jogue (turno de 3 h)</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Salvador</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22,00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Encounter</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40,00 a 45,00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LudoCafé</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10,00 a 25,00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20,00 a 35,00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Shelf Bar e Jogos</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15,00 a 20,00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Ludoteca Sidequest</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Belém</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23,00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Tubaleria</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Arena BG</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12,50 a 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Loja de Jogos - Asgard</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Brasília</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Bardo Mago</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Game Of Boards</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Rio de Janeiro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Nala Land</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Recife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20,00 a 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TabuClub</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Rio de Janeiro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20,00 a 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Place Games</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0,00 a 25,00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Comdado Bar e Jogos</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La Tabuleria</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15,00 a 20,00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Covil Game Bar</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15,00 a 20,00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Fan Hour</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Luderia Carioca</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Rio de Janeiro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Joyjoy Café</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Curitiba</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10,00 a 15,00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Café Geek</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Vitória</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0,00 a 15,00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0,00 a 15,00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BoardZ Game Pub</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Curitiba</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Garagem do Nerd</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Toca do Rato</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Porto Alegre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5,00</w:t>
            </w:r>
          </w:p>
        </w:tc>
      </w:tr>
      <w:tr>
        <w:trPr>
          <w:cantSplit/>
          <w:tblHeader w:val="false"/>
        </w:trPr>
        <w:tc>
          <w:tcPr>
            <w:tcW w:type="dxa" w:w="348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Ludus Luderia</w:t>
            </w:r>
          </w:p>
        </w:tc>
        <w:tc>
          <w:tcPr>
            <w:tcW w:type="dxa" w:w="209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0,00</w:t>
            </w:r>
          </w:p>
        </w:tc>
        <w:tc>
          <w:tcPr>
            <w:tcW w:type="dxa" w:w="1862"/>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0,00</w:t>
            </w:r>
          </w:p>
        </w:tc>
      </w:tr>
    </w:tbl>
    <w:p>
      <w:pPr>
        <w:keepNext w:val="false"/>
        <w:spacing w:after="240" w:before="0" w:line="240"/>
        <w:jc w:val="left"/>
      </w:pPr>
      <w:r>
        <w:rPr>
          <w:rFonts w:ascii="Arial" w:cs="Arial" w:eastAsia="Arial" w:hAnsi="Arial"/>
          <w:sz w:val="20"/>
          <w:szCs w:val="20"/>
        </w:rPr>
        <w:t xml:space="preserve">Fonte: elaboração própria, com base nos cardápios, sites, matérias de imprensa, posts do Instagram e fotos do Google Maps do Bloco B1 (abr/2024 a jul/2026; BoardZ sem data, coletada em out/2026) e nas NFC-e da São Jogue (Bloco B3). Fim de semana: sexta a domingo e feriados. Faixa: menor e maior valor do período. LudoCafé: menor valor com consumo mínimo de R$ 50,00. BoardZ: passe do dia; a casa não cobra entrada, e o jogo avulso é pago por título. Place Games: R$ 10,00 da entrada valem como consumo, e a entrada é grátis na confraria de quinta. Café Geek: passaporte por nível de jogo.</w:t>
      </w:r>
    </w:p>
    <w:p>
      <w:pPr>
        <w:spacing w:after="0" w:line="360"/>
        <w:ind w:firstLine="709"/>
        <w:jc w:val="both"/>
      </w:pPr>
      <w:r>
        <w:rPr>
          <w:rFonts w:ascii="Arial" w:cs="Arial" w:eastAsia="Arial" w:hAnsi="Arial"/>
          <w:sz w:val="24"/>
          <w:szCs w:val="24"/>
        </w:rPr>
        <w:t xml:space="preserve">A taxa da São Jogue está no alto da faixa. Pelo maior valor de cada casa, a mediana dos 22 concorrentes que cobram é de R$ 25,00 no fim de semana, e só três cobram mais que a São Jogue: Encounter (R$ 45,00 no sábado), LudoCafé (R$ 35,00 sem consumo mínimo) e Shelf (R$ 30,00). No dia útil, a mediana é de R$ 15,00, contra R$ 22,00. Dos 53 concorrentes do B1, 22 têm a taxa encontrada no cardápio, no site, na imprensa ou no Instagram, e a Ludus declara que não cobra; nos outros 30, a cobrança não foi encontrada. Os valores de Covil, LudoCafé, Garagem do Nerd e Joyjoy são de 2024 e podem estar defasados. A contagem exclui a sala privativa do Café Geek, cobrada por hora e por grupo.</w:t>
      </w:r>
    </w:p>
    <w:p>
      <w:pPr>
        <w:spacing w:after="0" w:line="360"/>
        <w:ind w:firstLine="709"/>
        <w:jc w:val="both"/>
      </w:pPr>
      <w:r>
        <w:rPr>
          <w:rFonts w:ascii="Arial" w:cs="Arial" w:eastAsia="Arial" w:hAnsi="Arial"/>
          <w:sz w:val="24"/>
          <w:szCs w:val="24"/>
        </w:rPr>
        <w:t xml:space="preserve">As avaliações confirmam que o preço da entrada pesa, mas pouco. Das 1.628 avaliações com texto do B2, 44 citam a taxa de entrada — 24 de forma negativa e 20 positiva — e 152 citam o preço do consumo, 61 de forma negativa. Na Sidequest, que cobra o mesmo que a São Jogue no fim de semana, um cliente chamou os R$ 28,00 de "um preço um pouco alto" e deu nota 4. O gasto declarado pelos avaliadores no campo de preço por pessoa do Google Maps tem mediana na faixa de R$ 80,00 a R$ 100,00 (352 declarações, sem a Bodogami, que soma 250 das 602).</w:t>
      </w:r>
    </w:p>
    <w:p>
      <w:pPr>
        <w:spacing w:after="0" w:line="360"/>
        <w:ind w:firstLine="709"/>
        <w:jc w:val="both"/>
      </w:pPr>
      <w:r>
        <w:rPr>
          <w:rFonts w:ascii="Arial" w:cs="Arial" w:eastAsia="Arial" w:hAnsi="Arial"/>
          <w:sz w:val="24"/>
          <w:szCs w:val="24"/>
        </w:rPr>
        <w:t xml:space="preserve">O consumo efetivo na São Jogue fica bem abaixo desse gasto declarado. Nas quatro NFC-e das mesas dos observadores, a pessoa gastou em média R$ 23,91 com alimentos e bebidas, além da taxa (Bloco B3). A soma, perto de R$ 50,00 por pessoa, equivale a R$ 180,00 por grupo de 3,6 pessoas. Na Bahia, as famílias com renda de R$ 5.724,00 a R$ 9.540,00 gastavam R$ 448,65 por mês com alimentação fora do domicílio (IBGE, POF 2017-2018): uma visita consome cerca de 40% desse orçamento, a preços de 2018 </w:t>
      </w:r>
      <w:r>
        <w:rPr>
          <w:rFonts w:ascii="Arial" w:cs="Arial" w:eastAsia="Arial" w:hAnsi="Arial"/>
          <w:sz w:val="24"/>
          <w:szCs w:val="24"/>
        </w:rPr>
        <w:t xml:space="preserve">[script — corrigir pelo IPCA]</w:t>
      </w:r>
      <w:r>
        <w:rPr>
          <w:rFonts w:ascii="Arial" w:cs="Arial" w:eastAsia="Arial" w:hAnsi="Arial"/>
          <w:sz w:val="24"/>
          <w:szCs w:val="24"/>
        </w:rPr>
        <w:t xml:space="preserve">. A luderia é ocasião de saída, não hábito semanal.</w:t>
      </w:r>
    </w:p>
    <w:p>
      <w:pPr>
        <w:spacing w:after="0" w:line="360"/>
        <w:ind w:firstLine="709"/>
        <w:jc w:val="both"/>
      </w:pPr>
      <w:r>
        <w:rPr>
          <w:rFonts w:ascii="Arial" w:cs="Arial" w:eastAsia="Arial" w:hAnsi="Arial"/>
          <w:sz w:val="24"/>
          <w:szCs w:val="24"/>
        </w:rPr>
        <w:t xml:space="preserve">O plano adota os preços da São Jogue como provável. A taxa de entrada fica em R$ 28,00 no fim de semana (faixa de R$ 25,00 a R$ 30,00) e R$ 22,00 no dia útil (R$ 20,00 a R$ 25,00); o gasto com alimentos e bebidas, em R$ 24,00 por pessoa (R$ 18,00 a R$ 32,00). Os valores entram no registro de premissas do cap. 9 como R06, R07 e R08. A taxa acima da mediana dos concorrentes só se sustenta com o serviço que a justifica — explicação de jogos e acervo grande —, o que liga o preço à proposta de valor (6.1).</w:t>
      </w:r>
    </w:p>
    <w:p>
      <w:pPr>
        <w:pStyle w:val="Heading1"/>
        <w:keepNext/>
        <w:spacing w:after="240" w:before="360" w:line="360"/>
      </w:pPr>
      <w:r>
        <w:rPr>
          <w:rFonts w:ascii="Arial" w:cs="Arial" w:eastAsia="Arial" w:hAnsi="Arial"/>
          <w:b/>
          <w:bCs/>
          <w:sz w:val="24"/>
          <w:szCs w:val="24"/>
        </w:rPr>
        <w:t xml:space="preserve">6.4 PRAÇA</w:t>
      </w:r>
    </w:p>
    <w:p>
      <w:pPr>
        <w:spacing w:after="0" w:line="360"/>
        <w:ind w:firstLine="709"/>
        <w:jc w:val="both"/>
      </w:pPr>
      <w:r>
        <w:rPr>
          <w:rFonts w:ascii="Arial" w:cs="Arial" w:eastAsia="Arial" w:hAnsi="Arial"/>
          <w:sz w:val="24"/>
          <w:szCs w:val="24"/>
        </w:rPr>
        <w:t xml:space="preserve">A Pituba é o bairro indicado para a luderia. Ela lidera a matriz de critérios em todos os conjuntos de pesos testados (Tabela 6.2): tem a 5ª maior população de 20 a 39 anos de Salvador, 15.276 pessoas, e 95,1% dos domicílios em apartamento (IBGE, Censo 2022).</w:t>
      </w:r>
    </w:p>
    <w:p>
      <w:pPr>
        <w:spacing w:after="0" w:line="360"/>
        <w:ind w:firstLine="709"/>
        <w:jc w:val="both"/>
      </w:pPr>
      <w:r>
        <w:rPr>
          <w:rFonts w:ascii="Arial" w:cs="Arial" w:eastAsia="Arial" w:hAnsi="Arial"/>
          <w:sz w:val="24"/>
          <w:szCs w:val="24"/>
        </w:rPr>
        <w:t xml:space="preserve">O Censo 2022 não publica renda por bairro. A proporção de domicílios em apartamento entra como substituta da renda: em Salvador, a média é de 28,1%, e só 19 dos 170 bairros passam de 80%. A substituição tem limite: conjuntos habitacionais também são apartamentos, e Cajazeiras II (90,9%) é o exemplo. A matriz considera só os bairros com pelo menos 80% de apartamentos e 3.500 pessoas de 20 a 39 anos — 10 dos 170 bairros.</w:t>
      </w:r>
    </w:p>
    <w:p>
      <w:pPr>
        <w:keepNext/>
        <w:spacing w:after="0" w:before="240" w:line="240"/>
        <w:jc w:val="left"/>
      </w:pPr>
      <w:r>
        <w:rPr>
          <w:rFonts w:ascii="Arial" w:cs="Arial" w:eastAsia="Arial" w:hAnsi="Arial"/>
          <w:b/>
          <w:bCs/>
          <w:sz w:val="20"/>
          <w:szCs w:val="20"/>
        </w:rPr>
        <w:t xml:space="preserve">Tabela 6.2 – Matriz de critérios ponderados para o bairro, Salvador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71"/>
        <w:gridCol w:w="2591"/>
        <w:gridCol w:w="1511"/>
        <w:gridCol w:w="1511"/>
        <w:gridCol w:w="1511"/>
        <w:gridCol w:w="976"/>
      </w:tblGrid>
      <w:tr>
        <w:trPr>
          <w:cantSplit/>
          <w:tblHeader/>
        </w:trPr>
        <w:tc>
          <w:tcPr>
            <w:tcW w:type="dxa" w:w="97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Posição</w:t>
            </w:r>
          </w:p>
        </w:tc>
        <w:tc>
          <w:tcPr>
            <w:tcW w:type="dxa" w:w="259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Bairro</w:t>
            </w:r>
          </w:p>
        </w:tc>
        <w:tc>
          <w:tcPr>
            <w:tcW w:type="dxa" w:w="15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Pessoas de 20 a 39 anos</w:t>
            </w:r>
          </w:p>
        </w:tc>
        <w:tc>
          <w:tcPr>
            <w:tcW w:type="dxa" w:w="15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Domicílios em apartamento</w:t>
            </w:r>
          </w:p>
        </w:tc>
        <w:tc>
          <w:tcPr>
            <w:tcW w:type="dxa" w:w="15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Pessoas de 20 a 39 anos por km²</w:t>
            </w:r>
          </w:p>
        </w:tc>
        <w:tc>
          <w:tcPr>
            <w:tcW w:type="dxa" w:w="97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Nota</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Pituba</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15.276</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95,1%</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3.353</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0,864</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Graça</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3.756</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97,2%</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4.380</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0,473</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Imbuí</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9.127</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88,3%</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3.431</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0,437</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Vila Laura</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4.070</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93,0%</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4.861</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0,412</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Costa Azul</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4.996</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92,6%</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3.857</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0,386</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Caminho das Árvores</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4.037</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93,8%</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2.013</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0,270</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7</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Jardim das Margaridas</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7.018</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84,8%</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2.744</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0,222</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Barra</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3.862</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89,5%</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2.742</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0,199</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9</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Patamares</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5.969</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88,7%</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1.307</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0,190</w:t>
            </w:r>
          </w:p>
        </w:tc>
      </w:tr>
      <w:tr>
        <w:trPr>
          <w:cantSplit/>
          <w:tblHeader w:val="false"/>
        </w:trPr>
        <w:tc>
          <w:tcPr>
            <w:tcW w:type="dxa" w:w="97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w:t>
            </w:r>
          </w:p>
        </w:tc>
        <w:tc>
          <w:tcPr>
            <w:tcW w:type="dxa" w:w="259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STIEP</w:t>
            </w:r>
          </w:p>
        </w:tc>
        <w:tc>
          <w:tcPr>
            <w:tcW w:type="dxa" w:w="15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4.034</w:t>
            </w:r>
          </w:p>
        </w:tc>
        <w:tc>
          <w:tcPr>
            <w:tcW w:type="dxa" w:w="15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86,6%</w:t>
            </w:r>
          </w:p>
        </w:tc>
        <w:tc>
          <w:tcPr>
            <w:tcW w:type="dxa" w:w="15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3.265</w:t>
            </w:r>
          </w:p>
        </w:tc>
        <w:tc>
          <w:tcPr>
            <w:tcW w:type="dxa" w:w="97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0,166</w:t>
            </w:r>
          </w:p>
        </w:tc>
      </w:tr>
    </w:tbl>
    <w:p>
      <w:pPr>
        <w:keepNext w:val="false"/>
        <w:spacing w:after="240" w:before="0" w:line="240"/>
        <w:jc w:val="left"/>
      </w:pPr>
      <w:r>
        <w:rPr>
          <w:rFonts w:ascii="Arial" w:cs="Arial" w:eastAsia="Arial" w:hAnsi="Arial"/>
          <w:sz w:val="20"/>
          <w:szCs w:val="20"/>
        </w:rPr>
        <w:t xml:space="preserve">Fonte: elaboração própria, com base no IBGE (Censo 2022, agregados por bairro). Pesos: público de 20 a 39 anos, 50%; apartamentos, 30%; público por km², 20%; cada critério normalizado de 0 a 1 entre os candidatos.</w:t>
      </w:r>
    </w:p>
    <w:p>
      <w:pPr>
        <w:spacing w:after="0" w:line="360"/>
        <w:ind w:firstLine="709"/>
        <w:jc w:val="both"/>
      </w:pPr>
      <w:r>
        <w:rPr>
          <w:rFonts w:ascii="Arial" w:cs="Arial" w:eastAsia="Arial" w:hAnsi="Arial"/>
          <w:sz w:val="24"/>
          <w:szCs w:val="24"/>
        </w:rPr>
        <w:t xml:space="preserve">Os pesos são do autor (N6) e não mudam a escolha. Com pesos de 40%, 40% e 20%, de 60%, 20% e 20% ou iguais, a Pituba fica em 1º; Graça, Imbuí e Vila Laura alternam do 2º ao 5º lugar. Nenhuma das duas unidades da São Jogue está entre os candidatos: a Bela Vista fica em Pernambués, e a Paralela, na Avenida Paralela.</w:t>
      </w:r>
    </w:p>
    <w:p>
      <w:pPr>
        <w:spacing w:after="0" w:line="360"/>
        <w:ind w:firstLine="709"/>
        <w:jc w:val="both"/>
      </w:pPr>
      <w:r>
        <w:rPr>
          <w:rFonts w:ascii="Arial" w:cs="Arial" w:eastAsia="Arial" w:hAnsi="Arial"/>
          <w:sz w:val="24"/>
          <w:szCs w:val="24"/>
        </w:rPr>
        <w:t xml:space="preserve">O ponto, dentro do bairro, deve ficar a até 1.000 m de uma estação de metrô. Entre os 54 concorrentes do B1, os 24 com estação a até 1.000 m têm mediana de 770 avaliações no Google Maps, contra 396 dos 30 sem estação (Bloco B1, entorno pelo Google Maps). O shopping de porte não mostra a mesma vantagem: os 10 concorrentes com shopping a até 1.000 m têm mediana de 396 avaliações, contra 663 dos 19 sem (25 sem dado). O número de avaliações mede fluxo de forma indireta, e a associação não prova causa. A São Jogue da Bela Vista, único concorrente de Salvador no B1 (787 avaliações), fica a 387 m do metrô e a 118 m de um shopping.</w:t>
      </w:r>
    </w:p>
    <w:p>
      <w:pPr>
        <w:spacing w:after="0" w:line="360"/>
        <w:ind w:firstLine="709"/>
        <w:jc w:val="both"/>
      </w:pPr>
      <w:r>
        <w:rPr>
          <w:rFonts w:ascii="Arial" w:cs="Arial" w:eastAsia="Arial" w:hAnsi="Arial"/>
          <w:sz w:val="24"/>
          <w:szCs w:val="24"/>
        </w:rPr>
        <w:t xml:space="preserve">Falta o custo do ponto por bairro. O FipeZap dá o aluguel comercial só para Salvador inteira (R$ 54,15 por m² em jul/2026), sem recorte de bairro; o cap. 9 usa esse valor, e o pessimista (R$ 64,36) cobre parte do prêmio de um bairro como a Pituba. A cotação de pontos na Pituba, junto ao metrô, fecha a decisão </w:t>
      </w:r>
      <w:r>
        <w:rPr>
          <w:rFonts w:ascii="Arial" w:cs="Arial" w:eastAsia="Arial" w:hAnsi="Arial"/>
          <w:sz w:val="24"/>
          <w:szCs w:val="24"/>
        </w:rPr>
        <w:t xml:space="preserve">[BUSCAR — anúncios de locação comercial]</w:t>
      </w:r>
      <w:r>
        <w:rPr>
          <w:rFonts w:ascii="Arial" w:cs="Arial" w:eastAsia="Arial" w:hAnsi="Arial"/>
          <w:sz w:val="24"/>
          <w:szCs w:val="24"/>
        </w:rPr>
        <w:t xml:space="preserve">.</w:t>
      </w:r>
    </w:p>
    <w:p>
      <w:pPr>
        <w:pStyle w:val="Title"/>
        <w:pageBreakBefore/>
        <w:spacing w:after="480" w:line="360"/>
        <w:jc w:val="center"/>
      </w:pPr>
      <w:r>
        <w:rPr>
          <w:rFonts w:ascii="Arial" w:cs="Arial" w:eastAsia="Arial" w:hAnsi="Arial"/>
          <w:b/>
          <w:bCs/>
          <w:sz w:val="24"/>
          <w:szCs w:val="24"/>
        </w:rPr>
        <w:t xml:space="preserve">7 PLANO OPERACIONAL</w:t>
      </w:r>
    </w:p>
    <w:p>
      <w:pPr>
        <w:pStyle w:val="Heading1"/>
        <w:keepNext/>
        <w:spacing w:after="240" w:before="360" w:line="360"/>
      </w:pPr>
      <w:r>
        <w:rPr>
          <w:rFonts w:ascii="Arial" w:cs="Arial" w:eastAsia="Arial" w:hAnsi="Arial"/>
          <w:b/>
          <w:bCs/>
          <w:sz w:val="24"/>
          <w:szCs w:val="24"/>
        </w:rPr>
        <w:t xml:space="preserve">7.1 LOCALIZAÇÃO E LAYOUT</w:t>
      </w:r>
    </w:p>
    <w:p>
      <w:pPr>
        <w:spacing w:after="0" w:line="360"/>
        <w:ind w:firstLine="709"/>
        <w:jc w:val="both"/>
      </w:pPr>
      <w:r>
        <w:rPr>
          <w:rFonts w:ascii="Arial" w:cs="Arial" w:eastAsia="Arial" w:hAnsi="Arial"/>
          <w:sz w:val="24"/>
          <w:szCs w:val="24"/>
        </w:rPr>
        <w:t xml:space="preserve">A luderia ocupa um salão térreo de cerca de 180 m² na Pituba, a até 1.000 m de uma estação de metrô (seção 6.4). A área é estimativa do autor (N6), com faixa de 150 a 220 m² no cap. 9. O ponto precisa de zona que admita serviço de alimentação e lazer na LOUOS de Salvador e de licença do Corpo de Bombeiros compatível com a lotação do salão (Quadro 8.1).</w:t>
      </w:r>
    </w:p>
    <w:p>
      <w:pPr>
        <w:spacing w:after="0" w:line="360"/>
        <w:ind w:firstLine="709"/>
        <w:jc w:val="both"/>
      </w:pPr>
      <w:r>
        <w:rPr>
          <w:rFonts w:ascii="Arial" w:cs="Arial" w:eastAsia="Arial" w:hAnsi="Arial"/>
          <w:sz w:val="24"/>
          <w:szCs w:val="24"/>
        </w:rPr>
        <w:t xml:space="preserve">O layout segue o das duas unidades da São Jogue, a referência medida do plano. O salão de jogos recebe 10 mesas: 8 de até 6 lugares e 2 de 2 a 4 lugares, com 48 assentos vendidos por turno, o mesmo número que a São Jogue oferece no site de reservas (B3, estrutura das unidades, 31/10/2026). As estantes do acervo ficam no próprio salão, à vista das mesas, porque a escolha do jogo faz parte do serviço. Completam a área a cozinha, o bar com o caixa, o depósito de A&amp;B, dois sanitários, um deles adaptado, e uma rota acessível da entrada às mesas (Lei n. 13.146/2015; ABNT NBR 9050). </w:t>
      </w:r>
      <w:r>
        <w:rPr>
          <w:rFonts w:ascii="Arial" w:cs="Arial" w:eastAsia="Arial" w:hAnsi="Arial"/>
          <w:sz w:val="24"/>
          <w:szCs w:val="24"/>
        </w:rPr>
        <w:t xml:space="preserve">[figura: croqui do salão]</w:t>
      </w:r>
    </w:p>
    <w:p>
      <w:pPr>
        <w:pStyle w:val="Heading1"/>
        <w:keepNext/>
        <w:spacing w:after="240" w:before="360" w:line="360"/>
      </w:pPr>
      <w:r>
        <w:rPr>
          <w:rFonts w:ascii="Arial" w:cs="Arial" w:eastAsia="Arial" w:hAnsi="Arial"/>
          <w:b/>
          <w:bCs/>
          <w:sz w:val="24"/>
          <w:szCs w:val="24"/>
        </w:rPr>
        <w:t xml:space="preserve">7.2 CAPACIDADE INSTALADA</w:t>
      </w:r>
    </w:p>
    <w:p>
      <w:pPr>
        <w:spacing w:after="0" w:line="360"/>
        <w:ind w:firstLine="709"/>
        <w:jc w:val="both"/>
      </w:pPr>
      <w:r>
        <w:rPr>
          <w:rFonts w:ascii="Arial" w:cs="Arial" w:eastAsia="Arial" w:hAnsi="Arial"/>
          <w:sz w:val="24"/>
          <w:szCs w:val="24"/>
        </w:rPr>
        <w:t xml:space="preserve">A capacidade do salão supera a demanda projetada com folga. O Quadro 7.1 traz o cálculo, com as premissas do cap. 9.</w:t>
      </w:r>
    </w:p>
    <w:p>
      <w:pPr>
        <w:keepNext/>
        <w:spacing w:after="0" w:before="240" w:line="240"/>
        <w:jc w:val="left"/>
      </w:pPr>
      <w:r>
        <w:rPr>
          <w:rFonts w:ascii="Arial" w:cs="Arial" w:eastAsia="Arial" w:hAnsi="Arial"/>
          <w:b/>
          <w:bCs/>
          <w:sz w:val="20"/>
          <w:szCs w:val="20"/>
        </w:rPr>
        <w:t xml:space="preserve">Quadro 7.1 – Capacidade instalada e demanda provável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2539"/>
        <w:gridCol w:w="2541"/>
      </w:tblGrid>
      <w:tr>
        <w:trPr>
          <w:cantSplit/>
          <w:tblHeader/>
        </w:trPr>
        <w:tc>
          <w:tcPr>
            <w:tcW w:type="dxa" w:w="399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Item</w:t>
            </w:r>
          </w:p>
        </w:tc>
        <w:tc>
          <w:tcPr>
            <w:tcW w:type="dxa" w:w="253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Valor</w:t>
            </w:r>
          </w:p>
        </w:tc>
        <w:tc>
          <w:tcPr>
            <w:tcW w:type="dxa" w:w="254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Origem</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Mesas no salão</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B3, unidades da São Jogue (R01)</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Pessoas por grupo de mesa</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3,6</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B3, média das quatro visitas (R02)</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Permanência média</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109 min</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B3, média das quatro visitas (R03)</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Horas abertas por semana</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68 h: 40 h de segunda a quinta e 28 h de sexta a domingo</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Horário da São Jogue, 12h às 22h (domingo, 13h às 21h) (R13, R14)</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Giro por mesa</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22,0 por semana no dia útil e 15,4 no fim de semana</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Horas abertas ÷ permanência</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Capacidade máxima</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193 pessoas por dia</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Todas as mesas ocupadas em todas as horas abertas</w:t>
            </w:r>
          </w:p>
        </w:tc>
      </w:tr>
      <w:tr>
        <w:trPr>
          <w:cantSplit/>
          <w:tblHeader w:val="false"/>
        </w:trPr>
        <w:tc>
          <w:tcPr>
            <w:tcW w:type="dxa" w:w="399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Demanda provável no ano maduro</w:t>
            </w:r>
          </w:p>
        </w:tc>
        <w:tc>
          <w:tcPr>
            <w:tcW w:type="dxa" w:w="253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48 pessoas por dia</w:t>
            </w:r>
          </w:p>
        </w:tc>
        <w:tc>
          <w:tcPr>
            <w:tcW w:type="dxa" w:w="254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Ocupação de 35% no fim de semana e 18% no dia útil (R04, R05)</w:t>
            </w:r>
          </w:p>
        </w:tc>
      </w:tr>
    </w:tbl>
    <w:p>
      <w:pPr>
        <w:keepNext w:val="false"/>
        <w:spacing w:after="240" w:before="0" w:line="240"/>
        <w:jc w:val="left"/>
      </w:pPr>
      <w:r>
        <w:rPr>
          <w:rFonts w:ascii="Arial" w:cs="Arial" w:eastAsia="Arial" w:hAnsi="Arial"/>
          <w:sz w:val="20"/>
          <w:szCs w:val="20"/>
        </w:rPr>
        <w:t xml:space="preserve">Fonte: elaborado pelo próprio autor com base no Bloco B3 (2026) e no modelo do cap. 9.</w:t>
      </w:r>
    </w:p>
    <w:p>
      <w:pPr>
        <w:spacing w:after="0" w:line="360"/>
        <w:ind w:firstLine="709"/>
        <w:jc w:val="both"/>
      </w:pPr>
      <w:r>
        <w:rPr>
          <w:rFonts w:ascii="Arial" w:cs="Arial" w:eastAsia="Arial" w:hAnsi="Arial"/>
          <w:sz w:val="24"/>
          <w:szCs w:val="24"/>
        </w:rPr>
        <w:t xml:space="preserve">A demanda provável usa 25% da capacidade. O teto físico, portanto, não limita a receita: o que limita é a ocupação. Nas noites de sexta e sábado observadas, a ocupação média das mesas foi de 29,9% a 66,9%, com pico de 77,8% na Paralela, em 30/10 (B3). Mesmo no pico, sobraram duas mesas livres.</w:t>
      </w:r>
    </w:p>
    <w:p>
      <w:pPr>
        <w:spacing w:after="0" w:line="360"/>
        <w:ind w:firstLine="709"/>
        <w:jc w:val="both"/>
      </w:pPr>
      <w:r>
        <w:rPr>
          <w:rFonts w:ascii="Arial" w:cs="Arial" w:eastAsia="Arial" w:hAnsi="Arial"/>
          <w:sz w:val="24"/>
          <w:szCs w:val="24"/>
        </w:rPr>
        <w:t xml:space="preserve">A lotação aprovada pelo Corpo de Bombeiros pode reduzir o número de assentos. Esse teto só é conhecido com o projeto do imóvel e fica como condição de escolha do ponto.</w:t>
      </w:r>
    </w:p>
    <w:p>
      <w:pPr>
        <w:pStyle w:val="Heading1"/>
        <w:keepNext/>
        <w:spacing w:after="240" w:before="360" w:line="360"/>
      </w:pPr>
      <w:r>
        <w:rPr>
          <w:rFonts w:ascii="Arial" w:cs="Arial" w:eastAsia="Arial" w:hAnsi="Arial"/>
          <w:b/>
          <w:bCs/>
          <w:sz w:val="24"/>
          <w:szCs w:val="24"/>
        </w:rPr>
        <w:t xml:space="preserve">7.3 PROCESSOS OPERACIONAIS</w:t>
      </w:r>
    </w:p>
    <w:p>
      <w:pPr>
        <w:spacing w:after="0" w:line="360"/>
        <w:ind w:firstLine="709"/>
        <w:jc w:val="both"/>
      </w:pPr>
      <w:r>
        <w:rPr>
          <w:rFonts w:ascii="Arial" w:cs="Arial" w:eastAsia="Arial" w:hAnsi="Arial"/>
          <w:sz w:val="24"/>
          <w:szCs w:val="24"/>
        </w:rPr>
        <w:t xml:space="preserve">A jornada do cliente tem cinco etapas. Na chegada, o caixa registra o grupo e cobra a taxa de entrada por pessoa, válida por um turno de 3 horas; a reserva antecipada segue os turnos da São Jogue (12h, 15h30 e 19h). Na mesa, o instrutor de jogos sugere títulos pelo perfil do grupo e explica as regras. O pedido de A&amp;B é feito ao mesmo instrutor, que acumula a função de garçom no salão. No fim, a conta é paga no caixa, com NFC-e para toda venda, como o cap. 8 assume. Por último, o instrutor confere as peças do jogo devolvido antes de guardá-lo </w:t>
      </w:r>
      <w:r>
        <w:rPr>
          <w:rFonts w:ascii="Arial" w:cs="Arial" w:eastAsia="Arial" w:hAnsi="Arial"/>
          <w:sz w:val="24"/>
          <w:szCs w:val="24"/>
        </w:rPr>
        <w:t xml:space="preserve">[figura: fluxograma da jornada do cliente]</w:t>
      </w:r>
      <w:r>
        <w:rPr>
          <w:rFonts w:ascii="Arial" w:cs="Arial" w:eastAsia="Arial" w:hAnsi="Arial"/>
          <w:sz w:val="24"/>
          <w:szCs w:val="24"/>
        </w:rPr>
        <w:t xml:space="preserve">.</w:t>
      </w:r>
    </w:p>
    <w:p>
      <w:pPr>
        <w:spacing w:after="0" w:line="360"/>
        <w:ind w:firstLine="709"/>
        <w:jc w:val="both"/>
      </w:pPr>
      <w:r>
        <w:rPr>
          <w:rFonts w:ascii="Arial" w:cs="Arial" w:eastAsia="Arial" w:hAnsi="Arial"/>
          <w:sz w:val="24"/>
          <w:szCs w:val="24"/>
        </w:rPr>
        <w:t xml:space="preserve">A explicação de regras é o processo que mais pesa na avaliação. A mediação lúdica aparece em 16,4% das avaliações dos concorrentes e, quando negativa, acompanha nota média de 2,83 (B2, codificação provisória de 15/10/2026, cap. 5). O plano trata a explicação como serviço de mesa, com instrutor dedicado ao salão em todas as horas abertas, e não como tarefa de quem estiver livre.</w:t>
      </w:r>
    </w:p>
    <w:p>
      <w:pPr>
        <w:spacing w:after="0" w:line="360"/>
        <w:ind w:firstLine="709"/>
        <w:jc w:val="both"/>
      </w:pPr>
      <w:r>
        <w:rPr>
          <w:rFonts w:ascii="Arial" w:cs="Arial" w:eastAsia="Arial" w:hAnsi="Arial"/>
          <w:sz w:val="24"/>
          <w:szCs w:val="24"/>
        </w:rPr>
        <w:t xml:space="preserve">O A&amp;B segue cardápio curto, de preparo rápido. Nas visitas, os pedidos foram poucos: de 0,5 a 1,7 por grupo, entre bebidas, comidas e sobremesas (B3, registro de pedidos, extra descritivo). Um cardápio de lanches, porções e bebidas atende esse volume com um cozinheiro por turno.</w:t>
      </w:r>
    </w:p>
    <w:p>
      <w:pPr>
        <w:pStyle w:val="Heading1"/>
        <w:keepNext/>
        <w:spacing w:after="240" w:before="360" w:line="360"/>
      </w:pPr>
      <w:r>
        <w:rPr>
          <w:rFonts w:ascii="Arial" w:cs="Arial" w:eastAsia="Arial" w:hAnsi="Arial"/>
          <w:b/>
          <w:bCs/>
          <w:sz w:val="24"/>
          <w:szCs w:val="24"/>
        </w:rPr>
        <w:t xml:space="preserve">7.4 GESTÃO DO ACERVO</w:t>
      </w:r>
    </w:p>
    <w:p>
      <w:pPr>
        <w:spacing w:after="0" w:line="360"/>
        <w:ind w:firstLine="709"/>
        <w:jc w:val="both"/>
      </w:pPr>
      <w:r>
        <w:rPr>
          <w:rFonts w:ascii="Arial" w:cs="Arial" w:eastAsia="Arial" w:hAnsi="Arial"/>
          <w:sz w:val="24"/>
          <w:szCs w:val="24"/>
        </w:rPr>
        <w:t xml:space="preserve">O acervo inicial tem 322 títulos, a mediana dos acervos publicados pelos concorrentes do B1, ao custo provável de R$ 61 mil (I05). A composição parte da cesta de jogos: os títulos presentes em 15 ou mais dos 30 acervos coletados (Bloco B1, 17/10/2026). A São Jogue lista 370 títulos, e uma das visitas contou 350 caixas só no salão da Bela Vista (B3, 10/10/2026). O restante do acervo é escolhido pelos jogos citados nas avaliações (B2), depois da recodificação do 5.2.</w:t>
      </w:r>
    </w:p>
    <w:p>
      <w:pPr>
        <w:spacing w:after="0" w:line="360"/>
        <w:ind w:firstLine="709"/>
        <w:jc w:val="both"/>
      </w:pPr>
      <w:r>
        <w:rPr>
          <w:rFonts w:ascii="Arial" w:cs="Arial" w:eastAsia="Arial" w:hAnsi="Arial"/>
          <w:sz w:val="24"/>
          <w:szCs w:val="24"/>
        </w:rPr>
        <w:t xml:space="preserve">A conferência de peças acontece na devolução de cada jogo, pelo instrutor. Jogo com peça faltando sai da estante até a reposição. A reposição por desgaste e perda consome 10% do valor do acervo por ano (C13, N6, faixa de 5% a 15%). A mesma verba renova o acervo.</w:t>
      </w:r>
    </w:p>
    <w:p>
      <w:pPr>
        <w:pStyle w:val="Heading1"/>
        <w:keepNext/>
        <w:spacing w:after="240" w:before="360" w:line="360"/>
      </w:pPr>
      <w:r>
        <w:rPr>
          <w:rFonts w:ascii="Arial" w:cs="Arial" w:eastAsia="Arial" w:hAnsi="Arial"/>
          <w:b/>
          <w:bCs/>
          <w:sz w:val="24"/>
          <w:szCs w:val="24"/>
        </w:rPr>
        <w:t xml:space="preserve">7.5 ESTRUTURA ORGANIZACIONAL E PESSOAL</w:t>
      </w:r>
    </w:p>
    <w:p>
      <w:pPr>
        <w:spacing w:after="0" w:line="360"/>
        <w:ind w:firstLine="709"/>
        <w:jc w:val="both"/>
      </w:pPr>
      <w:r>
        <w:rPr>
          <w:rFonts w:ascii="Arial" w:cs="Arial" w:eastAsia="Arial" w:hAnsi="Arial"/>
          <w:sz w:val="24"/>
          <w:szCs w:val="24"/>
        </w:rPr>
        <w:t xml:space="preserve">A equipe é dimensionada pelo fluxo medido, não pelo número de funções. Na noite mais cheia observada, o salão teve 32 pessoas sentadas no pico e 9 grupos de mesa ao longo da visita (B3, Bela Vista, 10/10/2026). Nas demais noites, o pico foi de 12 a 31 pessoas. No ano maduro provável, a luderia recebe 48 pessoas por dia, com a maior parte nas noites de sexta a domingo.</w:t>
      </w:r>
    </w:p>
    <w:p>
      <w:pPr>
        <w:spacing w:after="0" w:line="360"/>
        <w:ind w:firstLine="709"/>
        <w:jc w:val="both"/>
      </w:pPr>
      <w:r>
        <w:rPr>
          <w:rFonts w:ascii="Arial" w:cs="Arial" w:eastAsia="Arial" w:hAnsi="Arial"/>
          <w:sz w:val="24"/>
          <w:szCs w:val="24"/>
        </w:rPr>
        <w:t xml:space="preserve">Esse fluxo cabe numa equipe de 8 pessoas, com funções acumuladas (Quadro 7.2). O salão tem um instrutor em todas as horas abertas e dois nas noites de sexta a domingo; cada instrutor atende até 5 mesas, explica as regras e leva os pedidos. A cozinha tem um cozinheiro por turno, e o auxiliar reforça as noites de fim de semana. O caixa acumula o bar. O gerente cobre a abertura e o fechamento e substitui nas folgas. A limpeza fica com diarista, quatro vezes por semana.</w:t>
      </w:r>
    </w:p>
    <w:p>
      <w:pPr>
        <w:keepNext/>
        <w:spacing w:after="0" w:before="240" w:line="240"/>
        <w:jc w:val="left"/>
      </w:pPr>
      <w:r>
        <w:rPr>
          <w:rFonts w:ascii="Arial" w:cs="Arial" w:eastAsia="Arial" w:hAnsi="Arial"/>
          <w:b/>
          <w:bCs/>
          <w:sz w:val="20"/>
          <w:szCs w:val="20"/>
        </w:rPr>
        <w:t xml:space="preserve">Quadro 7.2 – Equipe proposta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58"/>
        <w:gridCol w:w="1670"/>
        <w:gridCol w:w="1670"/>
        <w:gridCol w:w="1673"/>
      </w:tblGrid>
      <w:tr>
        <w:trPr>
          <w:cantSplit/>
          <w:tblHeader/>
        </w:trPr>
        <w:tc>
          <w:tcPr>
            <w:tcW w:type="dxa" w:w="405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Função</w:t>
            </w:r>
          </w:p>
        </w:tc>
        <w:tc>
          <w:tcPr>
            <w:tcW w:type="dxa" w:w="167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Pessoas</w:t>
            </w:r>
          </w:p>
        </w:tc>
        <w:tc>
          <w:tcPr>
            <w:tcW w:type="dxa" w:w="167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Turno</w:t>
            </w:r>
          </w:p>
        </w:tc>
        <w:tc>
          <w:tcPr>
            <w:tcW w:type="dxa" w:w="167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Salário de admissão (R$)</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Gerente</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Abertura e fechamento</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2.500,00</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Instrutor de jogos e atendimento no salão</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Um por turno; dois nas noites de sexta a domingo</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1.625,09 a 1.653,75</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Cozinheiro</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Noite</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1.700,00</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Auxiliar de cozinha</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Dia; reforço nas noites de fim de semana</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1.625,09</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Caixa e bar</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Noite; o gerente cobre o dia</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1.625,09</w:t>
            </w:r>
          </w:p>
        </w:tc>
      </w:tr>
      <w:tr>
        <w:trPr>
          <w:cantSplit/>
          <w:tblHeader w:val="false"/>
        </w:trPr>
        <w:tc>
          <w:tcPr>
            <w:tcW w:type="dxa" w:w="405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Limpeza</w:t>
            </w:r>
          </w:p>
        </w:tc>
        <w:tc>
          <w:tcPr>
            <w:tcW w:type="dxa" w:w="167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diarista</w:t>
            </w:r>
          </w:p>
        </w:tc>
        <w:tc>
          <w:tcPr>
            <w:tcW w:type="dxa" w:w="167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Quatro vezes por semana</w:t>
            </w:r>
          </w:p>
        </w:tc>
        <w:tc>
          <w:tcPr>
            <w:tcW w:type="dxa" w:w="167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150,00 por diária</w:t>
            </w:r>
          </w:p>
        </w:tc>
      </w:tr>
    </w:tbl>
    <w:p>
      <w:pPr>
        <w:keepNext w:val="false"/>
        <w:spacing w:after="240" w:before="0" w:line="240"/>
        <w:jc w:val="left"/>
      </w:pPr>
      <w:r>
        <w:rPr>
          <w:rFonts w:ascii="Arial" w:cs="Arial" w:eastAsia="Arial" w:hAnsi="Arial"/>
          <w:sz w:val="20"/>
          <w:szCs w:val="20"/>
        </w:rPr>
        <w:t xml:space="preserve">Fonte: elaborado pelo próprio autor com base no Bloco B3 (2026) e no Novo CAGED (Salvador, admissões de ago/2025 a jul/2026, mediana).</w:t>
      </w:r>
    </w:p>
    <w:p>
      <w:pPr>
        <w:spacing w:after="0" w:line="360"/>
        <w:ind w:firstLine="709"/>
        <w:jc w:val="both"/>
      </w:pPr>
      <w:r>
        <w:rPr>
          <w:rFonts w:ascii="Arial" w:cs="Arial" w:eastAsia="Arial" w:hAnsi="Arial"/>
          <w:sz w:val="24"/>
          <w:szCs w:val="24"/>
        </w:rPr>
        <w:t xml:space="preserve">A equipe proposta tem 8 pessoas, contra 12 no quadro de referência que o modelo do cap. 9 usa hoje. Com 8, a folha com encargos cai de 38,6% para cerca de 30% da receita do ano maduro, ainda acima dos 25,1% de gastos com pessoal na média dos serviços de alimentação (IBGE, PAS 2024). A São Jogue opera com mais gente: de três a sete instrutores no salão durante as visitas. Essa diferença vem do porte da rede, com duas unidades e salas extras, e não muda o dimensionamento pela demanda.</w:t>
      </w:r>
    </w:p>
    <w:p>
      <w:pPr>
        <w:spacing w:after="0" w:line="360"/>
        <w:ind w:firstLine="709"/>
        <w:jc w:val="both"/>
      </w:pPr>
      <w:r>
        <w:rPr>
          <w:rFonts w:ascii="Arial" w:cs="Arial" w:eastAsia="Arial" w:hAnsi="Arial"/>
          <w:sz w:val="24"/>
          <w:szCs w:val="24"/>
        </w:rPr>
        <w:t xml:space="preserve">Contratar instrutores como jovens aprendizes reduz pouco o custo. Os salários já estão no piso, e o aprendiz trabalha no máximo 6 horas por dia, o que exige mais pessoas para cobrir as mesmas horas; menores de 18 anos não podem trabalhar depois das 22h (CLT, art. 404 e art. 432). O estágio exige relação com o curso do estudante (Lei n. 11.788/2008) e não cabe na função de atendimento. As duas formas ficam fora do provável.</w:t>
      </w:r>
    </w:p>
    <w:p>
      <w:pPr>
        <w:spacing w:after="0" w:line="360"/>
        <w:ind w:firstLine="709"/>
        <w:jc w:val="both"/>
      </w:pPr>
      <w:r>
        <w:rPr>
          <w:rFonts w:ascii="Arial" w:cs="Arial" w:eastAsia="Arial" w:hAnsi="Arial"/>
          <w:sz w:val="24"/>
          <w:szCs w:val="24"/>
        </w:rPr>
        <w:t xml:space="preserve">O contador é terceirizado (R$ 1.200,00 por mês, C11).</w:t>
      </w:r>
    </w:p>
    <w:p>
      <w:pPr>
        <w:pStyle w:val="Title"/>
        <w:pageBreakBefore/>
        <w:spacing w:after="480" w:line="360"/>
        <w:jc w:val="center"/>
      </w:pPr>
      <w:r>
        <w:rPr>
          <w:rFonts w:ascii="Arial" w:cs="Arial" w:eastAsia="Arial" w:hAnsi="Arial"/>
          <w:b/>
          <w:bCs/>
          <w:sz w:val="24"/>
          <w:szCs w:val="24"/>
        </w:rPr>
        <w:t xml:space="preserve">8 ASPECTOS JURÍDICOS E LEGAIS</w:t>
      </w:r>
    </w:p>
    <w:p>
      <w:pPr>
        <w:pStyle w:val="Heading1"/>
        <w:keepNext/>
        <w:spacing w:after="240" w:before="360" w:line="360"/>
      </w:pPr>
      <w:r>
        <w:rPr>
          <w:rFonts w:ascii="Arial" w:cs="Arial" w:eastAsia="Arial" w:hAnsi="Arial"/>
          <w:b/>
          <w:bCs/>
          <w:sz w:val="24"/>
          <w:szCs w:val="24"/>
        </w:rPr>
        <w:t xml:space="preserve">8.1 FORMA JURÍDICA E ENQUADRAMENTO TRIBUTÁRIO</w:t>
      </w:r>
    </w:p>
    <w:p>
      <w:pPr>
        <w:spacing w:after="0" w:line="360"/>
        <w:ind w:firstLine="709"/>
        <w:jc w:val="both"/>
      </w:pPr>
      <w:r>
        <w:rPr>
          <w:rFonts w:ascii="Arial" w:cs="Arial" w:eastAsia="Arial" w:hAnsi="Arial"/>
          <w:sz w:val="24"/>
          <w:szCs w:val="24"/>
        </w:rPr>
        <w:t xml:space="preserve">A luderia deve ser uma sociedade limitada, unipessoal se tiver um só sócio. A forma limita a responsabilidade do sócio ao capital (Lei n. 10.406/2002, art. 1.052) e, desde a Lei n. 13.874/2019, admite um único sócio. O empresário individual não separa o patrimônio pessoal, e o MEI não comporta a receita projetada nem o quadro de 12 empregados (LC n. 123/2006, art. 18-A) </w:t>
      </w:r>
      <w:r>
        <w:rPr>
          <w:rFonts w:ascii="Arial" w:cs="Arial" w:eastAsia="Arial" w:hAnsi="Arial"/>
          <w:sz w:val="24"/>
          <w:szCs w:val="24"/>
        </w:rPr>
        <w:t xml:space="preserve">[AV]</w:t>
      </w:r>
      <w:r>
        <w:rPr>
          <w:rFonts w:ascii="Arial" w:cs="Arial" w:eastAsia="Arial" w:hAnsi="Arial"/>
          <w:sz w:val="24"/>
          <w:szCs w:val="24"/>
        </w:rPr>
        <w:t xml:space="preserve">. As duas unidades da São Jogue são sociedades empresárias limitadas, com capital social de R$ 50 mil (Bela Vista, 2019) e R$ 150 mil (Paralela, 2025), ambas no Simples Nacional (Receita Federal, consulta ao CNPJ em 31/10/2026).</w:t>
      </w:r>
    </w:p>
    <w:p>
      <w:pPr>
        <w:spacing w:after="0" w:line="360"/>
        <w:ind w:firstLine="709"/>
        <w:jc w:val="both"/>
      </w:pPr>
      <w:r>
        <w:rPr>
          <w:rFonts w:ascii="Arial" w:cs="Arial" w:eastAsia="Arial" w:hAnsi="Arial"/>
          <w:sz w:val="24"/>
          <w:szCs w:val="24"/>
        </w:rPr>
        <w:t xml:space="preserve">A empresa entra no Simples Nacional como empresa de pequeno porte. A receita provável do ano 2, de R$ 877 mil, passa do teto da microempresa (R$ 360 mil) e fica abaixo do limite de R$ 4,8 milhões (LC n. 123/2006, art. 3º). Cada receita segue o anexo da atividade: o A&amp;B é revenda de mercadoria, no anexo I; a taxa de entrada é serviço de recreação, no anexo III, pela regra geral do art. 18, § 5º-F; o aluguel de jogos é locação de bem móvel, no anexo III sem a parcela do ISS (art. 18, § 4º, V). O modelo do cap. 9 tributa o aluguel pelo anexo III cheio, o que superestima o imposto em cerca de R$ 420,00 por ano (a parcela do ISS é 32,5% da alíquota do anexo III na 4ª faixa).</w:t>
      </w:r>
    </w:p>
    <w:p>
      <w:pPr>
        <w:spacing w:after="0" w:line="360"/>
        <w:ind w:firstLine="709"/>
        <w:jc w:val="both"/>
      </w:pPr>
      <w:r>
        <w:rPr>
          <w:rFonts w:ascii="Arial" w:cs="Arial" w:eastAsia="Arial" w:hAnsi="Arial"/>
          <w:sz w:val="24"/>
          <w:szCs w:val="24"/>
        </w:rPr>
        <w:t xml:space="preserve">O Simples custa menos da metade do Lucro Presumido (Tabela 8.1). A diferença vem sobretudo da contribuição patronal sobre a folha: no Simples, ela está dentro do DAS dos anexos I e III; no Lucro Presumido, soma 8,7% da receita.</w:t>
      </w:r>
    </w:p>
    <w:p>
      <w:pPr>
        <w:keepNext/>
        <w:spacing w:after="0" w:before="240" w:line="240"/>
        <w:jc w:val="left"/>
      </w:pPr>
      <w:r>
        <w:rPr>
          <w:rFonts w:ascii="Arial" w:cs="Arial" w:eastAsia="Arial" w:hAnsi="Arial"/>
          <w:b/>
          <w:bCs/>
          <w:sz w:val="20"/>
          <w:szCs w:val="20"/>
        </w:rPr>
        <w:t xml:space="preserve">Tabela 8.1 – Tributos no ano maduro, cenário provável: Simples Nacional × Lucro Presumido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74"/>
        <w:gridCol w:w="2048"/>
        <w:gridCol w:w="2049"/>
      </w:tblGrid>
      <w:tr>
        <w:trPr>
          <w:cantSplit/>
          <w:tblHeader/>
        </w:trPr>
        <w:tc>
          <w:tcPr>
            <w:tcW w:type="dxa" w:w="4974"/>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Tributo</w:t>
            </w:r>
          </w:p>
        </w:tc>
        <w:tc>
          <w:tcPr>
            <w:tcW w:type="dxa" w:w="20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Simples Nacional</w:t>
            </w:r>
          </w:p>
        </w:tc>
        <w:tc>
          <w:tcPr>
            <w:tcW w:type="dxa" w:w="204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Lucro Presumido</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IRPJ e CSLL (presunção de 8% e 12% no A&amp;B, 32% nos serviços)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 DAS</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44.666,64</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PIS e Cofins cumulativos (3,65%)</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 DAS</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32.018,15</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ICMS sobre o A&amp;B (4%) </w:t>
            </w:r>
            <w:r>
              <w:rPr>
                <w:rFonts w:ascii="Arial" w:cs="Arial" w:eastAsia="Arial" w:hAnsi="Arial"/>
                <w:b w:val="false"/>
                <w:bCs w:val="false"/>
                <w:sz w:val="20"/>
                <w:szCs w:val="20"/>
              </w:rPr>
              <w:t xml:space="preserve">[AV]</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 DAS</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16.817,09</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ISS sobre a taxa de entrada (5%) </w:t>
            </w:r>
            <w:r>
              <w:rPr>
                <w:rFonts w:ascii="Arial" w:cs="Arial" w:eastAsia="Arial" w:hAnsi="Arial"/>
                <w:b w:val="false"/>
                <w:bCs w:val="false"/>
                <w:sz w:val="20"/>
                <w:szCs w:val="20"/>
              </w:rPr>
              <w:t xml:space="preserve">[AV]</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 DAS</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22.299,13</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Contribuição patronal sobre a folha (27,8%) </w:t>
            </w:r>
            <w:r>
              <w:rPr>
                <w:rFonts w:ascii="Arial" w:cs="Arial" w:eastAsia="Arial" w:hAnsi="Arial"/>
                <w:b w:val="false"/>
                <w:bCs w:val="false"/>
                <w:sz w:val="20"/>
                <w:szCs w:val="20"/>
              </w:rPr>
              <w:t xml:space="preserve">[AV]</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 DAS</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76.294,80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Total</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88.729,00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192.095,81</w:t>
            </w:r>
          </w:p>
        </w:tc>
      </w:tr>
      <w:tr>
        <w:trPr>
          <w:cantSplit/>
          <w:tblHeader w:val="false"/>
        </w:trPr>
        <w:tc>
          <w:tcPr>
            <w:tcW w:type="dxa" w:w="4974"/>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 da receita bruta de R$ 877.210,00</w:t>
            </w:r>
          </w:p>
        </w:tc>
        <w:tc>
          <w:tcPr>
            <w:tcW w:type="dxa" w:w="20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10,1%</w:t>
            </w:r>
          </w:p>
        </w:tc>
        <w:tc>
          <w:tcPr>
            <w:tcW w:type="dxa" w:w="204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21,9%</w:t>
            </w:r>
          </w:p>
        </w:tc>
      </w:tr>
    </w:tbl>
    <w:p>
      <w:pPr>
        <w:keepNext w:val="false"/>
        <w:spacing w:after="240" w:before="0" w:line="240"/>
        <w:jc w:val="left"/>
      </w:pPr>
      <w:r>
        <w:rPr>
          <w:rFonts w:ascii="Arial" w:cs="Arial" w:eastAsia="Arial" w:hAnsi="Arial"/>
          <w:sz w:val="20"/>
          <w:szCs w:val="20"/>
        </w:rPr>
        <w:t xml:space="preserve">Fonte: elaboração própria, com LC n. 123/2006 (anexos I e III), Lei n. 9.249/1995 (arts. 15 e 20), Lei n. 9.718/1998 e Lei n. 8.212/1991 (art. 22); receita e folha do modelo do cap. 9.</w:t>
      </w:r>
    </w:p>
    <w:p>
      <w:pPr>
        <w:spacing w:after="0" w:line="360"/>
        <w:ind w:firstLine="709"/>
        <w:jc w:val="both"/>
      </w:pPr>
      <w:r>
        <w:rPr>
          <w:rFonts w:ascii="Arial" w:cs="Arial" w:eastAsia="Arial" w:hAnsi="Arial"/>
          <w:sz w:val="24"/>
          <w:szCs w:val="24"/>
        </w:rPr>
        <w:t xml:space="preserve">A carga do Simples entra no cap. 9 como 8,1% sobre o A&amp;B e 11,9% sobre os serviços no ano maduro, calculada pela tabela do anexo sobre a receita do ano. A reforma do consumo (EC n. 132/2023 e LC n. 214/2025) mantém o Simples e abre a opção de recolher IBS e CBS por fora a partir de 2027 </w:t>
      </w:r>
      <w:r>
        <w:rPr>
          <w:rFonts w:ascii="Arial" w:cs="Arial" w:eastAsia="Arial" w:hAnsi="Arial"/>
          <w:sz w:val="24"/>
          <w:szCs w:val="24"/>
        </w:rPr>
        <w:t xml:space="preserve">[AV]</w:t>
      </w:r>
      <w:r>
        <w:rPr>
          <w:rFonts w:ascii="Arial" w:cs="Arial" w:eastAsia="Arial" w:hAnsi="Arial"/>
          <w:sz w:val="24"/>
          <w:szCs w:val="24"/>
        </w:rPr>
        <w:t xml:space="preserve">; a opção só vale se a luderia vender para empresas que usem o crédito, o que não é o caso.</w:t>
      </w:r>
    </w:p>
    <w:p>
      <w:pPr>
        <w:spacing w:after="0" w:line="360"/>
        <w:ind w:firstLine="709"/>
        <w:jc w:val="both"/>
      </w:pPr>
      <w:r>
        <w:rPr>
          <w:rFonts w:ascii="Arial" w:cs="Arial" w:eastAsia="Arial" w:hAnsi="Arial"/>
          <w:sz w:val="24"/>
          <w:szCs w:val="24"/>
        </w:rPr>
        <w:t xml:space="preserve">O CNAE principal é 5611-2/01 (restaurantes e similares), pela cozinha própria com refeições, com 9329-8/99 (recreação e lazer), 4763-6/01 (venda de jogos), 7729-2/02 (locação de jogos) e 8230-0/01 (eventos) como secundários. A São Jogue usa 5611-2/03 (lanchonete) como principal e lista 5611-2/01, 9329-8/99, 4763-6/01 e 8230-0/01 entre os secundários (Receita Federal, 2026); as duas escolhas caem no anexo I. Descartou-se 5611-2/05 (bar com entretenimento): a CONCLA define o entretenimento dessa subclasse como música e apresentações, não jogos de mesa (CONCLA, 2026).</w:t>
      </w:r>
    </w:p>
    <w:p>
      <w:pPr>
        <w:pStyle w:val="Heading1"/>
        <w:keepNext/>
        <w:spacing w:after="240" w:before="360" w:line="360"/>
      </w:pPr>
      <w:r>
        <w:rPr>
          <w:rFonts w:ascii="Arial" w:cs="Arial" w:eastAsia="Arial" w:hAnsi="Arial"/>
          <w:b/>
          <w:bCs/>
          <w:sz w:val="24"/>
          <w:szCs w:val="24"/>
        </w:rPr>
        <w:t xml:space="preserve">8.2 LICENÇAS, ALVARÁS E OBRIGAÇÕES</w:t>
      </w:r>
    </w:p>
    <w:p>
      <w:pPr>
        <w:spacing w:after="0" w:line="360"/>
        <w:ind w:firstLine="709"/>
        <w:jc w:val="both"/>
      </w:pPr>
      <w:r>
        <w:rPr>
          <w:rFonts w:ascii="Arial" w:cs="Arial" w:eastAsia="Arial" w:hAnsi="Arial"/>
          <w:sz w:val="24"/>
          <w:szCs w:val="24"/>
        </w:rPr>
        <w:t xml:space="preserve">A abertura e a operação dependem de nove obrigações (Quadro 8.1). O custo total entra no investimento pré-operacional do cap. 9 (premissa I06, R$ 20 mil no provável), ainda sem cotação.</w:t>
      </w:r>
    </w:p>
    <w:p>
      <w:pPr>
        <w:keepNext/>
        <w:spacing w:after="0" w:before="240" w:line="240"/>
        <w:jc w:val="left"/>
      </w:pPr>
      <w:r>
        <w:rPr>
          <w:rFonts w:ascii="Arial" w:cs="Arial" w:eastAsia="Arial" w:hAnsi="Arial"/>
          <w:b/>
          <w:bCs/>
          <w:sz w:val="20"/>
          <w:szCs w:val="20"/>
        </w:rPr>
        <w:t xml:space="preserve">Quadro 8.1 – Obrigações legais para abrir e operar a luderia em Salvador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81"/>
        <w:gridCol w:w="1930"/>
        <w:gridCol w:w="1930"/>
        <w:gridCol w:w="1930"/>
      </w:tblGrid>
      <w:tr>
        <w:trPr>
          <w:cantSplit/>
          <w:tblHeader/>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Obrigação</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Órgão</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Norma</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Efeito no plano</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Registro da empresa e CNPJ</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JUCEB e Receita Federal, pela Redesim</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Lei n. 11.598/2007</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Primeiro passo; custo a cotar com o contador</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Viabilidade de localização e alvará de funcionamento</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Prefeitura de Salvador (Sedur)</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LOUOS de Salvador </w:t>
            </w:r>
            <w:r>
              <w:rPr>
                <w:rFonts w:ascii="Arial" w:cs="Arial" w:eastAsia="Arial" w:hAnsi="Arial"/>
                <w:b w:val="false"/>
                <w:bCs w:val="false"/>
                <w:sz w:val="20"/>
                <w:szCs w:val="20"/>
              </w:rPr>
              <w:t xml:space="preserve">[AV]</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Condiciona o ponto (cap. 7): zona que admita serviço de alimentação e lazer</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Licença do Corpo de Bombeiros e lotação</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CBMBA</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Lei estadual n. 12.929/2013 </w:t>
            </w:r>
            <w:r>
              <w:rPr>
                <w:rFonts w:ascii="Arial" w:cs="Arial" w:eastAsia="Arial" w:hAnsi="Arial"/>
                <w:b w:val="false"/>
                <w:bCs w:val="false"/>
                <w:sz w:val="20"/>
                <w:szCs w:val="20"/>
              </w:rPr>
              <w:t xml:space="preserve">[AV]</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Lotação do salão define o teto de mesas (R01)</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Licença sanitária</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Vigilância sanitária municipal</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RDC Anvisa n. 216/2004</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Cozinha com fluxo, materiais e manual de boas práticas (cap. 7)</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Venda de bebida alcoólica</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Lei n. 8.069/1990, art. 243 (Lei n. 13.106/2015)</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Proibida a menores de 18 anos; conferência de idade no caixa</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Música ambiente</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ECAD</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Lei n. 9.610/1998, art. 68</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Retribuição mensal, só se houver música</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Acessibilidade</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Prefeitura, no alvará</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Lei n. 13.146/2015; ABNT NBR 9050</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Rota acessível, sanitário adaptado e mesa acessível no projeto</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Dados de clientes</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ANPD</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Lei n. 13.709/2018</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Reserva e cadastro com finalidade declarada e base legal de execução de contrato (art. 7º, V)</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Nota fiscal ao consumidor (NFC-e)</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Sefaz-BA</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RICMS-BA </w:t>
            </w:r>
            <w:r>
              <w:rPr>
                <w:rFonts w:ascii="Arial" w:cs="Arial" w:eastAsia="Arial" w:hAnsi="Arial"/>
                <w:b w:val="false"/>
                <w:bCs w:val="false"/>
                <w:sz w:val="20"/>
                <w:szCs w:val="20"/>
              </w:rPr>
              <w:t xml:space="preserve">[AV]</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Emissão em toda venda</w:t>
            </w:r>
          </w:p>
        </w:tc>
      </w:tr>
    </w:tbl>
    <w:p>
      <w:pPr>
        <w:keepNext w:val="false"/>
        <w:spacing w:after="240" w:before="0" w:line="240"/>
        <w:jc w:val="left"/>
      </w:pPr>
      <w:r>
        <w:rPr>
          <w:rFonts w:ascii="Arial" w:cs="Arial" w:eastAsia="Arial" w:hAnsi="Arial"/>
          <w:sz w:val="20"/>
          <w:szCs w:val="20"/>
        </w:rPr>
        <w:t xml:space="preserve">Fonte: elaboração própria.</w:t>
      </w:r>
    </w:p>
    <w:p>
      <w:pPr>
        <w:spacing w:after="0" w:line="360"/>
        <w:ind w:firstLine="709"/>
        <w:jc w:val="both"/>
      </w:pPr>
      <w:r>
        <w:rPr>
          <w:rFonts w:ascii="Arial" w:cs="Arial" w:eastAsia="Arial" w:hAnsi="Arial"/>
          <w:sz w:val="24"/>
          <w:szCs w:val="24"/>
        </w:rPr>
        <w:t xml:space="preserve">A emissão da NFC-e em toda venda muda a prática observada no setor. Nas visitas do B3, as duas unidades da São Jogue só emitiam a nota quando o cliente pedia; no restante, entregavam o comprovante da maquininha. O plano assume a emissão integral: a carga tributária do cap. 9 já incide sobre toda a receita.</w:t>
      </w:r>
    </w:p>
    <w:p>
      <w:pPr>
        <w:pStyle w:val="Heading1"/>
        <w:keepNext/>
        <w:spacing w:after="240" w:before="360" w:line="360"/>
      </w:pPr>
      <w:r>
        <w:rPr>
          <w:rFonts w:ascii="Arial" w:cs="Arial" w:eastAsia="Arial" w:hAnsi="Arial"/>
          <w:b/>
          <w:bCs/>
          <w:sz w:val="24"/>
          <w:szCs w:val="24"/>
        </w:rPr>
        <w:t xml:space="preserve">8.3 CONTRATOS E PROPRIEDADE INTELECTUAL</w:t>
      </w:r>
    </w:p>
    <w:p>
      <w:pPr>
        <w:spacing w:after="0" w:line="360"/>
        <w:ind w:firstLine="709"/>
        <w:jc w:val="both"/>
      </w:pPr>
      <w:r>
        <w:rPr>
          <w:rFonts w:ascii="Arial" w:cs="Arial" w:eastAsia="Arial" w:hAnsi="Arial"/>
          <w:sz w:val="24"/>
          <w:szCs w:val="24"/>
        </w:rPr>
        <w:t xml:space="preserve">O contrato de locação deve ter prazo escrito de 5 anos. Esse prazo dá direito à ação renovatória (Lei n. 8.245/1991, art. 51) e coincide com o horizonte do cap. 9 e com a amortização da reforma. A garantia por caução fica limitada a três aluguéis (art. 38, § 2º), o valor da premissa I07. Em shopping, prevalecem as condições do contrato com o empreendedor (art. 54), o que explica a faixa pessimista de condomínio (C05). O reajuste anual por índice de preços é neutro no modelo, que usa preços constantes.</w:t>
      </w:r>
    </w:p>
    <w:p>
      <w:pPr>
        <w:spacing w:after="0" w:line="360"/>
        <w:ind w:firstLine="709"/>
        <w:jc w:val="both"/>
      </w:pPr>
      <w:r>
        <w:rPr>
          <w:rFonts w:ascii="Arial" w:cs="Arial" w:eastAsia="Arial" w:hAnsi="Arial"/>
          <w:sz w:val="24"/>
          <w:szCs w:val="24"/>
        </w:rPr>
        <w:t xml:space="preserve">O uso dos jogos comprados no salão não depende de licença. A Lei n. 9.610/1998 protege a reprodução da obra (art. 29); o exemplar adquirido pode ser emprestado à mesa e alugado como bem móvel. Copiar ou imprimir componentes e usar a marca de um jogo para divulgar torneio pago exige autorização do titular </w:t>
      </w:r>
      <w:r>
        <w:rPr>
          <w:rFonts w:ascii="Arial" w:cs="Arial" w:eastAsia="Arial" w:hAnsi="Arial"/>
          <w:sz w:val="24"/>
          <w:szCs w:val="24"/>
        </w:rPr>
        <w:t xml:space="preserve">[AV — conferir termos das editoras do acervo]</w:t>
      </w:r>
      <w:r>
        <w:rPr>
          <w:rFonts w:ascii="Arial" w:cs="Arial" w:eastAsia="Arial" w:hAnsi="Arial"/>
          <w:sz w:val="24"/>
          <w:szCs w:val="24"/>
        </w:rPr>
        <w:t xml:space="preserve">.</w:t>
      </w:r>
    </w:p>
    <w:p>
      <w:pPr>
        <w:spacing w:after="0" w:line="360"/>
        <w:ind w:firstLine="709"/>
        <w:jc w:val="both"/>
      </w:pPr>
      <w:r>
        <w:rPr>
          <w:rFonts w:ascii="Arial" w:cs="Arial" w:eastAsia="Arial" w:hAnsi="Arial"/>
          <w:sz w:val="24"/>
          <w:szCs w:val="24"/>
        </w:rPr>
        <w:t xml:space="preserve">O nome da luderia deve ser registrado no INPI antes da fachada e das redes sociais. A propriedade da marca vem do registro (Lei n. 9.279/1996, art. 129), nas classes de serviços de alimentação e de entretenimento </w:t>
      </w:r>
      <w:r>
        <w:rPr>
          <w:rFonts w:ascii="Arial" w:cs="Arial" w:eastAsia="Arial" w:hAnsi="Arial"/>
          <w:sz w:val="24"/>
          <w:szCs w:val="24"/>
        </w:rPr>
        <w:t xml:space="preserve">[AV]</w:t>
      </w:r>
      <w:r>
        <w:rPr>
          <w:rFonts w:ascii="Arial" w:cs="Arial" w:eastAsia="Arial" w:hAnsi="Arial"/>
          <w:sz w:val="24"/>
          <w:szCs w:val="24"/>
        </w:rPr>
        <w:t xml:space="preserve">. A busca de anterioridade precede a escolha do nome no cap. 6.</w:t>
      </w:r>
    </w:p>
    <w:p>
      <w:pPr>
        <w:pStyle w:val="Title"/>
        <w:pageBreakBefore/>
        <w:spacing w:after="480" w:line="360"/>
        <w:jc w:val="center"/>
      </w:pPr>
      <w:r>
        <w:rPr>
          <w:rFonts w:ascii="Arial" w:cs="Arial" w:eastAsia="Arial" w:hAnsi="Arial"/>
          <w:b/>
          <w:bCs/>
          <w:sz w:val="24"/>
          <w:szCs w:val="24"/>
        </w:rPr>
        <w:t xml:space="preserve">9 PLANO FINANCEIRO</w:t>
      </w:r>
    </w:p>
    <w:p>
      <w:pPr>
        <w:pStyle w:val="Heading1"/>
        <w:keepNext/>
        <w:spacing w:after="240" w:before="360" w:line="360"/>
      </w:pPr>
      <w:r>
        <w:rPr>
          <w:rFonts w:ascii="Arial" w:cs="Arial" w:eastAsia="Arial" w:hAnsi="Arial"/>
          <w:b/>
          <w:bCs/>
          <w:sz w:val="24"/>
          <w:szCs w:val="24"/>
        </w:rPr>
        <w:t xml:space="preserve">9.1 ÁRVORE DE DIRECIONADORES</w:t>
      </w:r>
    </w:p>
    <w:p>
      <w:pPr>
        <w:spacing w:after="0" w:line="360"/>
        <w:ind w:firstLine="709"/>
        <w:jc w:val="both"/>
      </w:pPr>
      <w:r>
        <w:rPr>
          <w:rFonts w:ascii="Arial" w:cs="Arial" w:eastAsia="Arial" w:hAnsi="Arial"/>
          <w:sz w:val="24"/>
          <w:szCs w:val="24"/>
        </w:rPr>
        <w:t xml:space="preserve">A receita da luderia depende de quatro grandezas físicas e de dois preços. O número de pessoas atendidas sai das mesas, do tamanho do grupo, do giro e da taxa de ocupação; a receita sai dessas pessoas multiplicadas pela taxa de entrada e pelo gasto com alimentos e bebidas (A&amp;B). O giro segue o vocabulário do trabalho: horas abertas divididas pela permanência média. A ocupação separa-se em dia útil (segunda a quinta) e fim de semana (sexta a domingo), porque a taxa de entrada também muda nesses dias.</w:t>
      </w:r>
    </w:p>
    <w:p>
      <w:pPr>
        <w:spacing w:after="0" w:line="360"/>
        <w:ind w:firstLine="709"/>
        <w:jc w:val="both"/>
      </w:pPr>
      <w:r>
        <w:rPr>
          <w:rFonts w:ascii="Arial" w:cs="Arial" w:eastAsia="Arial" w:hAnsi="Arial"/>
          <w:sz w:val="24"/>
          <w:szCs w:val="24"/>
        </w:rPr>
        <w:t xml:space="preserve">Os custos dividem-se em variáveis, proporcionais à receita, e fixos, que não mudam com o fluxo. O Quadro 9.1 resume a decomposição; cada folha corresponde a uma linha do registro de premissas (seção 9.2).</w:t>
      </w:r>
    </w:p>
    <w:p>
      <w:pPr>
        <w:keepNext/>
        <w:spacing w:after="0" w:before="240" w:line="240"/>
        <w:jc w:val="left"/>
      </w:pPr>
      <w:r>
        <w:rPr>
          <w:rFonts w:ascii="Arial" w:cs="Arial" w:eastAsia="Arial" w:hAnsi="Arial"/>
          <w:b/>
          <w:bCs/>
          <w:sz w:val="20"/>
          <w:szCs w:val="20"/>
        </w:rPr>
        <w:t xml:space="preserve">Quadro 9.1 – Árvore de direcionadores do modelo financeiro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5241"/>
        <w:gridCol w:w="1815"/>
      </w:tblGrid>
      <w:tr>
        <w:trPr>
          <w:cantSplit/>
          <w:tblHeader/>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Direcionador</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Cálculo</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Premissas</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Pessoas por mês</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mesas × pessoas por grupo × giro semanal × taxa de ocupação × fator de rampa × semanas por mês, em separado para dia útil e fim de semana</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R01 a R05, R11 a R14, M02</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Receita de taxa de entrada</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pessoas × taxa do dia (útil ou fim de semana)</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R06, R07</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Receita de A&amp;B</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pessoas × gasto por pessoa</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R08</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Receita de aluguel de jogos</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aluguéis por mês × preço médio × fator de rampa</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R09, R10</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Custos variáveis</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Simples Nacional sobre a receita; CMV sobre o A&amp;B; taxa de cartão sobre a receita</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C01, C02, aba simples</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Custos fixos</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aluguel e condomínio por m²; pessoal com encargos; pró-labore; utilidades; marketing; contabilidade; sistemas; reposição do acervo</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C03 a C13</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Investimento</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reforma por m²; mobiliário; cozinha e bar; caixa; acervo; pré-operacional; caução; capital de giro</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I01 a I08</w:t>
            </w:r>
          </w:p>
        </w:tc>
      </w:tr>
    </w:tbl>
    <w:p>
      <w:pPr>
        <w:keepNext w:val="false"/>
        <w:spacing w:after="240" w:before="0" w:line="240"/>
        <w:jc w:val="left"/>
      </w:pPr>
      <w:r>
        <w:rPr>
          <w:rFonts w:ascii="Arial" w:cs="Arial" w:eastAsia="Arial" w:hAnsi="Arial"/>
          <w:sz w:val="20"/>
          <w:szCs w:val="20"/>
        </w:rPr>
        <w:t xml:space="preserve">Fonte: elaboração própria, com base em _instrucoes/8_financeiro.md.</w:t>
      </w:r>
    </w:p>
    <w:p>
      <w:pPr>
        <w:spacing w:after="0" w:line="360"/>
        <w:ind w:firstLine="709"/>
        <w:jc w:val="both"/>
      </w:pPr>
      <w:r>
        <w:rPr>
          <w:rFonts w:ascii="Arial" w:cs="Arial" w:eastAsia="Arial" w:hAnsi="Arial"/>
          <w:sz w:val="24"/>
          <w:szCs w:val="24"/>
        </w:rPr>
        <w:t xml:space="preserve">O modelo usa preços constantes de outubro de 2026 e taxa mínima de atratividade (TMA) real. A projeção é mensal nos 60 meses, para capturar a rampa de maturação do ano 1, e anual na demonstração do resultado e no fluxo de caixa.</w:t>
      </w:r>
    </w:p>
    <w:p>
      <w:pPr>
        <w:pStyle w:val="Heading1"/>
        <w:keepNext/>
        <w:spacing w:after="240" w:before="360" w:line="360"/>
      </w:pPr>
      <w:r>
        <w:rPr>
          <w:rFonts w:ascii="Arial" w:cs="Arial" w:eastAsia="Arial" w:hAnsi="Arial"/>
          <w:b/>
          <w:bCs/>
          <w:sz w:val="24"/>
          <w:szCs w:val="24"/>
        </w:rPr>
        <w:t xml:space="preserve">9.2 REGISTRO DE PREMISSAS</w:t>
      </w:r>
    </w:p>
    <w:p>
      <w:pPr>
        <w:spacing w:after="0" w:line="360"/>
        <w:ind w:firstLine="709"/>
        <w:jc w:val="both"/>
      </w:pPr>
      <w:r>
        <w:rPr>
          <w:rFonts w:ascii="Arial" w:cs="Arial" w:eastAsia="Arial" w:hAnsi="Arial"/>
          <w:sz w:val="24"/>
          <w:szCs w:val="24"/>
        </w:rPr>
        <w:t xml:space="preserve">O modelo tem 38 premissas, cada uma com faixa pessimista, provável e otimista, fonte e nível de evidência. O registro completo está no Apêndice </w:t>
      </w:r>
      <w:r>
        <w:rPr>
          <w:rFonts w:ascii="Arial" w:cs="Arial" w:eastAsia="Arial" w:hAnsi="Arial"/>
          <w:sz w:val="24"/>
          <w:szCs w:val="24"/>
        </w:rPr>
        <w:t xml:space="preserve">[letra]</w:t>
      </w:r>
      <w:r>
        <w:rPr>
          <w:rFonts w:ascii="Arial" w:cs="Arial" w:eastAsia="Arial" w:hAnsi="Arial"/>
          <w:sz w:val="24"/>
          <w:szCs w:val="24"/>
        </w:rPr>
        <w:t xml:space="preserve"> e na aba premissas do modelo; o Quadro 9.2 traz as que movem o VPL em mais de R$ 100 mil entre os extremos da faixa (seção 9.7).</w:t>
      </w:r>
    </w:p>
    <w:p>
      <w:pPr>
        <w:keepNext/>
        <w:spacing w:after="0" w:before="240" w:line="240"/>
        <w:jc w:val="left"/>
      </w:pPr>
      <w:r>
        <w:rPr>
          <w:rFonts w:ascii="Arial" w:cs="Arial" w:eastAsia="Arial" w:hAnsi="Arial"/>
          <w:b/>
          <w:bCs/>
          <w:sz w:val="20"/>
          <w:szCs w:val="20"/>
        </w:rPr>
        <w:t xml:space="preserve">Quadro 9.2 – Premissas de maior impacto no VPL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33"/>
        <w:gridCol w:w="2286"/>
        <w:gridCol w:w="1067"/>
        <w:gridCol w:w="1067"/>
        <w:gridCol w:w="1067"/>
        <w:gridCol w:w="2286"/>
        <w:gridCol w:w="765"/>
      </w:tblGrid>
      <w:tr>
        <w:trPr>
          <w:cantSplit/>
          <w:tblHeader/>
        </w:trPr>
        <w:tc>
          <w:tcPr>
            <w:tcW w:type="dxa" w:w="53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ID</w:t>
            </w:r>
          </w:p>
        </w:tc>
        <w:tc>
          <w:tcPr>
            <w:tcW w:type="dxa" w:w="228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Premissa</w:t>
            </w:r>
          </w:p>
        </w:tc>
        <w:tc>
          <w:tcPr>
            <w:tcW w:type="dxa" w:w="106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Pessimista</w:t>
            </w:r>
          </w:p>
        </w:tc>
        <w:tc>
          <w:tcPr>
            <w:tcW w:type="dxa" w:w="106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Provável</w:t>
            </w:r>
          </w:p>
        </w:tc>
        <w:tc>
          <w:tcPr>
            <w:tcW w:type="dxa" w:w="106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Otimista</w:t>
            </w:r>
          </w:p>
        </w:tc>
        <w:tc>
          <w:tcPr>
            <w:tcW w:type="dxa" w:w="228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Fonte</w:t>
            </w:r>
          </w:p>
        </w:tc>
        <w:tc>
          <w:tcPr>
            <w:tcW w:type="dxa" w:w="765"/>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Nível</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R03</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Permanência média (min)</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137</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109</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83</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B3, 4 visitas</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N5</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R02</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Pessoas por grupo de mesa</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3,6</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4,4</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B3, 4 visitas</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N5</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R04</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Taxa de ocupação, fim de semana</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25%</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35%</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45%</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B3, noites de sexta e sábado</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N5 + N6</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R05</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Taxa de ocupação, dia útil</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18%</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25%</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Estimativa do autor</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N6</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R01</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Mesas do salão</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11</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B3, unidades da São Jogue</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N5</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R08</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Gasto com A&amp;B por pessoa (R$)</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18,00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24,00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32,00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B3, NFC-e; cardápio (B1)</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N3 + N5</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C06</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Quadro de pessoal (pessoas)</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14</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12</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CAGED (salários); autor (quadro)</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N2 + N6</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C03</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Área do ponto (m²)</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220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180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150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Estimativa do autor</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N6</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C04</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Aluguel comercial (R$/m² ao mês)</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64,36</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54,15</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45,00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FipeZap, Salvador, jul/2026</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N2</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I01</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Reforma (R$/m²)</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1.400,00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1.000,00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600,00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Estimativa do autor</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N6</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R06</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Taxa de entrada, fim de semana (R$)</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25,00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30,00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São Jogue</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N3 + N5</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C07</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Encargos sobre a folha</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45%</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37%</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CLT; estimativa do autor</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N1 + N6</w:t>
            </w:r>
          </w:p>
        </w:tc>
      </w:tr>
      <w:tr>
        <w:trPr>
          <w:cantSplit/>
          <w:tblHeader w:val="false"/>
        </w:trPr>
        <w:tc>
          <w:tcPr>
            <w:tcW w:type="dxa" w:w="53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C01</w:t>
            </w:r>
          </w:p>
        </w:tc>
        <w:tc>
          <w:tcPr>
            <w:tcW w:type="dxa" w:w="228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CMV de A&amp;B</w:t>
            </w:r>
          </w:p>
        </w:tc>
        <w:tc>
          <w:tcPr>
            <w:tcW w:type="dxa" w:w="106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35%</w:t>
            </w:r>
          </w:p>
        </w:tc>
        <w:tc>
          <w:tcPr>
            <w:tcW w:type="dxa" w:w="106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30%</w:t>
            </w:r>
          </w:p>
        </w:tc>
        <w:tc>
          <w:tcPr>
            <w:tcW w:type="dxa" w:w="106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26%</w:t>
            </w:r>
          </w:p>
        </w:tc>
        <w:tc>
          <w:tcPr>
            <w:tcW w:type="dxa" w:w="228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IBGE, PAS 2023</w:t>
            </w:r>
          </w:p>
        </w:tc>
        <w:tc>
          <w:tcPr>
            <w:tcW w:type="dxa" w:w="765"/>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N2</w:t>
            </w:r>
          </w:p>
        </w:tc>
      </w:tr>
    </w:tbl>
    <w:p>
      <w:pPr>
        <w:keepNext w:val="false"/>
        <w:spacing w:after="240" w:before="0" w:line="240"/>
        <w:jc w:val="left"/>
      </w:pPr>
      <w:r>
        <w:rPr>
          <w:rFonts w:ascii="Arial" w:cs="Arial" w:eastAsia="Arial" w:hAnsi="Arial"/>
          <w:sz w:val="20"/>
          <w:szCs w:val="20"/>
        </w:rPr>
        <w:t xml:space="preserve">Fonte: elaboração própria, com dados dos Blocos B1, B3 e B4 (out/2026).</w:t>
      </w:r>
    </w:p>
    <w:p>
      <w:pPr>
        <w:spacing w:after="0" w:line="360"/>
        <w:ind w:firstLine="709"/>
        <w:jc w:val="both"/>
      </w:pPr>
      <w:r>
        <w:rPr>
          <w:rFonts w:ascii="Arial" w:cs="Arial" w:eastAsia="Arial" w:hAnsi="Arial"/>
          <w:sz w:val="24"/>
          <w:szCs w:val="24"/>
        </w:rPr>
        <w:t xml:space="preserve">As premissas de demanda vêm da contagem direta na São Jogue (B3). Nas quatro visitas — duas em cada unidade, sempre na noite de sexta ou sábado —, os grupos de mesa tiveram de 2,4 a 4,6 pessoas (média de 3,6) e permanência média de 83 a 137 minutos (média de 109). A taxa de ocupação, medida minuto a minuto pelos registros de entrada e saída de cada grupo, sem contar a mesa do observador, ficou entre 29,9% e 66,9% das mesas, com média de 46,1%. As visitas mediram o pico da semana, por orientação: o objetivo foi conhecer a ocupação máxima e o comportamento de clientes e equipe. Por isso, a ocupação de fim de semana do dia inteiro entra abaixo da noite (35% no provável), e a de dia útil é estimativa do autor (N6), fixada em cerca de metade da de fim de semana.</w:t>
      </w:r>
    </w:p>
    <w:p>
      <w:pPr>
        <w:spacing w:after="0" w:line="360"/>
        <w:ind w:firstLine="709"/>
        <w:jc w:val="both"/>
      </w:pPr>
      <w:r>
        <w:rPr>
          <w:rFonts w:ascii="Arial" w:cs="Arial" w:eastAsia="Arial" w:hAnsi="Arial"/>
          <w:sz w:val="24"/>
          <w:szCs w:val="24"/>
        </w:rPr>
        <w:t xml:space="preserve">Os preços seguem os da São Jogue. A taxa de entrada é de R$ 28,00 por pessoa de sexta a domingo e de R$ 22,00 de segunda a quinta, por um turno de 3 horas no salão. O gasto com A&amp;B parte das quatro NFC-e das mesas dos observadores: R$ 23,91 por pessoa, sem taxa, jogos comprados e serviço. O valor fica abaixo do consumo por pessoa nos cardápios, de R$ 48,50 na São Jogue e de R$ 50,25 na mediana dos concorrentes (uma bebida e uma entrada ou prato; B1). A diferença é coerente com os pedidos observados: de 0,5 a 1,7 pedidos por grupo de mesa, menos que uma bebida e um prato por pessoa (B3). Por isso, o consumo de cardápio fica como teto, acima do otimista de R$ 32,00.</w:t>
      </w:r>
    </w:p>
    <w:p>
      <w:pPr>
        <w:spacing w:after="0" w:line="360"/>
        <w:ind w:firstLine="709"/>
        <w:jc w:val="both"/>
      </w:pPr>
      <w:r>
        <w:rPr>
          <w:rFonts w:ascii="Arial" w:cs="Arial" w:eastAsia="Arial" w:hAnsi="Arial"/>
          <w:sz w:val="24"/>
          <w:szCs w:val="24"/>
        </w:rPr>
        <w:t xml:space="preserve">Os custos vêm de bases públicas sempre que possível. O aluguel comercial de Salvador é de R$ 54,15 por m² ao mês (FipeZap, jul/2026), com alta de 18,9% em 12 meses, usada no pessimista. Os salários são as medianas de admissão em Salvador no Novo CAGED (ago/2025 a jul/2026), quase todas no piso de R$ 1.625,09, com gerente a R$ 2.500,00. O CMV de 30% acompanha a PAS 2023: mercadorias e materiais custaram 29,6% da receita líquida dos serviços de alimentação. Área, reforma, mobiliário, cozinha e despesas gerais não têm cotação e ficam em N6.</w:t>
      </w:r>
    </w:p>
    <w:p>
      <w:pPr>
        <w:spacing w:after="0" w:line="360"/>
        <w:ind w:firstLine="709"/>
        <w:jc w:val="both"/>
      </w:pPr>
      <w:r>
        <w:rPr>
          <w:rFonts w:ascii="Arial" w:cs="Arial" w:eastAsia="Arial" w:hAnsi="Arial"/>
          <w:sz w:val="24"/>
          <w:szCs w:val="24"/>
        </w:rPr>
        <w:t xml:space="preserve">A TMA real provável é de 15% ao ano. A Selic meta de 14,0% (BCB, set/2026), descontado o IPCA esperado de 4,3% para 2027 (Focus), dá juro real de 9,3%; somou-se um prêmio de 3 a 9 pontos percentuais pelo risco de pequeno negócio novo.</w:t>
      </w:r>
    </w:p>
    <w:p>
      <w:pPr>
        <w:pStyle w:val="Heading1"/>
        <w:keepNext/>
        <w:spacing w:after="240" w:before="360" w:line="360"/>
      </w:pPr>
      <w:r>
        <w:rPr>
          <w:rFonts w:ascii="Arial" w:cs="Arial" w:eastAsia="Arial" w:hAnsi="Arial"/>
          <w:b/>
          <w:bCs/>
          <w:sz w:val="24"/>
          <w:szCs w:val="24"/>
        </w:rPr>
        <w:t xml:space="preserve">9.3 INVESTIMENTO INICIAL E FINANCIAMENTO</w:t>
      </w:r>
    </w:p>
    <w:p>
      <w:pPr>
        <w:spacing w:after="0" w:line="360"/>
        <w:ind w:firstLine="709"/>
        <w:jc w:val="both"/>
      </w:pPr>
      <w:r>
        <w:rPr>
          <w:rFonts w:ascii="Arial" w:cs="Arial" w:eastAsia="Arial" w:hAnsi="Arial"/>
          <w:sz w:val="24"/>
          <w:szCs w:val="24"/>
        </w:rPr>
        <w:t xml:space="preserve">O investimento inicial provável é de R$ 503 mil. A reforma responde por 36% do total, e o capital de giro, por 20% (Tabela 9.1). O acervo de 322 títulos — mediana dos concorrentes do B1, ao preço provável das lojas — custa R$ 61 mil; a São Jogue lista 370 títulos.</w:t>
      </w:r>
    </w:p>
    <w:p>
      <w:pPr>
        <w:keepNext/>
        <w:spacing w:after="0" w:before="240" w:line="240"/>
        <w:jc w:val="left"/>
      </w:pPr>
      <w:r>
        <w:rPr>
          <w:rFonts w:ascii="Arial" w:cs="Arial" w:eastAsia="Arial" w:hAnsi="Arial"/>
          <w:b/>
          <w:bCs/>
          <w:sz w:val="20"/>
          <w:szCs w:val="20"/>
        </w:rPr>
        <w:t xml:space="preserve">Tabela 9.1 – Investimento inicial por cenário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18"/>
        <w:gridCol w:w="1984"/>
        <w:gridCol w:w="1984"/>
        <w:gridCol w:w="1985"/>
      </w:tblGrid>
      <w:tr>
        <w:trPr>
          <w:cantSplit/>
          <w:tblHeader/>
        </w:trPr>
        <w:tc>
          <w:tcPr>
            <w:tcW w:type="dxa" w:w="311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Item</w:t>
            </w:r>
          </w:p>
        </w:tc>
        <w:tc>
          <w:tcPr>
            <w:tcW w:type="dxa" w:w="1984"/>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Pessimista</w:t>
            </w:r>
          </w:p>
        </w:tc>
        <w:tc>
          <w:tcPr>
            <w:tcW w:type="dxa" w:w="1984"/>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Provável</w:t>
            </w:r>
          </w:p>
        </w:tc>
        <w:tc>
          <w:tcPr>
            <w:tcW w:type="dxa" w:w="1985"/>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Otimista</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Reforma e instalações</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308.000,00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180.000,00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90.000,00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Mobiliário</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60.000,00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45.000,00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30.000,00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Cozinha e bar</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80.000,00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60.000,00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40.000,00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Caixa e informática</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8.000,00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6.000,00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4.000,00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Acervo inicial de jogos</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114.750,94</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60.884,32</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42.928,78</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Gastos pré-operacionais</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30.000,00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20.000,00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12.000,00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Caução do aluguel</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42.471,00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29.241,00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13.500,00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Capital de giro</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206.274,85</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102.105,31</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56.403,39</w:t>
            </w:r>
          </w:p>
        </w:tc>
      </w:tr>
      <w:tr>
        <w:trPr>
          <w:cantSplit/>
          <w:tblHeader w:val="false"/>
        </w:trPr>
        <w:tc>
          <w:tcPr>
            <w:tcW w:type="dxa" w:w="311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Total</w:t>
            </w:r>
          </w:p>
        </w:tc>
        <w:tc>
          <w:tcPr>
            <w:tcW w:type="dxa" w:w="1984"/>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849.496,78</w:t>
            </w:r>
          </w:p>
        </w:tc>
        <w:tc>
          <w:tcPr>
            <w:tcW w:type="dxa" w:w="1984"/>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503.230,63</w:t>
            </w:r>
          </w:p>
        </w:tc>
        <w:tc>
          <w:tcPr>
            <w:tcW w:type="dxa" w:w="1985"/>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288.832,17</w:t>
            </w:r>
          </w:p>
        </w:tc>
      </w:tr>
    </w:tbl>
    <w:p>
      <w:pPr>
        <w:keepNext w:val="false"/>
        <w:spacing w:after="240" w:before="0" w:line="240"/>
        <w:jc w:val="left"/>
      </w:pPr>
      <w:r>
        <w:rPr>
          <w:rFonts w:ascii="Arial" w:cs="Arial" w:eastAsia="Arial" w:hAnsi="Arial"/>
          <w:sz w:val="20"/>
          <w:szCs w:val="20"/>
        </w:rPr>
        <w:t xml:space="preserve">Fonte: elaboração própria (aba investimento do modelo).</w:t>
      </w:r>
    </w:p>
    <w:p>
      <w:pPr>
        <w:spacing w:after="0" w:line="360"/>
        <w:ind w:firstLine="709"/>
        <w:jc w:val="both"/>
      </w:pPr>
      <w:r>
        <w:rPr>
          <w:rFonts w:ascii="Arial" w:cs="Arial" w:eastAsia="Arial" w:hAnsi="Arial"/>
          <w:sz w:val="24"/>
          <w:szCs w:val="24"/>
        </w:rPr>
        <w:t xml:space="preserve">O capital de giro cobre dois meses de custos fixos no provável, o bastante para a rampa de maturação. No ano 1, o EBITDA provável é negativo em R$ 114 mil (seção 9.5): a reserva de R$ 102 mil não cobre o déficit inteiro, e o plano precisa de aporte adicional ou de rampa mais curta. O modelo supõe capital próprio, sem financiamento; o custo de um empréstimo entraria pela TMA, já acima do juro real de mercado.</w:t>
      </w:r>
    </w:p>
    <w:p>
      <w:pPr>
        <w:pStyle w:val="Heading1"/>
        <w:keepNext/>
        <w:spacing w:after="240" w:before="360" w:line="360"/>
      </w:pPr>
      <w:r>
        <w:rPr>
          <w:rFonts w:ascii="Arial" w:cs="Arial" w:eastAsia="Arial" w:hAnsi="Arial"/>
          <w:b/>
          <w:bCs/>
          <w:sz w:val="24"/>
          <w:szCs w:val="24"/>
        </w:rPr>
        <w:t xml:space="preserve">9.4 RECEITAS, CUSTOS E DESPESAS PROJETADOS</w:t>
      </w:r>
    </w:p>
    <w:p>
      <w:pPr>
        <w:spacing w:after="0" w:line="360"/>
        <w:ind w:firstLine="709"/>
        <w:jc w:val="both"/>
      </w:pPr>
      <w:r>
        <w:rPr>
          <w:rFonts w:ascii="Arial" w:cs="Arial" w:eastAsia="Arial" w:hAnsi="Arial"/>
          <w:sz w:val="24"/>
          <w:szCs w:val="24"/>
        </w:rPr>
        <w:t xml:space="preserve">Na maturidade, o cenário provável atende 1.460 pessoas por mês, cerca de 48 por dia. A receita bruta mensal chega a R$ 73,1 mil: 51% de taxa de entrada, 48% de A&amp;B e 1% de aluguel de jogos (Tabela 9.2). A rampa começa em 40% da ocupação madura e chega a 100% no mês 9.</w:t>
      </w:r>
    </w:p>
    <w:p>
      <w:pPr>
        <w:keepNext/>
        <w:spacing w:after="0" w:before="240" w:line="240"/>
        <w:jc w:val="left"/>
      </w:pPr>
      <w:r>
        <w:rPr>
          <w:rFonts w:ascii="Arial" w:cs="Arial" w:eastAsia="Arial" w:hAnsi="Arial"/>
          <w:b/>
          <w:bCs/>
          <w:sz w:val="20"/>
          <w:szCs w:val="20"/>
        </w:rPr>
        <w:t xml:space="preserve">Tabela 9.2 – Receita e custos mensais no cenário provável, mês maduro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74"/>
        <w:gridCol w:w="2048"/>
        <w:gridCol w:w="2049"/>
      </w:tblGrid>
      <w:tr>
        <w:trPr>
          <w:cantSplit/>
          <w:tblHeader/>
        </w:trPr>
        <w:tc>
          <w:tcPr>
            <w:tcW w:type="dxa" w:w="4974"/>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Conta</w:t>
            </w:r>
          </w:p>
        </w:tc>
        <w:tc>
          <w:tcPr>
            <w:tcW w:type="dxa" w:w="20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Valor mensal</w:t>
            </w:r>
          </w:p>
        </w:tc>
        <w:tc>
          <w:tcPr>
            <w:tcW w:type="dxa" w:w="204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 da receita bruta</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Taxa de entrada</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37.165,22</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50,8%</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Alimentos e bebidas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35.035,60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47,9%</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Aluguel de jogos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900,00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1,2%</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Receita bruta</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73.100,81</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Simples Nacional</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7.394,05</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10,1%</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CMV de A&amp;B</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10.510,68</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14,4%</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Taxa de cartão</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2.193,02</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Pessoal com encargos (12 pessoas)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28.198,89</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38,6%</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Aluguel, condomínio e IPTU</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11.696,40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16,0%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Pró-labore e despesas gerais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11.157,37</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15,3%</w:t>
            </w:r>
          </w:p>
        </w:tc>
      </w:tr>
      <w:tr>
        <w:trPr>
          <w:cantSplit/>
          <w:tblHeader w:val="false"/>
        </w:trPr>
        <w:tc>
          <w:tcPr>
            <w:tcW w:type="dxa" w:w="4974"/>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Resultado operacional (EBITDA)</w:t>
            </w:r>
          </w:p>
        </w:tc>
        <w:tc>
          <w:tcPr>
            <w:tcW w:type="dxa" w:w="20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1.950,40</w:t>
            </w:r>
          </w:p>
        </w:tc>
        <w:tc>
          <w:tcPr>
            <w:tcW w:type="dxa" w:w="204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2,7%</w:t>
            </w:r>
          </w:p>
        </w:tc>
      </w:tr>
    </w:tbl>
    <w:p>
      <w:pPr>
        <w:keepNext w:val="false"/>
        <w:spacing w:after="240" w:before="0" w:line="240"/>
        <w:jc w:val="left"/>
      </w:pPr>
      <w:r>
        <w:rPr>
          <w:rFonts w:ascii="Arial" w:cs="Arial" w:eastAsia="Arial" w:hAnsi="Arial"/>
          <w:sz w:val="20"/>
          <w:szCs w:val="20"/>
        </w:rPr>
        <w:t xml:space="preserve">Fonte: elaboração própria (abas receitas e custos do modelo).</w:t>
      </w:r>
    </w:p>
    <w:p>
      <w:pPr>
        <w:spacing w:after="0" w:line="360"/>
        <w:ind w:firstLine="709"/>
        <w:jc w:val="both"/>
      </w:pPr>
      <w:r>
        <w:rPr>
          <w:rFonts w:ascii="Arial" w:cs="Arial" w:eastAsia="Arial" w:hAnsi="Arial"/>
          <w:sz w:val="24"/>
          <w:szCs w:val="24"/>
        </w:rPr>
        <w:t xml:space="preserve">O pessoal é o maior custo. O quadro de referência tem 12 pessoas em dois turnos — gerente, dois cozinheiros, auxiliar de cozinha, três garçons, atendente de bar, caixa, dois instrutores de jogos e auxiliar de limpeza —, com folha de R$ 20,6 mil e encargos de 37%. A São Jogue teve de três a sete instrutores no salão durante as visitas.</w:t>
      </w:r>
    </w:p>
    <w:p>
      <w:pPr>
        <w:spacing w:after="0" w:line="360"/>
        <w:ind w:firstLine="709"/>
        <w:jc w:val="both"/>
      </w:pPr>
      <w:r>
        <w:rPr>
          <w:rFonts w:ascii="Arial" w:cs="Arial" w:eastAsia="Arial" w:hAnsi="Arial"/>
          <w:sz w:val="24"/>
          <w:szCs w:val="24"/>
        </w:rPr>
        <w:t xml:space="preserve">O Simples Nacional custa 10,1% da receita. O modelo enquadra o A&amp;B no anexo I (restaurante, CNAE 5611-2/01) e a taxa de entrada e o aluguel de jogos no anexo III, com alíquotas efetivas de 8,1% e 11,9% no ano maduro. O enquadramento depende do cap. 8.</w:t>
      </w:r>
    </w:p>
    <w:p>
      <w:pPr>
        <w:pStyle w:val="Heading1"/>
        <w:keepNext/>
        <w:spacing w:after="240" w:before="360" w:line="360"/>
      </w:pPr>
      <w:r>
        <w:rPr>
          <w:rFonts w:ascii="Arial" w:cs="Arial" w:eastAsia="Arial" w:hAnsi="Arial"/>
          <w:b/>
          <w:bCs/>
          <w:sz w:val="24"/>
          <w:szCs w:val="24"/>
        </w:rPr>
        <w:t xml:space="preserve">9.5 DEMONSTRATIVOS PROJETADOS</w:t>
      </w:r>
    </w:p>
    <w:p>
      <w:pPr>
        <w:spacing w:after="0" w:line="360"/>
        <w:ind w:firstLine="709"/>
        <w:jc w:val="both"/>
      </w:pPr>
      <w:r>
        <w:rPr>
          <w:rFonts w:ascii="Arial" w:cs="Arial" w:eastAsia="Arial" w:hAnsi="Arial"/>
          <w:sz w:val="24"/>
          <w:szCs w:val="24"/>
        </w:rPr>
        <w:t xml:space="preserve">O cenário provável dá prejuízo contábil em todos os anos. O EBITDA é de R$ 23 mil por ano a partir do ano 2, menor que a depreciação de R$ 64 mil (Tabela 9.3). No Simples, o IRPJ e a CSLL estão no DAS; não há imposto sobre o lucro à parte.</w:t>
      </w:r>
    </w:p>
    <w:p>
      <w:pPr>
        <w:keepNext/>
        <w:spacing w:after="0" w:before="240" w:line="240"/>
        <w:jc w:val="left"/>
      </w:pPr>
      <w:r>
        <w:rPr>
          <w:rFonts w:ascii="Arial" w:cs="Arial" w:eastAsia="Arial" w:hAnsi="Arial"/>
          <w:b/>
          <w:bCs/>
          <w:sz w:val="20"/>
          <w:szCs w:val="20"/>
        </w:rPr>
        <w:t xml:space="preserve">Tabela 9.3 – Demonstração do resultado projetada, cenário provável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74"/>
        <w:gridCol w:w="2048"/>
        <w:gridCol w:w="2049"/>
      </w:tblGrid>
      <w:tr>
        <w:trPr>
          <w:cantSplit/>
          <w:tblHeader/>
        </w:trPr>
        <w:tc>
          <w:tcPr>
            <w:tcW w:type="dxa" w:w="4974"/>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Conta</w:t>
            </w:r>
          </w:p>
        </w:tc>
        <w:tc>
          <w:tcPr>
            <w:tcW w:type="dxa" w:w="20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Ano 1</w:t>
            </w:r>
          </w:p>
        </w:tc>
        <w:tc>
          <w:tcPr>
            <w:tcW w:type="dxa" w:w="204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Anos 2 a 5 (cada)</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Receita bruta</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679.838,00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877.210,00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 Simples Nacional</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-62.916,00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-88.729,00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 CMV e taxa de cartão</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-118.144,00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-152.444,00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Margem de contribuição</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498.777,00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636.037,00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 Custos fixos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-612.632,00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-612.632,00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EBITDA</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-113.855,00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23.405,00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 Depreciação e amortização</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-63.877,00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-63.877,00</w:t>
            </w:r>
          </w:p>
        </w:tc>
      </w:tr>
      <w:tr>
        <w:trPr>
          <w:cantSplit/>
          <w:tblHeader w:val="false"/>
        </w:trPr>
        <w:tc>
          <w:tcPr>
            <w:tcW w:type="dxa" w:w="4974"/>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Lucro líquido</w:t>
            </w:r>
          </w:p>
        </w:tc>
        <w:tc>
          <w:tcPr>
            <w:tcW w:type="dxa" w:w="20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-177.732,00</w:t>
            </w:r>
          </w:p>
        </w:tc>
        <w:tc>
          <w:tcPr>
            <w:tcW w:type="dxa" w:w="204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-40.472,00</w:t>
            </w:r>
          </w:p>
        </w:tc>
      </w:tr>
    </w:tbl>
    <w:p>
      <w:pPr>
        <w:keepNext w:val="false"/>
        <w:spacing w:after="240" w:before="0" w:line="240"/>
        <w:jc w:val="left"/>
      </w:pPr>
      <w:r>
        <w:rPr>
          <w:rFonts w:ascii="Arial" w:cs="Arial" w:eastAsia="Arial" w:hAnsi="Arial"/>
          <w:sz w:val="20"/>
          <w:szCs w:val="20"/>
        </w:rPr>
        <w:t xml:space="preserve">Fonte: elaboração própria (aba dre do modelo).</w:t>
      </w:r>
    </w:p>
    <w:p>
      <w:pPr>
        <w:spacing w:after="0" w:line="360"/>
        <w:ind w:firstLine="709"/>
        <w:jc w:val="both"/>
      </w:pPr>
      <w:r>
        <w:rPr>
          <w:rFonts w:ascii="Arial" w:cs="Arial" w:eastAsia="Arial" w:hAnsi="Arial"/>
          <w:sz w:val="24"/>
          <w:szCs w:val="24"/>
        </w:rPr>
        <w:t xml:space="preserve">O fluxo de caixa repete o EBITDA, com o investimento no ano 0 e o retorno da caução e do capital de giro no ano 5. Não se considerou valor residual dos demais ativos. O fluxo anual completo está na aba fluxo_caixa do modelo.</w:t>
      </w:r>
    </w:p>
    <w:p>
      <w:pPr>
        <w:pStyle w:val="Heading1"/>
        <w:keepNext/>
        <w:spacing w:after="240" w:before="360" w:line="360"/>
      </w:pPr>
      <w:r>
        <w:rPr>
          <w:rFonts w:ascii="Arial" w:cs="Arial" w:eastAsia="Arial" w:hAnsi="Arial"/>
          <w:b/>
          <w:bCs/>
          <w:sz w:val="24"/>
          <w:szCs w:val="24"/>
        </w:rPr>
        <w:t xml:space="preserve">9.6 INDICADORES DE VIABILIDADE</w:t>
      </w:r>
    </w:p>
    <w:p>
      <w:pPr>
        <w:spacing w:after="0" w:line="360"/>
        <w:ind w:firstLine="709"/>
        <w:jc w:val="both"/>
      </w:pPr>
      <w:r>
        <w:rPr>
          <w:rFonts w:ascii="Arial" w:cs="Arial" w:eastAsia="Arial" w:hAnsi="Arial"/>
          <w:sz w:val="24"/>
          <w:szCs w:val="24"/>
        </w:rPr>
        <w:t xml:space="preserve">O negócio não é viável no cenário provável. O VPL a 15% real é negativo em R$ 479 mil, a TIR real é de -21,0% ao ano e o investimento não se paga em 5 anos (Tabela 9.4). A receita madura fica só 3,8% acima do ponto de equilíbrio operacional, de R$ 70,4 mil por mês: o negócio cobre os custos, mas não remunera o investimento.</w:t>
      </w:r>
    </w:p>
    <w:p>
      <w:pPr>
        <w:keepNext/>
        <w:spacing w:after="0" w:before="240" w:line="240"/>
        <w:jc w:val="left"/>
      </w:pPr>
      <w:r>
        <w:rPr>
          <w:rFonts w:ascii="Arial" w:cs="Arial" w:eastAsia="Arial" w:hAnsi="Arial"/>
          <w:b/>
          <w:bCs/>
          <w:sz w:val="20"/>
          <w:szCs w:val="20"/>
        </w:rPr>
        <w:t xml:space="preserve">Tabela 9.4 – Indicadores de viabilidade por cenário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58"/>
        <w:gridCol w:w="1670"/>
        <w:gridCol w:w="1670"/>
        <w:gridCol w:w="1673"/>
      </w:tblGrid>
      <w:tr>
        <w:trPr>
          <w:cantSplit/>
          <w:tblHeader/>
        </w:trPr>
        <w:tc>
          <w:tcPr>
            <w:tcW w:type="dxa" w:w="405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Indicador</w:t>
            </w:r>
          </w:p>
        </w:tc>
        <w:tc>
          <w:tcPr>
            <w:tcW w:type="dxa" w:w="167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Pessimista</w:t>
            </w:r>
          </w:p>
        </w:tc>
        <w:tc>
          <w:tcPr>
            <w:tcW w:type="dxa" w:w="167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Provável</w:t>
            </w:r>
          </w:p>
        </w:tc>
        <w:tc>
          <w:tcPr>
            <w:tcW w:type="dxa" w:w="167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Otimista</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Investimento inicial (R$)</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849.496,78</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503.230,63</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288.832,17</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Receita bruta mensal madura (R$)</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19.407,00</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73.101,00</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207.261,00</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EBITDA do ano 5 (R$)</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-649.981,00</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23.405,00</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1.302.846,00</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VPL (R$)</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-2.824.036,00</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-478.829,00</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4.263.293,00</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TIR real</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há</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-21,0%</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394,0%</w:t>
            </w:r>
          </w:p>
        </w:tc>
      </w:tr>
      <w:tr>
        <w:trPr>
          <w:cantSplit/>
          <w:tblHeader w:val="false"/>
        </w:trPr>
        <w:tc>
          <w:tcPr>
            <w:tcW w:type="dxa" w:w="405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Payback descontado</w:t>
            </w:r>
          </w:p>
        </w:tc>
        <w:tc>
          <w:tcPr>
            <w:tcW w:type="dxa" w:w="167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mais de 5 anos</w:t>
            </w:r>
          </w:p>
        </w:tc>
        <w:tc>
          <w:tcPr>
            <w:tcW w:type="dxa" w:w="167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mais de 5 anos</w:t>
            </w:r>
          </w:p>
        </w:tc>
        <w:tc>
          <w:tcPr>
            <w:tcW w:type="dxa" w:w="167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0,3 ano</w:t>
            </w:r>
          </w:p>
        </w:tc>
      </w:tr>
    </w:tbl>
    <w:p>
      <w:pPr>
        <w:keepNext w:val="false"/>
        <w:spacing w:after="240" w:before="0" w:line="240"/>
        <w:jc w:val="left"/>
      </w:pPr>
      <w:r>
        <w:rPr>
          <w:rFonts w:ascii="Arial" w:cs="Arial" w:eastAsia="Arial" w:hAnsi="Arial"/>
          <w:sz w:val="20"/>
          <w:szCs w:val="20"/>
        </w:rPr>
        <w:t xml:space="preserve">Fonte: elaboração própria (aba sensibilidade do modelo).</w:t>
      </w:r>
    </w:p>
    <w:p>
      <w:pPr>
        <w:spacing w:after="0" w:line="360"/>
        <w:ind w:firstLine="709"/>
        <w:jc w:val="both"/>
      </w:pPr>
      <w:r>
        <w:rPr>
          <w:rFonts w:ascii="Arial" w:cs="Arial" w:eastAsia="Arial" w:hAnsi="Arial"/>
          <w:sz w:val="24"/>
          <w:szCs w:val="24"/>
        </w:rPr>
        <w:t xml:space="preserve">Os cenários extremos põem todas as premissas no mesmo lado da faixa ao mesmo tempo, o que é improvável. Servem de limite, não de previsão. A decisão depende de onde as premissas críticas ficam, e isso é tratado na seção 9.7.</w:t>
      </w:r>
    </w:p>
    <w:p>
      <w:pPr>
        <w:spacing w:after="0" w:line="360"/>
        <w:ind w:firstLine="709"/>
        <w:jc w:val="both"/>
      </w:pPr>
      <w:r>
        <w:rPr>
          <w:rFonts w:ascii="Arial" w:cs="Arial" w:eastAsia="Arial" w:hAnsi="Arial"/>
          <w:sz w:val="24"/>
          <w:szCs w:val="24"/>
        </w:rPr>
        <w:t xml:space="preserve">A TMA de 15% real responde pelo custo de oportunidade do capital próprio. Mesmo à TMA otimista de 12%, o VPL provável segue negativo em R$ 467 mil (aba sensibilidade).</w:t>
      </w:r>
    </w:p>
    <w:p>
      <w:pPr>
        <w:pStyle w:val="Heading1"/>
        <w:keepNext/>
        <w:spacing w:after="240" w:before="360" w:line="360"/>
      </w:pPr>
      <w:r>
        <w:rPr>
          <w:rFonts w:ascii="Arial" w:cs="Arial" w:eastAsia="Arial" w:hAnsi="Arial"/>
          <w:b/>
          <w:bCs/>
          <w:sz w:val="24"/>
          <w:szCs w:val="24"/>
        </w:rPr>
        <w:t xml:space="preserve">9.7 TRIANGULAÇÃO, SENSIBILIDADE E PONTO DE RUPTURA</w:t>
      </w:r>
    </w:p>
    <w:p>
      <w:pPr>
        <w:pStyle w:val="Heading2"/>
        <w:keepNext/>
        <w:spacing w:after="120" w:before="240" w:line="360"/>
      </w:pPr>
      <w:r>
        <w:rPr>
          <w:rFonts w:ascii="Arial" w:cs="Arial" w:eastAsia="Arial" w:hAnsi="Arial"/>
          <w:b/>
          <w:bCs/>
          <w:sz w:val="24"/>
          <w:szCs w:val="24"/>
        </w:rPr>
        <w:t xml:space="preserve">9.7.1 Triangulação da receita</w:t>
      </w:r>
    </w:p>
    <w:p>
      <w:pPr>
        <w:spacing w:after="0" w:line="360"/>
        <w:ind w:firstLine="709"/>
        <w:jc w:val="both"/>
      </w:pPr>
      <w:r>
        <w:rPr>
          <w:rFonts w:ascii="Arial" w:cs="Arial" w:eastAsia="Arial" w:hAnsi="Arial"/>
          <w:sz w:val="24"/>
          <w:szCs w:val="24"/>
        </w:rPr>
        <w:t xml:space="preserve">A receita provável fica entre os pisos de venda das duas unidades da São Jogue. A Bela Vista emitiu 183 NFC-e entre 10/10 e 16/10/2026 (30,5 por dia) e a Paralela, 209 entre 17/10 e 30/10/2026 (16,1 por dia), pela numeração das notas das visitas (B3). A R$ 90,85 por nota — média das quatro notas das mesas dos observadores —, os pisos são de R$ 84,3 mil e R$ 44,5 mil por mês. O modelo projeta R$ 73,1 mil.</w:t>
      </w:r>
    </w:p>
    <w:p>
      <w:pPr>
        <w:spacing w:after="0" w:line="360"/>
        <w:ind w:firstLine="709"/>
        <w:jc w:val="both"/>
      </w:pPr>
      <w:r>
        <w:rPr>
          <w:rFonts w:ascii="Arial" w:cs="Arial" w:eastAsia="Arial" w:hAnsi="Arial"/>
          <w:sz w:val="24"/>
          <w:szCs w:val="24"/>
        </w:rPr>
        <w:t xml:space="preserve">Esses pisos subestimam a venda real. As duas unidades emitem a nota só quando o cliente pede; no restante, entregam o comprovante da maquininha. O intervalo da Paralela inclui ainda o fim de semana do segundo turno das eleições, de movimento baixo. A comparação valida a ordem de grandeza, não o valor: uma unidade madura da São Jogue vende mais que o provável do modelo. A estimativa de demanda do cap. 6 completa a triangulação </w:t>
      </w:r>
      <w:r>
        <w:rPr>
          <w:rFonts w:ascii="Arial" w:cs="Arial" w:eastAsia="Arial" w:hAnsi="Arial"/>
          <w:sz w:val="24"/>
          <w:szCs w:val="24"/>
        </w:rPr>
        <w:t xml:space="preserve">[pendente]</w:t>
      </w:r>
      <w:r>
        <w:rPr>
          <w:rFonts w:ascii="Arial" w:cs="Arial" w:eastAsia="Arial" w:hAnsi="Arial"/>
          <w:sz w:val="24"/>
          <w:szCs w:val="24"/>
        </w:rPr>
        <w:t xml:space="preserve">.</w:t>
      </w:r>
    </w:p>
    <w:p>
      <w:pPr>
        <w:pStyle w:val="Heading2"/>
        <w:keepNext/>
        <w:spacing w:after="120" w:before="240" w:line="360"/>
      </w:pPr>
      <w:r>
        <w:rPr>
          <w:rFonts w:ascii="Arial" w:cs="Arial" w:eastAsia="Arial" w:hAnsi="Arial"/>
          <w:b/>
          <w:bCs/>
          <w:sz w:val="24"/>
          <w:szCs w:val="24"/>
        </w:rPr>
        <w:t xml:space="preserve">9.7.2 Sensibilidade</w:t>
      </w:r>
    </w:p>
    <w:p>
      <w:pPr>
        <w:spacing w:after="0" w:line="360"/>
        <w:ind w:firstLine="709"/>
        <w:jc w:val="both"/>
      </w:pPr>
      <w:r>
        <w:rPr>
          <w:rFonts w:ascii="Arial" w:cs="Arial" w:eastAsia="Arial" w:hAnsi="Arial"/>
          <w:sz w:val="24"/>
          <w:szCs w:val="24"/>
        </w:rPr>
        <w:t xml:space="preserve">Quatro premissas de demanda concentram o risco: permanência média, pessoas por grupo e taxa de ocupação de fim de semana e de dia útil. Cada uma move o VPL em mais de R$ 600 mil entre os extremos da faixa (Figura 9.1). As três primeiras têm dado próprio (N5); a ocupação de dia útil é N6, o que viola a regra de robustez e exige destaque no cap. 10.</w:t>
      </w:r>
    </w:p>
    <w:p>
      <w:pPr>
        <w:keepNext/>
        <w:spacing w:after="0" w:before="240" w:line="240"/>
        <w:jc w:val="left"/>
      </w:pPr>
      <w:r>
        <w:rPr>
          <w:rFonts w:ascii="Arial" w:cs="Arial" w:eastAsia="Arial" w:hAnsi="Arial"/>
          <w:b/>
          <w:bCs/>
          <w:sz w:val="20"/>
          <w:szCs w:val="20"/>
        </w:rPr>
        <w:t xml:space="preserve">Figura 9.1 – Tornado: VPL com cada premissa no extremo da faixa e as demais no provável</w:t>
      </w:r>
    </w:p>
    <w:p>
      <w:pPr>
        <w:keepNext/>
        <w:spacing w:after="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838575"/>
                    </a:xfrm>
                    <a:prstGeom prst="rect">
                      <a:avLst/>
                    </a:prstGeom>
                  </pic:spPr>
                </pic:pic>
              </a:graphicData>
            </a:graphic>
          </wp:inline>
        </w:drawing>
      </w:r>
    </w:p>
    <w:p>
      <w:pPr>
        <w:keepNext w:val="false"/>
        <w:spacing w:after="240" w:before="0" w:line="240"/>
        <w:jc w:val="left"/>
      </w:pPr>
      <w:r>
        <w:rPr>
          <w:rFonts w:ascii="Arial" w:cs="Arial" w:eastAsia="Arial" w:hAnsi="Arial"/>
          <w:sz w:val="20"/>
          <w:szCs w:val="20"/>
        </w:rPr>
        <w:t xml:space="preserve">Fonte: elaboração própria (aba sensibilidade do modelo). Dez premissas de maior amplitude.</w:t>
      </w:r>
    </w:p>
    <w:p>
      <w:pPr>
        <w:spacing w:after="0" w:line="360"/>
        <w:ind w:firstLine="709"/>
        <w:jc w:val="both"/>
      </w:pPr>
      <w:r>
        <w:rPr>
          <w:rFonts w:ascii="Arial" w:cs="Arial" w:eastAsia="Arial" w:hAnsi="Arial"/>
          <w:sz w:val="24"/>
          <w:szCs w:val="24"/>
        </w:rPr>
        <w:t xml:space="preserve">A permanência pesa mais que a ocupação porque a taxa de entrada é cobrada por pessoa, não por hora. Com a mesma ocupação, uma permanência menor gira mais grupos pela mesma mesa e multiplica as taxas cobradas. Em contrapartida, a permanência curta tem limite: o turno vendido é de 3 horas, e a média observada já é de 109 minutos.</w:t>
      </w:r>
    </w:p>
    <w:p>
      <w:pPr>
        <w:pStyle w:val="Heading2"/>
        <w:keepNext/>
        <w:spacing w:after="120" w:before="240" w:line="360"/>
      </w:pPr>
      <w:r>
        <w:rPr>
          <w:rFonts w:ascii="Arial" w:cs="Arial" w:eastAsia="Arial" w:hAnsi="Arial"/>
          <w:b/>
          <w:bCs/>
          <w:sz w:val="24"/>
          <w:szCs w:val="24"/>
        </w:rPr>
        <w:t xml:space="preserve">9.7.3 Ponto de ruptura</w:t>
      </w:r>
    </w:p>
    <w:p>
      <w:pPr>
        <w:spacing w:after="0" w:line="360"/>
        <w:ind w:firstLine="709"/>
        <w:jc w:val="both"/>
      </w:pPr>
      <w:r>
        <w:rPr>
          <w:rFonts w:ascii="Arial" w:cs="Arial" w:eastAsia="Arial" w:hAnsi="Arial"/>
          <w:sz w:val="24"/>
          <w:szCs w:val="24"/>
        </w:rPr>
        <w:t xml:space="preserve">O negócio é viável enquanto a taxa de ocupação de fim de semana ficar acima de 49,5%, com as demais premissas no provável (Tabela 9.5). Esse valor está acima do provável (35%), mas abaixo do pico medido na Paralela em 30/10 (66,9%) e acima da média das quatro noites (46,1%). No dia útil, a ruptura é de 29,7%, acima do otimista da faixa.</w:t>
      </w:r>
    </w:p>
    <w:p>
      <w:pPr>
        <w:keepNext/>
        <w:spacing w:after="0" w:before="240" w:line="240"/>
        <w:jc w:val="left"/>
      </w:pPr>
      <w:r>
        <w:rPr>
          <w:rFonts w:ascii="Arial" w:cs="Arial" w:eastAsia="Arial" w:hAnsi="Arial"/>
          <w:b/>
          <w:bCs/>
          <w:sz w:val="20"/>
          <w:szCs w:val="20"/>
        </w:rPr>
        <w:t xml:space="preserve">Tabela 9.5 – Ponto de ruptura das premissas críticas (VPL = 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83"/>
        <w:gridCol w:w="3359"/>
        <w:gridCol w:w="1567"/>
        <w:gridCol w:w="1567"/>
        <w:gridCol w:w="1795"/>
      </w:tblGrid>
      <w:tr>
        <w:trPr>
          <w:cantSplit/>
          <w:tblHeader/>
        </w:trPr>
        <w:tc>
          <w:tcPr>
            <w:tcW w:type="dxa" w:w="78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ID</w:t>
            </w:r>
          </w:p>
        </w:tc>
        <w:tc>
          <w:tcPr>
            <w:tcW w:type="dxa" w:w="335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Premissa</w:t>
            </w:r>
          </w:p>
        </w:tc>
        <w:tc>
          <w:tcPr>
            <w:tcW w:type="dxa" w:w="156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Provável</w:t>
            </w:r>
          </w:p>
        </w:tc>
        <w:tc>
          <w:tcPr>
            <w:tcW w:type="dxa" w:w="156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Ruptura</w:t>
            </w:r>
          </w:p>
        </w:tc>
        <w:tc>
          <w:tcPr>
            <w:tcW w:type="dxa" w:w="1795"/>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Faixa testada</w:t>
            </w:r>
          </w:p>
        </w:tc>
      </w:tr>
      <w:tr>
        <w:trPr>
          <w:cantSplit/>
          <w:tblHeader w:val="false"/>
        </w:trPr>
        <w:tc>
          <w:tcPr>
            <w:tcW w:type="dxa" w:w="78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R03</w:t>
            </w:r>
          </w:p>
        </w:tc>
        <w:tc>
          <w:tcPr>
            <w:tcW w:type="dxa" w:w="335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Permanência média (min)</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109</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87</w:t>
            </w:r>
          </w:p>
        </w:tc>
        <w:tc>
          <w:tcPr>
            <w:tcW w:type="dxa" w:w="179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83 a 137</w:t>
            </w:r>
          </w:p>
        </w:tc>
      </w:tr>
      <w:tr>
        <w:trPr>
          <w:cantSplit/>
          <w:tblHeader w:val="false"/>
        </w:trPr>
        <w:tc>
          <w:tcPr>
            <w:tcW w:type="dxa" w:w="78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R02</w:t>
            </w:r>
          </w:p>
        </w:tc>
        <w:tc>
          <w:tcPr>
            <w:tcW w:type="dxa" w:w="335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Pessoas por grupo de mesa</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3,6</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4,5</w:t>
            </w:r>
          </w:p>
        </w:tc>
        <w:tc>
          <w:tcPr>
            <w:tcW w:type="dxa" w:w="179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2,8 a 4,4</w:t>
            </w:r>
          </w:p>
        </w:tc>
      </w:tr>
      <w:tr>
        <w:trPr>
          <w:cantSplit/>
          <w:tblHeader w:val="false"/>
        </w:trPr>
        <w:tc>
          <w:tcPr>
            <w:tcW w:type="dxa" w:w="78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R04</w:t>
            </w:r>
          </w:p>
        </w:tc>
        <w:tc>
          <w:tcPr>
            <w:tcW w:type="dxa" w:w="335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Taxa de ocupação, fim de semana</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35,0%</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49,5%</w:t>
            </w:r>
          </w:p>
        </w:tc>
        <w:tc>
          <w:tcPr>
            <w:tcW w:type="dxa" w:w="179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25% a 45%</w:t>
            </w:r>
          </w:p>
        </w:tc>
      </w:tr>
      <w:tr>
        <w:trPr>
          <w:cantSplit/>
          <w:tblHeader w:val="false"/>
        </w:trPr>
        <w:tc>
          <w:tcPr>
            <w:tcW w:type="dxa" w:w="78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R05</w:t>
            </w:r>
          </w:p>
        </w:tc>
        <w:tc>
          <w:tcPr>
            <w:tcW w:type="dxa" w:w="335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Taxa de ocupação, dia útil</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18,0%</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29,7%</w:t>
            </w:r>
          </w:p>
        </w:tc>
        <w:tc>
          <w:tcPr>
            <w:tcW w:type="dxa" w:w="179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10% a 25%</w:t>
            </w:r>
          </w:p>
        </w:tc>
      </w:tr>
      <w:tr>
        <w:trPr>
          <w:cantSplit/>
          <w:tblHeader w:val="false"/>
        </w:trPr>
        <w:tc>
          <w:tcPr>
            <w:tcW w:type="dxa" w:w="78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R01</w:t>
            </w:r>
          </w:p>
        </w:tc>
        <w:tc>
          <w:tcPr>
            <w:tcW w:type="dxa" w:w="335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Mesas do salão</w:t>
            </w:r>
          </w:p>
        </w:tc>
        <w:tc>
          <w:tcPr>
            <w:tcW w:type="dxa" w:w="156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10</w:t>
            </w:r>
          </w:p>
        </w:tc>
        <w:tc>
          <w:tcPr>
            <w:tcW w:type="dxa" w:w="156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12,5</w:t>
            </w:r>
          </w:p>
        </w:tc>
        <w:tc>
          <w:tcPr>
            <w:tcW w:type="dxa" w:w="1795"/>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8 a 11</w:t>
            </w:r>
          </w:p>
        </w:tc>
      </w:tr>
    </w:tbl>
    <w:p>
      <w:pPr>
        <w:keepNext w:val="false"/>
        <w:spacing w:after="240" w:before="0" w:line="240"/>
        <w:jc w:val="left"/>
      </w:pPr>
      <w:r>
        <w:rPr>
          <w:rFonts w:ascii="Arial" w:cs="Arial" w:eastAsia="Arial" w:hAnsi="Arial"/>
          <w:sz w:val="20"/>
          <w:szCs w:val="20"/>
        </w:rPr>
        <w:t xml:space="preserve">Fonte: elaboração própria (aba sensibilidade do modelo).</w:t>
      </w:r>
    </w:p>
    <w:p>
      <w:pPr>
        <w:spacing w:after="0" w:line="360"/>
        <w:ind w:firstLine="709"/>
        <w:jc w:val="both"/>
      </w:pPr>
      <w:r>
        <w:rPr>
          <w:rFonts w:ascii="Arial" w:cs="Arial" w:eastAsia="Arial" w:hAnsi="Arial"/>
          <w:sz w:val="24"/>
          <w:szCs w:val="24"/>
        </w:rPr>
        <w:t xml:space="preserve">Só a permanência tem ruptura dentro da faixa testada, perto do extremo otimista; as demais ficam fora dela. O VPL fica positivo pela combinação de premissas: ocupação de 45% no fim de semana e de 23% no dia útil (VPL de R$ 55 mil), ou permanência de 95 minutos com ocupação de 42% no fim de semana (VPL de R$ 65 mil). A discussão passa a ser a plausibilidade dessas combinações, feita no cap. 10.</w:t>
      </w:r>
    </w:p>
    <w:p>
      <w:pPr>
        <w:pStyle w:val="Heading1"/>
        <w:keepNext/>
        <w:spacing w:after="240" w:before="360" w:line="360"/>
      </w:pPr>
      <w:r>
        <w:rPr>
          <w:rFonts w:ascii="Arial" w:cs="Arial" w:eastAsia="Arial" w:hAnsi="Arial"/>
          <w:b/>
          <w:bCs/>
          <w:sz w:val="24"/>
          <w:szCs w:val="24"/>
        </w:rPr>
        <w:t xml:space="preserve">9.8 CHECAGENS DE COERÊNCIA</w:t>
      </w:r>
    </w:p>
    <w:p>
      <w:pPr>
        <w:spacing w:after="0" w:line="360"/>
        <w:ind w:firstLine="709"/>
        <w:jc w:val="both"/>
      </w:pPr>
      <w:r>
        <w:rPr>
          <w:rFonts w:ascii="Arial" w:cs="Arial" w:eastAsia="Arial" w:hAnsi="Arial"/>
          <w:sz w:val="24"/>
          <w:szCs w:val="24"/>
        </w:rPr>
        <w:t xml:space="preserve">A capacidade comporta a demanda projetada com folga. As 48 pessoas por dia usam 25% da capacidade do salão — 193 pessoas por dia, com todas as mesas ocupadas em todas as horas abertas e a permanência média. O site de reservas da São Jogue oferece 48 assentos por turno de 3 horas, em três turnos diários.</w:t>
      </w:r>
    </w:p>
    <w:p>
      <w:pPr>
        <w:spacing w:after="0" w:line="360"/>
        <w:ind w:firstLine="709"/>
        <w:jc w:val="both"/>
      </w:pPr>
      <w:r>
        <w:rPr>
          <w:rFonts w:ascii="Arial" w:cs="Arial" w:eastAsia="Arial" w:hAnsi="Arial"/>
          <w:sz w:val="24"/>
          <w:szCs w:val="24"/>
        </w:rPr>
        <w:t xml:space="preserve">A equipe é larga para o fluxo provável. Cada funcionário atende 4 pessoas por dia. A folha com encargos custa 38,6% da receita, contra 25,1% de gastos com pessoal na média dos serviços de alimentação (IBGE, PAS 2024, citada no cap. 5). O aluguel com condomínio custa 16,0% da receita, contra 4,0% no setor. Os dois custos fixos explicam a margem baixa e indicam onde o cap. 7 pode cortar: quadro menor no dia útil ou ponto menor.</w:t>
      </w:r>
    </w:p>
    <w:p>
      <w:pPr>
        <w:spacing w:after="0" w:line="360"/>
        <w:ind w:firstLine="709"/>
        <w:jc w:val="both"/>
      </w:pPr>
      <w:r>
        <w:rPr>
          <w:rFonts w:ascii="Arial" w:cs="Arial" w:eastAsia="Arial" w:hAnsi="Arial"/>
          <w:sz w:val="24"/>
          <w:szCs w:val="24"/>
        </w:rPr>
        <w:t xml:space="preserve">O preço está acima dos concorrentes. A taxa de entrada de fim de semana, de R$ 28,00, supera a mediana de R$ 20,00 do couvert ou taxa de entrada de 22 concorrentes do B1 e a de R$ 25,00 no fim de semana (seção 6.3). A São Jogue pratica esse preço com 4,8 estrelas em 787 avaliações no Google Maps (B1), o que sustenta o posicionamento, mas o plano depende de reproduzir a mesma experiência.</w:t>
      </w:r>
    </w:p>
    <w:p>
      <w:pPr>
        <w:spacing w:after="0" w:line="360"/>
        <w:ind w:firstLine="709"/>
        <w:jc w:val="both"/>
      </w:pPr>
      <w:r>
        <w:rPr>
          <w:rFonts w:ascii="Arial" w:cs="Arial" w:eastAsia="Arial" w:hAnsi="Arial"/>
          <w:sz w:val="24"/>
          <w:szCs w:val="24"/>
        </w:rPr>
        <w:t xml:space="preserve">A rampa de 9 meses fica dentro da faixa de 6 a 12 meses, sem ocupação madura no mês 1. A demanda projetada equivale a 17,5 mil visitas por ano, ou 0,7% da população estimada de Salvador em 2026 (IBGE). O número soma visitas, não pessoas distintas, e fica abaixo da penetração que exigiria um mercado novo.</w:t>
      </w:r>
    </w:p>
    <w:p>
      <w:pPr>
        <w:pStyle w:val="Title"/>
        <w:pageBreakBefore/>
        <w:spacing w:after="480" w:line="360"/>
        <w:jc w:val="center"/>
      </w:pPr>
      <w:r>
        <w:rPr>
          <w:rFonts w:ascii="Arial" w:cs="Arial" w:eastAsia="Arial" w:hAnsi="Arial"/>
          <w:b/>
          <w:bCs/>
          <w:sz w:val="24"/>
          <w:szCs w:val="24"/>
        </w:rPr>
        <w:t xml:space="preserve">10 ANÁLISE ESTRATÉGICA E DE RISCOS</w:t>
      </w:r>
    </w:p>
    <w:p>
      <w:pPr>
        <w:pStyle w:val="Heading1"/>
        <w:keepNext/>
        <w:spacing w:after="240" w:before="360" w:line="360"/>
      </w:pPr>
      <w:r>
        <w:rPr>
          <w:rFonts w:ascii="Arial" w:cs="Arial" w:eastAsia="Arial" w:hAnsi="Arial"/>
          <w:b/>
          <w:bCs/>
          <w:sz w:val="24"/>
          <w:szCs w:val="24"/>
        </w:rPr>
        <w:t xml:space="preserve">10.1 MATRIZ SWOT</w:t>
      </w:r>
    </w:p>
    <w:p>
      <w:pPr>
        <w:spacing w:after="0" w:line="360"/>
        <w:ind w:firstLine="709"/>
        <w:jc w:val="both"/>
      </w:pPr>
      <w:r>
        <w:rPr>
          <w:rFonts w:ascii="Arial" w:cs="Arial" w:eastAsia="Arial" w:hAnsi="Arial"/>
          <w:sz w:val="24"/>
          <w:szCs w:val="24"/>
        </w:rPr>
        <w:t xml:space="preserve">A luderia entra num mercado com uma referência forte e um custo fixo alto. O Quadro 10.1 resume os pontos internos e externos que sustentam essa leitura.</w:t>
      </w:r>
    </w:p>
    <w:p>
      <w:pPr>
        <w:keepNext/>
        <w:spacing w:after="0" w:before="240" w:line="240"/>
        <w:jc w:val="left"/>
      </w:pPr>
      <w:r>
        <w:rPr>
          <w:rFonts w:ascii="Arial" w:cs="Arial" w:eastAsia="Arial" w:hAnsi="Arial"/>
          <w:b/>
          <w:bCs/>
          <w:sz w:val="20"/>
          <w:szCs w:val="20"/>
        </w:rPr>
        <w:t xml:space="preserve">Quadro 10.1 – Matriz SWOT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67"/>
        <w:gridCol w:w="2451"/>
        <w:gridCol w:w="2453"/>
      </w:tblGrid>
      <w:tr>
        <w:trPr>
          <w:cantSplit/>
          <w:tblHeader/>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Pontos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Evidência</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Forças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Preço da referência aceito pelo público: taxa de R$ 28,00 no fim de semana com 4,8 estrelas em 787 avaliações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São Jogue (B1; seção 6.3)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Ponto na Pituba, 1º da matriz de bairros em todos os pesos testados, a até 1.000 m do metrô</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Seção 6.4</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Instrutor dedicado ao salão em todas as horas abertas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Seções 7.3 e 7.5</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Fraquezas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Folha com encargos de 38,6% da receita e aluguel de 16,0%, contra 25,1% e 4,0% no setor</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Seção 9.8; IBGE, PAS 2024</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Investimento sem cotação: reforma, mobiliário e cozinha em N6</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Seção 9.2</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Marca nova contra uma rede com duas unidades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Seção 5.3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Oportunidades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Salvador com uma só luderia no recorte do B1, a São Jogue</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Seção 5.3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Nenhuma unidade da São Jogue entre os bairros mais bem colocados da matriz</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Seção 6.4</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Ameaças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Selic de 14,0% e TMA real de 15%</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BCB, set/2026; seção 9.2</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Aluguel comercial de Salvador com alta de 18,9% em 12 meses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FipeZap, jul/2026</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Reação da São Jogue com uma terceira unidade ou preço menor</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Seções 5.3 e 6.3</w:t>
            </w:r>
          </w:p>
        </w:tc>
      </w:tr>
    </w:tbl>
    <w:p>
      <w:pPr>
        <w:keepNext w:val="false"/>
        <w:spacing w:after="240" w:before="0" w:line="240"/>
        <w:jc w:val="left"/>
      </w:pPr>
      <w:r>
        <w:rPr>
          <w:rFonts w:ascii="Arial" w:cs="Arial" w:eastAsia="Arial" w:hAnsi="Arial"/>
          <w:sz w:val="20"/>
          <w:szCs w:val="20"/>
        </w:rPr>
        <w:t xml:space="preserve">Fonte: elaborado pelo próprio autor com base nos caps. 5 a 9.</w:t>
      </w:r>
    </w:p>
    <w:p>
      <w:pPr>
        <w:spacing w:after="0" w:line="360"/>
        <w:ind w:firstLine="709"/>
        <w:jc w:val="both"/>
      </w:pPr>
      <w:r>
        <w:rPr>
          <w:rFonts w:ascii="Arial" w:cs="Arial" w:eastAsia="Arial" w:hAnsi="Arial"/>
          <w:sz w:val="24"/>
          <w:szCs w:val="24"/>
        </w:rPr>
        <w:t xml:space="preserve">O cruzamento da matriz aponta uma estratégia. A luderia usa as forças de preço e ponto para ocupar um bairro sem luderia (FO) e corrige a fraqueza de custo fixo antes de investir (DO): equipe dimensionada pelo fluxo e área no limite inferior da faixa. Contra a reação da concorrente, o diferencial é o serviço de mesa, não o preço (FA).</w:t>
      </w:r>
    </w:p>
    <w:p>
      <w:pPr>
        <w:pStyle w:val="Heading1"/>
        <w:keepNext/>
        <w:spacing w:after="240" w:before="360" w:line="360"/>
      </w:pPr>
      <w:r>
        <w:rPr>
          <w:rFonts w:ascii="Arial" w:cs="Arial" w:eastAsia="Arial" w:hAnsi="Arial"/>
          <w:b/>
          <w:bCs/>
          <w:sz w:val="24"/>
          <w:szCs w:val="24"/>
        </w:rPr>
        <w:t xml:space="preserve">10.2 CENÁRIOS</w:t>
      </w:r>
    </w:p>
    <w:p>
      <w:pPr>
        <w:spacing w:after="0" w:line="360"/>
        <w:ind w:firstLine="709"/>
        <w:jc w:val="both"/>
      </w:pPr>
      <w:r>
        <w:rPr>
          <w:rFonts w:ascii="Arial" w:cs="Arial" w:eastAsia="Arial" w:hAnsi="Arial"/>
          <w:sz w:val="24"/>
          <w:szCs w:val="24"/>
        </w:rPr>
        <w:t xml:space="preserve">O plano não é viável no cenário provável com o quadro de 12 pessoas: o VPL é negativo em R$ 479 mil (seção 9.6). Com a equipe de 8 pessoas do cap. 7, o VPL provável sobe para -R$ 214 mil e o ponto de equilíbrio operacional cai de R$ 70,4 mil para R$ 61,5 mil por mês, contra receita madura de R$ 73,1 mil (Quadro 10.2).</w:t>
      </w:r>
    </w:p>
    <w:p>
      <w:pPr>
        <w:keepNext/>
        <w:spacing w:after="0" w:before="240" w:line="240"/>
        <w:jc w:val="left"/>
      </w:pPr>
      <w:r>
        <w:rPr>
          <w:rFonts w:ascii="Arial" w:cs="Arial" w:eastAsia="Arial" w:hAnsi="Arial"/>
          <w:b/>
          <w:bCs/>
          <w:sz w:val="20"/>
          <w:szCs w:val="20"/>
        </w:rPr>
        <w:t xml:space="preserve">Quadro 10.2 – Indicadores por cenário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26"/>
        <w:gridCol w:w="1411"/>
        <w:gridCol w:w="1411"/>
        <w:gridCol w:w="1411"/>
        <w:gridCol w:w="1412"/>
      </w:tblGrid>
      <w:tr>
        <w:trPr>
          <w:cantSplit/>
          <w:tblHeader/>
        </w:trPr>
        <w:tc>
          <w:tcPr>
            <w:tcW w:type="dxa" w:w="342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Indicador</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Pessimista</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Provável</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Provável, equipe do cap. 7</w:t>
            </w:r>
          </w:p>
        </w:tc>
        <w:tc>
          <w:tcPr>
            <w:tcW w:type="dxa" w:w="1412"/>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Otimista</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Investimento inicial</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849.497,00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503.231,00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490.374,00</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288.832,00</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VPL</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-2.824.036,00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-478.829,00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-213.787,00</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4.263.293,00</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Receita mensal madura</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19.407,00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73.101,00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73.101,00</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207.261,00</w:t>
            </w:r>
          </w:p>
        </w:tc>
      </w:tr>
      <w:tr>
        <w:trPr>
          <w:cantSplit/>
          <w:tblHeader w:val="false"/>
        </w:trPr>
        <w:tc>
          <w:tcPr>
            <w:tcW w:type="dxa" w:w="342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Ponto de equilíbrio mensal</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atinge</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70.411,00</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61.545,00</w:t>
            </w:r>
          </w:p>
        </w:tc>
        <w:tc>
          <w:tcPr>
            <w:tcW w:type="dxa" w:w="1412"/>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atinge</w:t>
            </w:r>
          </w:p>
        </w:tc>
      </w:tr>
    </w:tbl>
    <w:p>
      <w:pPr>
        <w:keepNext w:val="false"/>
        <w:spacing w:after="240" w:before="0" w:line="240"/>
        <w:jc w:val="left"/>
      </w:pPr>
      <w:r>
        <w:rPr>
          <w:rFonts w:ascii="Arial" w:cs="Arial" w:eastAsia="Arial" w:hAnsi="Arial"/>
          <w:sz w:val="20"/>
          <w:szCs w:val="20"/>
        </w:rPr>
        <w:t xml:space="preserve">Fonte: elaborado pelo próprio autor com base no modelo do cap. 9 (31/10/2026).</w:t>
      </w:r>
    </w:p>
    <w:p>
      <w:pPr>
        <w:spacing w:after="0" w:line="360"/>
        <w:ind w:firstLine="709"/>
        <w:jc w:val="both"/>
      </w:pPr>
      <w:r>
        <w:rPr>
          <w:rFonts w:ascii="Arial" w:cs="Arial" w:eastAsia="Arial" w:hAnsi="Arial"/>
          <w:sz w:val="24"/>
          <w:szCs w:val="24"/>
        </w:rPr>
        <w:t xml:space="preserve">Os cenários extremos põem todas as premissas do mesmo lado da faixa e servem de limite, não de previsão. O pessimista descreve um salão de 8 mesas com grupos de 2,8 pessoas, permanência de 137 minutos e ocupação de 25% no fim de semana: uma luderia que não forma público. O otimista descreve grupos de 4,4 pessoas que ficam 83 minutos, com ocupação de 45%: o comportamento das noites mais cheias medidas, estendido à semana inteira.</w:t>
      </w:r>
    </w:p>
    <w:p>
      <w:pPr>
        <w:pStyle w:val="Heading1"/>
        <w:keepNext/>
        <w:spacing w:after="240" w:before="360" w:line="360"/>
      </w:pPr>
      <w:r>
        <w:rPr>
          <w:rFonts w:ascii="Arial" w:cs="Arial" w:eastAsia="Arial" w:hAnsi="Arial"/>
          <w:b/>
          <w:bCs/>
          <w:sz w:val="24"/>
          <w:szCs w:val="24"/>
        </w:rPr>
        <w:t xml:space="preserve">10.3 PREMISSAS CRÍTICAS E PONTOS DE RUPTURA</w:t>
      </w:r>
    </w:p>
    <w:p>
      <w:pPr>
        <w:spacing w:after="0" w:line="360"/>
        <w:ind w:firstLine="709"/>
        <w:jc w:val="both"/>
      </w:pPr>
      <w:r>
        <w:rPr>
          <w:rFonts w:ascii="Arial" w:cs="Arial" w:eastAsia="Arial" w:hAnsi="Arial"/>
          <w:sz w:val="24"/>
          <w:szCs w:val="24"/>
        </w:rPr>
        <w:t xml:space="preserve">Quatro premissas de demanda decidem a viabilidade: permanência, pessoas por grupo e ocupação de fim de semana e de dia útil (Figura 9.1). O Quadro 10.3 compara o provável com o ponto de ruptura de cada uma, com a equipe do cap. 7.</w:t>
      </w:r>
    </w:p>
    <w:p>
      <w:pPr>
        <w:keepNext/>
        <w:spacing w:after="0" w:before="240" w:line="240"/>
        <w:jc w:val="left"/>
      </w:pPr>
      <w:r>
        <w:rPr>
          <w:rFonts w:ascii="Arial" w:cs="Arial" w:eastAsia="Arial" w:hAnsi="Arial"/>
          <w:b/>
          <w:bCs/>
          <w:sz w:val="20"/>
          <w:szCs w:val="20"/>
        </w:rPr>
        <w:t xml:space="preserve">Quadro 10.3 – Ruptura das premissas críticas com a equipe do cap. 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18"/>
        <w:gridCol w:w="1548"/>
        <w:gridCol w:w="1548"/>
        <w:gridCol w:w="1548"/>
        <w:gridCol w:w="1109"/>
      </w:tblGrid>
      <w:tr>
        <w:trPr>
          <w:cantSplit/>
          <w:tblHeader/>
        </w:trPr>
        <w:tc>
          <w:tcPr>
            <w:tcW w:type="dxa" w:w="331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Premissa</w:t>
            </w:r>
          </w:p>
        </w:tc>
        <w:tc>
          <w:tcPr>
            <w:tcW w:type="dxa" w:w="15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Provável</w:t>
            </w:r>
          </w:p>
        </w:tc>
        <w:tc>
          <w:tcPr>
            <w:tcW w:type="dxa" w:w="15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Ruptura (VPL = 0)</w:t>
            </w:r>
          </w:p>
        </w:tc>
        <w:tc>
          <w:tcPr>
            <w:tcW w:type="dxa" w:w="15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Medido no B3</w:t>
            </w:r>
          </w:p>
        </w:tc>
        <w:tc>
          <w:tcPr>
            <w:tcW w:type="dxa" w:w="110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Nível</w:t>
            </w:r>
          </w:p>
        </w:tc>
      </w:tr>
      <w:tr>
        <w:trPr>
          <w:cantSplit/>
          <w:tblHeader w:val="false"/>
        </w:trPr>
        <w:tc>
          <w:tcPr>
            <w:tcW w:type="dxa" w:w="33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Ocupação de fim de semana (R04)</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35,0%</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41,5%</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29,9% a 66,9% nas noites; média de 46,1%</w:t>
            </w:r>
          </w:p>
        </w:tc>
        <w:tc>
          <w:tcPr>
            <w:tcW w:type="dxa" w:w="110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N5 + N6</w:t>
            </w:r>
          </w:p>
        </w:tc>
      </w:tr>
      <w:tr>
        <w:trPr>
          <w:cantSplit/>
          <w:tblHeader w:val="false"/>
        </w:trPr>
        <w:tc>
          <w:tcPr>
            <w:tcW w:type="dxa" w:w="33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Ocupação de dia útil (R05)</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18,0%</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23,2%</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medida</w:t>
            </w:r>
          </w:p>
        </w:tc>
        <w:tc>
          <w:tcPr>
            <w:tcW w:type="dxa" w:w="110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N6</w:t>
            </w:r>
          </w:p>
        </w:tc>
      </w:tr>
      <w:tr>
        <w:trPr>
          <w:cantSplit/>
          <w:tblHeader w:val="false"/>
        </w:trPr>
        <w:tc>
          <w:tcPr>
            <w:tcW w:type="dxa" w:w="33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Gasto com A&amp;B por pessoa (R08)</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R$ 24,00</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right"/>
            </w:pPr>
            <w:r>
              <w:rPr>
                <w:rFonts w:ascii="Arial" w:cs="Arial" w:eastAsia="Arial" w:hAnsi="Arial"/>
                <w:b w:val="false"/>
                <w:bCs w:val="false"/>
                <w:sz w:val="20"/>
                <w:szCs w:val="20"/>
              </w:rPr>
              <w:t xml:space="preserve">R$ 30,94</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R$ 23,91 nas notas dos observadores</w:t>
            </w:r>
          </w:p>
        </w:tc>
        <w:tc>
          <w:tcPr>
            <w:tcW w:type="dxa" w:w="110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N3 + N5</w:t>
            </w:r>
          </w:p>
        </w:tc>
      </w:tr>
      <w:tr>
        <w:trPr>
          <w:cantSplit/>
          <w:tblHeader w:val="false"/>
        </w:trPr>
        <w:tc>
          <w:tcPr>
            <w:tcW w:type="dxa" w:w="331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Área do ponto (C03)</w:t>
            </w:r>
          </w:p>
        </w:tc>
        <w:tc>
          <w:tcPr>
            <w:tcW w:type="dxa" w:w="15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180 m²</w:t>
            </w:r>
          </w:p>
        </w:tc>
        <w:tc>
          <w:tcPr>
            <w:tcW w:type="dxa" w:w="15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123 m²</w:t>
            </w:r>
          </w:p>
        </w:tc>
        <w:tc>
          <w:tcPr>
            <w:tcW w:type="dxa" w:w="15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não se aplica</w:t>
            </w:r>
          </w:p>
        </w:tc>
        <w:tc>
          <w:tcPr>
            <w:tcW w:type="dxa" w:w="110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N6</w:t>
            </w:r>
          </w:p>
        </w:tc>
      </w:tr>
    </w:tbl>
    <w:p>
      <w:pPr>
        <w:keepNext w:val="false"/>
        <w:spacing w:after="240" w:before="0" w:line="240"/>
        <w:jc w:val="left"/>
      </w:pPr>
      <w:r>
        <w:rPr>
          <w:rFonts w:ascii="Arial" w:cs="Arial" w:eastAsia="Arial" w:hAnsi="Arial"/>
          <w:sz w:val="20"/>
          <w:szCs w:val="20"/>
        </w:rPr>
        <w:t xml:space="preserve">Fonte: elaborado pelo próprio autor com base no modelo do cap. 9 e no Bloco B3 (2026).</w:t>
      </w:r>
    </w:p>
    <w:p>
      <w:pPr>
        <w:spacing w:after="0" w:line="360"/>
        <w:ind w:firstLine="709"/>
        <w:jc w:val="both"/>
      </w:pPr>
      <w:r>
        <w:rPr>
          <w:rFonts w:ascii="Arial" w:cs="Arial" w:eastAsia="Arial" w:hAnsi="Arial"/>
          <w:sz w:val="24"/>
          <w:szCs w:val="24"/>
        </w:rPr>
        <w:t xml:space="preserve">A ocupação de fim de semana tem a menor distância até a ruptura: 6,5 pontos percentuais. A média das noites medidas (46,1%) fica acima da ruptura, mas mede só o horário de pico; o dia inteiro de sábado e domingo fica abaixo. A ocupação de dia útil é a fraqueza de evidência do plano: é premissa crítica sustentada só por estimativa do autor (N6), o que viola a regra de robustez (</w:t>
      </w:r>
      <w:r>
        <w:rPr>
          <w:rFonts w:ascii="Arial" w:cs="Arial" w:eastAsia="Arial" w:hAnsi="Arial"/>
          <w:sz w:val="24"/>
          <w:szCs w:val="24"/>
        </w:rPr>
        <w:t xml:space="preserve">_instrucoes/8_financeiro.md</w:t>
      </w:r>
      <w:r>
        <w:rPr>
          <w:rFonts w:ascii="Arial" w:cs="Arial" w:eastAsia="Arial" w:hAnsi="Arial"/>
          <w:sz w:val="24"/>
          <w:szCs w:val="24"/>
        </w:rPr>
        <w:t xml:space="preserve">). Nenhuma visita foi feita em dia útil.</w:t>
      </w:r>
    </w:p>
    <w:p>
      <w:pPr>
        <w:spacing w:after="0" w:line="360"/>
        <w:ind w:firstLine="709"/>
        <w:jc w:val="both"/>
      </w:pPr>
      <w:r>
        <w:rPr>
          <w:rFonts w:ascii="Arial" w:cs="Arial" w:eastAsia="Arial" w:hAnsi="Arial"/>
          <w:sz w:val="24"/>
          <w:szCs w:val="24"/>
        </w:rPr>
        <w:t xml:space="preserve">Combinações pequenas tornam o VPL positivo. Com a equipe do cap. 7, ocupação de 40% no fim de semana e de 20% no dia útil dá VPL de R$ 33 mil; gasto com A&amp;B de R$ 32,00, com as demais no provável, dá R$ 33 mil; área de 150 m² com gasto de R$ 28,00 dá R$ 23 mil. Com o quadro de 12 pessoas, nenhuma dessas combinações basta.</w:t>
      </w:r>
    </w:p>
    <w:p>
      <w:pPr>
        <w:pStyle w:val="Heading1"/>
        <w:keepNext/>
        <w:spacing w:after="240" w:before="360" w:line="360"/>
      </w:pPr>
      <w:r>
        <w:rPr>
          <w:rFonts w:ascii="Arial" w:cs="Arial" w:eastAsia="Arial" w:hAnsi="Arial"/>
          <w:b/>
          <w:bCs/>
          <w:sz w:val="24"/>
          <w:szCs w:val="24"/>
        </w:rPr>
        <w:t xml:space="preserve">10.4 MATRIZ DE RISCOS</w:t>
      </w:r>
    </w:p>
    <w:p>
      <w:pPr>
        <w:spacing w:after="0" w:line="360"/>
        <w:ind w:firstLine="709"/>
        <w:jc w:val="both"/>
      </w:pPr>
      <w:r>
        <w:rPr>
          <w:rFonts w:ascii="Arial" w:cs="Arial" w:eastAsia="Arial" w:hAnsi="Arial"/>
          <w:sz w:val="24"/>
          <w:szCs w:val="24"/>
        </w:rPr>
        <w:t xml:space="preserve">Os riscos de maior impacto são os de demanda e de custo fixo. O Quadro 10.4 classifica cada risco pela probabilidade e pelo impacto, com a evidência que sustenta a classificação.</w:t>
      </w:r>
    </w:p>
    <w:p>
      <w:pPr>
        <w:keepNext/>
        <w:spacing w:after="0" w:before="240" w:line="240"/>
        <w:jc w:val="left"/>
      </w:pPr>
      <w:r>
        <w:rPr>
          <w:rFonts w:ascii="Arial" w:cs="Arial" w:eastAsia="Arial" w:hAnsi="Arial"/>
          <w:b/>
          <w:bCs/>
          <w:sz w:val="20"/>
          <w:szCs w:val="20"/>
        </w:rPr>
        <w:t xml:space="preserve">Quadro 10.4 – Matriz de riscos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5"/>
        <w:gridCol w:w="1591"/>
        <w:gridCol w:w="1591"/>
        <w:gridCol w:w="1591"/>
        <w:gridCol w:w="1593"/>
      </w:tblGrid>
      <w:tr>
        <w:trPr>
          <w:cantSplit/>
          <w:tblHeader/>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Risco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Tipo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Probabilidade</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Impacto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center"/>
            </w:pPr>
            <w:r>
              <w:rPr>
                <w:rFonts w:ascii="Arial" w:cs="Arial" w:eastAsia="Arial" w:hAnsi="Arial"/>
                <w:b/>
                <w:bCs/>
                <w:sz w:val="20"/>
                <w:szCs w:val="20"/>
              </w:rPr>
              <w:t xml:space="preserve">Evidência</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Ocupação de dia útil abaixo de 18%</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Mercado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Alta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Alto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N6; nenhuma visita em dia útil</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Ocupação de fim de semana abaixo de 41,5%</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Mercado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Média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Alto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Noites de 29,9% a 66,9% (B3)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Aluguel acima de R$ 54,15 por m² na Pituba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Financeiro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Alta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Médio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FipeZap só para Salvador inteira; alta de 18,9% em 12 meses</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Reforma e cozinha acima do provável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Financeiro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Média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Médio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Sem cotação (N6)</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Abertura de unidade da São Jogue perto do ponto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Mercado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Média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Alto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Rede com duas unidades (B3)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Lotação dos bombeiros abaixo de 48 assentos</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Legal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Baixa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Médio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Depende do projeto do imóvel (seção 7.2)</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Perda e desgaste do acervo acima de 10% ao ano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Operacional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Média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Baixo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tcPr>
          <w:p>
            <w:pPr>
              <w:spacing w:after="0" w:line="240"/>
              <w:jc w:val="left"/>
            </w:pPr>
            <w:r>
              <w:rPr>
                <w:rFonts w:ascii="Arial" w:cs="Arial" w:eastAsia="Arial" w:hAnsi="Arial"/>
                <w:b w:val="false"/>
                <w:bCs w:val="false"/>
                <w:sz w:val="20"/>
                <w:szCs w:val="20"/>
              </w:rPr>
              <w:t xml:space="preserve">N6 (C13)</w:t>
            </w:r>
          </w:p>
        </w:tc>
      </w:tr>
    </w:tbl>
    <w:p>
      <w:pPr>
        <w:keepNext w:val="false"/>
        <w:spacing w:after="240" w:before="0" w:line="240"/>
        <w:jc w:val="left"/>
      </w:pPr>
      <w:r>
        <w:rPr>
          <w:rFonts w:ascii="Arial" w:cs="Arial" w:eastAsia="Arial" w:hAnsi="Arial"/>
          <w:sz w:val="20"/>
          <w:szCs w:val="20"/>
        </w:rPr>
        <w:t xml:space="preserve">Fonte: elaborado pelo próprio autor com base nos caps. 5 a 9.</w:t>
      </w:r>
    </w:p>
    <w:p>
      <w:pPr>
        <w:pStyle w:val="Heading1"/>
        <w:keepNext/>
        <w:spacing w:after="240" w:before="360" w:line="360"/>
      </w:pPr>
      <w:r>
        <w:rPr>
          <w:rFonts w:ascii="Arial" w:cs="Arial" w:eastAsia="Arial" w:hAnsi="Arial"/>
          <w:b/>
          <w:bCs/>
          <w:sz w:val="24"/>
          <w:szCs w:val="24"/>
        </w:rPr>
        <w:t xml:space="preserve">10.5 CONTINGÊNCIA E MONITORAMENTO</w:t>
      </w:r>
    </w:p>
    <w:p>
      <w:pPr>
        <w:spacing w:after="0" w:line="360"/>
        <w:ind w:firstLine="709"/>
        <w:jc w:val="both"/>
      </w:pPr>
      <w:r>
        <w:rPr>
          <w:rFonts w:ascii="Arial" w:cs="Arial" w:eastAsia="Arial" w:hAnsi="Arial"/>
          <w:sz w:val="24"/>
          <w:szCs w:val="24"/>
        </w:rPr>
        <w:t xml:space="preserve">O investimento depende de três validações. Primeiro, a ocupação de dia útil precisa de medida própria: uma visita de segunda a quinta à São Jogue, com o mesmo app, troca o N6 por N5. Na sequência, o ponto e a reforma precisam de cotação na Pituba, com área de 150 a 180 m². Por fim, um evento piloto com o acervo inicial mede o gasto com A&amp;B por pessoa fora das mesas dos observadores. O plano só segue se as três confirmarem a combinação da seção 10.3.</w:t>
      </w:r>
    </w:p>
    <w:p>
      <w:pPr>
        <w:spacing w:after="0" w:line="360"/>
        <w:ind w:firstLine="709"/>
        <w:jc w:val="both"/>
      </w:pPr>
      <w:r>
        <w:rPr>
          <w:rFonts w:ascii="Arial" w:cs="Arial" w:eastAsia="Arial" w:hAnsi="Arial"/>
          <w:sz w:val="24"/>
          <w:szCs w:val="24"/>
        </w:rPr>
        <w:t xml:space="preserve">Depois da abertura, quatro indicadores semanais acompanham as premissas críticas. O limite de alerta de cada um sai do ponto de ruptura:</w:t>
      </w:r>
    </w:p>
    <w:p>
      <w:pPr>
        <w:pStyle w:val="ListParagraph"/>
        <w:numPr>
          <w:ilvl w:val="0"/>
          <w:numId w:val="2"/>
        </w:numPr>
        <w:spacing w:after="0" w:line="360"/>
        <w:jc w:val="both"/>
      </w:pPr>
      <w:r>
        <w:rPr>
          <w:rFonts w:ascii="Arial" w:cs="Arial" w:eastAsia="Arial" w:hAnsi="Arial"/>
          <w:sz w:val="24"/>
          <w:szCs w:val="24"/>
        </w:rPr>
        <w:t xml:space="preserve">ocupação de fim de semana: alerta abaixo de 41,5% por quatro semanas seguidas;</w:t>
      </w:r>
    </w:p>
    <w:p>
      <w:pPr>
        <w:pStyle w:val="ListParagraph"/>
        <w:numPr>
          <w:ilvl w:val="0"/>
          <w:numId w:val="2"/>
        </w:numPr>
        <w:spacing w:after="0" w:line="360"/>
        <w:jc w:val="both"/>
      </w:pPr>
      <w:r>
        <w:rPr>
          <w:rFonts w:ascii="Arial" w:cs="Arial" w:eastAsia="Arial" w:hAnsi="Arial"/>
          <w:sz w:val="24"/>
          <w:szCs w:val="24"/>
        </w:rPr>
        <w:t xml:space="preserve">ocupação de dia útil: alerta abaixo de 23%;</w:t>
      </w:r>
    </w:p>
    <w:p>
      <w:pPr>
        <w:pStyle w:val="ListParagraph"/>
        <w:numPr>
          <w:ilvl w:val="0"/>
          <w:numId w:val="2"/>
        </w:numPr>
        <w:spacing w:after="0" w:line="360"/>
        <w:jc w:val="both"/>
      </w:pPr>
      <w:r>
        <w:rPr>
          <w:rFonts w:ascii="Arial" w:cs="Arial" w:eastAsia="Arial" w:hAnsi="Arial"/>
          <w:sz w:val="24"/>
          <w:szCs w:val="24"/>
        </w:rPr>
        <w:t xml:space="preserve">gasto com A&amp;B por pessoa, pelas notas: alerta abaixo de R$ 24,00;</w:t>
      </w:r>
    </w:p>
    <w:p>
      <w:pPr>
        <w:pStyle w:val="ListParagraph"/>
        <w:numPr>
          <w:ilvl w:val="0"/>
          <w:numId w:val="2"/>
        </w:numPr>
        <w:spacing w:after="0" w:line="360"/>
        <w:jc w:val="both"/>
      </w:pPr>
      <w:r>
        <w:rPr>
          <w:rFonts w:ascii="Arial" w:cs="Arial" w:eastAsia="Arial" w:hAnsi="Arial"/>
          <w:sz w:val="24"/>
          <w:szCs w:val="24"/>
        </w:rPr>
        <w:t xml:space="preserve">permanência média, pela reserva: alerta acima de 120 minutos.</w:t>
      </w:r>
    </w:p>
    <w:p>
      <w:pPr>
        <w:spacing w:after="0" w:line="360"/>
        <w:ind w:firstLine="709"/>
        <w:jc w:val="both"/>
      </w:pPr>
      <w:r>
        <w:rPr>
          <w:rFonts w:ascii="Arial" w:cs="Arial" w:eastAsia="Arial" w:hAnsi="Arial"/>
          <w:sz w:val="24"/>
          <w:szCs w:val="24"/>
        </w:rPr>
        <w:t xml:space="preserve">Cada alerta tem uma ação. Ocupação baixa no dia útil leva a reduzir o horário de segunda a quinta e a equipe do dia. Ocupação baixa no fim de semana leva a eventos e torneios nas noites de sexta. Gasto baixo com A&amp;B leva a rever o cardápio e a oferta do instrutor na mesa. A responsabilidade pelos indicadores é do gerente, com revisão mensal pelo sócio.</w:t>
      </w:r>
    </w:p>
    <w:p>
      <w:pPr>
        <w:pStyle w:val="Title"/>
        <w:pageBreakBefore/>
        <w:spacing w:after="480" w:line="360"/>
        <w:jc w:val="center"/>
      </w:pPr>
      <w:r>
        <w:rPr>
          <w:rFonts w:ascii="Arial" w:cs="Arial" w:eastAsia="Arial" w:hAnsi="Arial"/>
          <w:b/>
          <w:bCs/>
          <w:sz w:val="24"/>
          <w:szCs w:val="24"/>
        </w:rPr>
        <w:t xml:space="preserve">11 CONSIDERAÇÕES FINAIS</w:t>
      </w:r>
    </w:p>
    <w:p>
      <w:pPr>
        <w:pStyle w:val="Heading1"/>
        <w:keepNext/>
        <w:spacing w:after="240" w:before="360" w:line="360"/>
      </w:pPr>
      <w:r>
        <w:rPr>
          <w:rFonts w:ascii="Arial" w:cs="Arial" w:eastAsia="Arial" w:hAnsi="Arial"/>
          <w:b/>
          <w:bCs/>
          <w:sz w:val="24"/>
          <w:szCs w:val="24"/>
        </w:rPr>
        <w:t xml:space="preserve">11.1 PARECER DE VIABILIDADE</w:t>
      </w:r>
    </w:p>
    <w:p>
      <w:pPr>
        <w:spacing w:after="0" w:line="360"/>
        <w:ind w:firstLine="709"/>
        <w:jc w:val="both"/>
      </w:pPr>
      <w:r>
        <w:rPr>
          <w:rFonts w:ascii="Arial" w:cs="Arial" w:eastAsia="Arial" w:hAnsi="Arial"/>
          <w:sz w:val="24"/>
          <w:szCs w:val="24"/>
        </w:rPr>
        <w:t xml:space="preserve">A luderia em Salvador não é viável nas premissas prováveis deste plano. Com a equipe de 12 pessoas do modelo, o VPL é negativo em R$ 479 mil; com a equipe de 8 pessoas dimensionada pelo fluxo no cap. 7, é negativo em R$ 214 mil (Quadro 10.2). Nos dois casos, a receita madura cobre os custos de operação, mas não remunera o investimento à TMA real de 15%.</w:t>
      </w:r>
    </w:p>
    <w:p>
      <w:pPr>
        <w:spacing w:after="0" w:line="360"/>
        <w:ind w:firstLine="709"/>
        <w:jc w:val="both"/>
      </w:pPr>
      <w:r>
        <w:rPr>
          <w:rFonts w:ascii="Arial" w:cs="Arial" w:eastAsia="Arial" w:hAnsi="Arial"/>
          <w:sz w:val="24"/>
          <w:szCs w:val="24"/>
        </w:rPr>
        <w:t xml:space="preserve">O negócio passa a ser viável com a equipe do cap. 7 e uma de três condições: ocupação de fim de semana de 41,5% ou mais, gasto com A&amp;B de R$ 30,94 ou mais por pessoa, ou ocupação de 40% no fim de semana com 20% no dia útil (seção 10.3). Nenhuma dessas condições está fora do que foi observado: a média das noites de sexta e sábado medidas na São Jogue foi de 46,1%. A decisão de investir depende, portanto, de confirmar a ocupação fora das noites de pico, que este trabalho não mediu.</w:t>
      </w:r>
    </w:p>
    <w:p>
      <w:pPr>
        <w:pStyle w:val="Heading1"/>
        <w:keepNext/>
        <w:spacing w:after="240" w:before="360" w:line="360"/>
      </w:pPr>
      <w:r>
        <w:rPr>
          <w:rFonts w:ascii="Arial" w:cs="Arial" w:eastAsia="Arial" w:hAnsi="Arial"/>
          <w:b/>
          <w:bCs/>
          <w:sz w:val="24"/>
          <w:szCs w:val="24"/>
        </w:rPr>
        <w:t xml:space="preserve">11.2 SÍNTESE DOS OBJETIVOS</w:t>
      </w:r>
    </w:p>
    <w:p>
      <w:pPr>
        <w:spacing w:after="0" w:line="360"/>
        <w:ind w:firstLine="709"/>
        <w:jc w:val="both"/>
      </w:pPr>
      <w:r>
        <w:rPr>
          <w:rFonts w:ascii="Arial" w:cs="Arial" w:eastAsia="Arial" w:hAnsi="Arial"/>
          <w:sz w:val="24"/>
          <w:szCs w:val="24"/>
        </w:rPr>
        <w:t xml:space="preserve">O objetivo (i) foi analisar o mercado e a concorrência nas 14 metrópoles. O B1 reuniu 54 luderias com mais de 100 avaliações; Salvador tem uma, a São Jogue, com duas unidades. A taxa de entrada de fim de semana tem mediana de R$ 25,00 entre os 22 concorrentes que a cobram, e o consumo por pessoa, de R$ 50,25 (cap. 5 e seção 6.3). A decisão que esse objetivo sustenta é de preço: a luderia cobra como a São Jogue, R$ 28,00 no fim de semana, acima da mediana.</w:t>
      </w:r>
    </w:p>
    <w:p>
      <w:pPr>
        <w:spacing w:after="0" w:line="360"/>
        <w:ind w:firstLine="709"/>
        <w:jc w:val="both"/>
      </w:pPr>
      <w:r>
        <w:rPr>
          <w:rFonts w:ascii="Arial" w:cs="Arial" w:eastAsia="Arial" w:hAnsi="Arial"/>
          <w:sz w:val="24"/>
          <w:szCs w:val="24"/>
        </w:rPr>
        <w:t xml:space="preserve">O objetivo (ii) foi definir o posicionamento e o composto de marketing a partir do que pesa na satisfação. </w:t>
      </w:r>
      <w:r>
        <w:rPr>
          <w:rFonts w:ascii="Arial" w:cs="Arial" w:eastAsia="Arial" w:hAnsi="Arial"/>
          <w:sz w:val="24"/>
          <w:szCs w:val="24"/>
        </w:rPr>
        <w:t xml:space="preserve">[após a recodificação: temas do B2 que mais movem a nota e a proposta de valor do 6.1.]</w:t>
      </w:r>
      <w:r>
        <w:rPr>
          <w:rFonts w:ascii="Arial" w:cs="Arial" w:eastAsia="Arial" w:hAnsi="Arial"/>
          <w:sz w:val="24"/>
          <w:szCs w:val="24"/>
        </w:rPr>
        <w:t xml:space="preserve"> O preço e a praça já estão decididos: taxa por pessoa por turno de 3 horas e ponto na Pituba, a até 1.000 m do metrô (seções 6.3 e 6.4).</w:t>
      </w:r>
    </w:p>
    <w:p>
      <w:pPr>
        <w:spacing w:after="0" w:line="360"/>
        <w:ind w:firstLine="709"/>
        <w:jc w:val="both"/>
      </w:pPr>
      <w:r>
        <w:rPr>
          <w:rFonts w:ascii="Arial" w:cs="Arial" w:eastAsia="Arial" w:hAnsi="Arial"/>
          <w:sz w:val="24"/>
          <w:szCs w:val="24"/>
        </w:rPr>
        <w:t xml:space="preserve">O objetivo (iii) foi estimar a demanda, a ocupação e o giro. As quatro visitas do B3 deram grupos de 3,6 pessoas, permanência de 109 minutos e ocupação de 29,9% a 66,9% nas noites de pico (cap. 9). </w:t>
      </w:r>
      <w:r>
        <w:rPr>
          <w:rFonts w:ascii="Arial" w:cs="Arial" w:eastAsia="Arial" w:hAnsi="Arial"/>
          <w:sz w:val="24"/>
          <w:szCs w:val="24"/>
        </w:rPr>
        <w:t xml:space="preserve">[após a recodificação: calibração da demanda do 6.6.]</w:t>
      </w:r>
      <w:r>
        <w:rPr>
          <w:rFonts w:ascii="Arial" w:cs="Arial" w:eastAsia="Arial" w:hAnsi="Arial"/>
          <w:sz w:val="24"/>
          <w:szCs w:val="24"/>
        </w:rPr>
        <w:t xml:space="preserve"> A ocupação de dia útil segue como estimativa do autor.</w:t>
      </w:r>
    </w:p>
    <w:p>
      <w:pPr>
        <w:spacing w:after="0" w:line="360"/>
        <w:ind w:firstLine="709"/>
        <w:jc w:val="both"/>
      </w:pPr>
      <w:r>
        <w:rPr>
          <w:rFonts w:ascii="Arial" w:cs="Arial" w:eastAsia="Arial" w:hAnsi="Arial"/>
          <w:sz w:val="24"/>
          <w:szCs w:val="24"/>
        </w:rPr>
        <w:t xml:space="preserve">O objetivo (iv) foi dimensionar a operação e os requisitos jurídicos. O salão de 10 mesas e 48 assentos tem capacidade de 193 pessoas por dia, e a demanda provável usa 25% dela; uma equipe de 8 pessoas atende o fluxo medido (cap. 7). A empresa é uma sociedade limitada no Simples Nacional, que custa 10,1% da receita (cap. 8).</w:t>
      </w:r>
    </w:p>
    <w:p>
      <w:pPr>
        <w:spacing w:after="0" w:line="360"/>
        <w:ind w:firstLine="709"/>
        <w:jc w:val="both"/>
      </w:pPr>
      <w:r>
        <w:rPr>
          <w:rFonts w:ascii="Arial" w:cs="Arial" w:eastAsia="Arial" w:hAnsi="Arial"/>
          <w:sz w:val="24"/>
          <w:szCs w:val="24"/>
        </w:rPr>
        <w:t xml:space="preserve">O objetivo (v) foi projetar investimento, receitas, custos e indicadores com premissas rastreáveis. O investimento provável é de R$ 503 mil, e as 38 premissas do modelo têm faixa, fonte e nível de evidência (cap. 9).</w:t>
      </w:r>
    </w:p>
    <w:p>
      <w:pPr>
        <w:spacing w:after="0" w:line="360"/>
        <w:ind w:firstLine="709"/>
        <w:jc w:val="both"/>
      </w:pPr>
      <w:r>
        <w:rPr>
          <w:rFonts w:ascii="Arial" w:cs="Arial" w:eastAsia="Arial" w:hAnsi="Arial"/>
          <w:sz w:val="24"/>
          <w:szCs w:val="24"/>
        </w:rPr>
        <w:t xml:space="preserve">O objetivo (vi) foi identificar as premissas críticas e os pontos de ruptura. São quatro, todas de demanda: permanência, pessoas por grupo e ocupação de fim de semana e de dia útil. A de menor folga é a ocupação de fim de semana (cap. 10).</w:t>
      </w:r>
    </w:p>
    <w:p>
      <w:pPr>
        <w:spacing w:after="0" w:line="360"/>
        <w:ind w:firstLine="709"/>
        <w:jc w:val="both"/>
      </w:pPr>
      <w:r>
        <w:rPr>
          <w:rFonts w:ascii="Arial" w:cs="Arial" w:eastAsia="Arial" w:hAnsi="Arial"/>
          <w:sz w:val="24"/>
          <w:szCs w:val="24"/>
        </w:rPr>
        <w:t xml:space="preserve">O objetivo (vii) foi propor contingência e validações. O plano define quatro indicadores semanais com limite de alerta tirado do ponto de ruptura e três validações antes de investir (seção 10.5).</w:t>
      </w:r>
    </w:p>
    <w:p>
      <w:pPr>
        <w:pStyle w:val="Heading1"/>
        <w:keepNext/>
        <w:spacing w:after="240" w:before="360" w:line="360"/>
      </w:pPr>
      <w:r>
        <w:rPr>
          <w:rFonts w:ascii="Arial" w:cs="Arial" w:eastAsia="Arial" w:hAnsi="Arial"/>
          <w:b/>
          <w:bCs/>
          <w:sz w:val="24"/>
          <w:szCs w:val="24"/>
        </w:rPr>
        <w:t xml:space="preserve">11.3 LIMITAÇÕES</w:t>
      </w:r>
    </w:p>
    <w:p>
      <w:pPr>
        <w:spacing w:after="0" w:line="360"/>
        <w:ind w:firstLine="709"/>
        <w:jc w:val="both"/>
      </w:pPr>
      <w:r>
        <w:rPr>
          <w:rFonts w:ascii="Arial" w:cs="Arial" w:eastAsia="Arial" w:hAnsi="Arial"/>
          <w:sz w:val="24"/>
          <w:szCs w:val="24"/>
        </w:rPr>
        <w:t xml:space="preserve">A ocupação de dia útil é a maior limitação. Ela é premissa crítica e só tem estimativa do autor (N6), porque as visitas foram feitas em noites de sexta e sábado, por orientação, para medir o movimento máximo.</w:t>
      </w:r>
    </w:p>
    <w:p>
      <w:pPr>
        <w:spacing w:after="0" w:line="360"/>
        <w:ind w:firstLine="709"/>
        <w:jc w:val="both"/>
      </w:pPr>
      <w:r>
        <w:rPr>
          <w:rFonts w:ascii="Arial" w:cs="Arial" w:eastAsia="Arial" w:hAnsi="Arial"/>
          <w:sz w:val="24"/>
          <w:szCs w:val="24"/>
        </w:rPr>
        <w:t xml:space="preserve">As notas fiscais dão só um piso das vendas. A São Jogue emite a NFC-e a pedido do cliente, então as notas emitidas entre as visitas subestimam o fluxo. Houve ainda um único intervalo entre as visitas de cada unidade, abaixo dos 15 dias planejados: 13 dias na Paralela (17/10 a 30/10/2026) e 6 dias na Bela Vista (10/10 a 16/10/2026). Esse intervalo não capta a variação do mês nem a sazonalidade.</w:t>
      </w:r>
    </w:p>
    <w:p>
      <w:pPr>
        <w:spacing w:after="0" w:line="360"/>
        <w:ind w:firstLine="709"/>
        <w:jc w:val="both"/>
      </w:pPr>
      <w:r>
        <w:rPr>
          <w:rFonts w:ascii="Arial" w:cs="Arial" w:eastAsia="Arial" w:hAnsi="Arial"/>
          <w:sz w:val="24"/>
          <w:szCs w:val="24"/>
        </w:rPr>
        <w:t xml:space="preserve">O investimento não tem cotação. Área, reforma, mobiliário e cozinha são estimativas do autor (N6), e o aluguel usa o FipeZap de Salvador inteira, sem o recorte da Pituba.</w:t>
      </w:r>
    </w:p>
    <w:p>
      <w:pPr>
        <w:spacing w:after="0" w:line="360"/>
        <w:ind w:firstLine="709"/>
        <w:jc w:val="both"/>
      </w:pPr>
      <w:r>
        <w:rPr>
          <w:rFonts w:ascii="Arial" w:cs="Arial" w:eastAsia="Arial" w:hAnsi="Arial"/>
          <w:sz w:val="24"/>
          <w:szCs w:val="24"/>
        </w:rPr>
        <w:t xml:space="preserve">A codificação dos temas das avaliações foi feita com apoio de inteligência artificial e validada por uma amostra recodificada pelo autor </w:t>
      </w:r>
      <w:r>
        <w:rPr>
          <w:rFonts w:ascii="Arial" w:cs="Arial" w:eastAsia="Arial" w:hAnsi="Arial"/>
          <w:sz w:val="24"/>
          <w:szCs w:val="24"/>
        </w:rPr>
        <w:t xml:space="preserve">[resultado do kappa]</w:t>
      </w:r>
      <w:r>
        <w:rPr>
          <w:rFonts w:ascii="Arial" w:cs="Arial" w:eastAsia="Arial" w:hAnsi="Arial"/>
          <w:sz w:val="24"/>
          <w:szCs w:val="24"/>
        </w:rPr>
        <w:t xml:space="preserve">. O B2 cobre só as avaliações dos últimos três meses de cada concorrente.</w:t>
      </w:r>
    </w:p>
    <w:p>
      <w:pPr>
        <w:pStyle w:val="Heading1"/>
        <w:keepNext/>
        <w:spacing w:after="240" w:before="360" w:line="360"/>
      </w:pPr>
      <w:r>
        <w:rPr>
          <w:rFonts w:ascii="Arial" w:cs="Arial" w:eastAsia="Arial" w:hAnsi="Arial"/>
          <w:b/>
          <w:bCs/>
          <w:sz w:val="24"/>
          <w:szCs w:val="24"/>
        </w:rPr>
        <w:t xml:space="preserve">11.4 PRÓXIMOS PASSOS</w:t>
      </w:r>
    </w:p>
    <w:p>
      <w:pPr>
        <w:spacing w:after="0" w:line="360"/>
        <w:ind w:firstLine="709"/>
        <w:jc w:val="both"/>
      </w:pPr>
      <w:r>
        <w:rPr>
          <w:rFonts w:ascii="Arial" w:cs="Arial" w:eastAsia="Arial" w:hAnsi="Arial"/>
          <w:sz w:val="24"/>
          <w:szCs w:val="24"/>
        </w:rPr>
        <w:t xml:space="preserve">Antes de investir, três validações reduzem a incerteza das premissas críticas: uma visita em dia útil à São Jogue, com o mesmo app de contagem; a cotação de pontos de 150 a 180 m² na Pituba, com reforma e cozinha; e um evento piloto com o acervo inicial, para medir o gasto com A&amp;B por pessoa.</w:t>
      </w:r>
    </w:p>
    <w:p>
      <w:pPr>
        <w:pStyle w:val="Heading1"/>
        <w:keepNext/>
        <w:spacing w:after="240" w:before="360" w:line="360"/>
      </w:pPr>
      <w:r>
        <w:rPr>
          <w:rFonts w:ascii="Arial" w:cs="Arial" w:eastAsia="Arial" w:hAnsi="Arial"/>
          <w:b/>
          <w:bCs/>
          <w:sz w:val="24"/>
          <w:szCs w:val="24"/>
        </w:rPr>
        <w:t xml:space="preserve">11.5 ESTUDOS FUTUROS</w:t>
      </w:r>
    </w:p>
    <w:p>
      <w:pPr>
        <w:spacing w:after="0" w:line="360"/>
        <w:ind w:firstLine="709"/>
        <w:jc w:val="both"/>
      </w:pPr>
      <w:r>
        <w:rPr>
          <w:rFonts w:ascii="Arial" w:cs="Arial" w:eastAsia="Arial" w:hAnsi="Arial"/>
          <w:sz w:val="24"/>
          <w:szCs w:val="24"/>
        </w:rPr>
        <w:t xml:space="preserve">Ficaram fora do escopo o histórico completo de avaliações, sem o recorte de três meses; o histórico dos avaliadores, que mostraria a frequência de visita a luderias; e a comparação entre modelos de A&amp;B (cozinha própria, parceria ou só bar), que muda o investimento e o CMV.</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284"/>
      </w:pPr>
    </w:lvl>
  </w:abstractNum>
  <w:abstractNum w:abstractNumId="3" w15:restartNumberingAfterBreak="0">
    <w:multiLevelType w:val="hybridMultilevel"/>
    <w:lvl w:ilvl="0" w15:tentative="1">
      <w:start w:val="1"/>
      <w:numFmt w:val="decimal"/>
      <w:lvlText w:val="%1."/>
      <w:lvlJc w:val="left"/>
      <w:pPr>
        <w:ind w:lef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24"/>
      <w:szCs w:val="24"/>
    </w:rPr>
  </w:style>
  <w:style w:type="paragraph" w:styleId="Heading1">
    <w:name w:val="Heading 1"/>
    <w:basedOn w:val="Normal"/>
    <w:next w:val="Normal"/>
    <w:qFormat/>
    <w:pPr>
      <w:outlineLvl w:val="0"/>
    </w:pPr>
    <w:rPr>
      <w:rFonts w:ascii="Arial" w:cs="Arial" w:eastAsia="Arial" w:hAnsi="Arial"/>
      <w:b/>
      <w:bCs/>
      <w:color w:val="000000"/>
      <w:sz w:val="24"/>
      <w:szCs w:val="24"/>
    </w:rPr>
  </w:style>
  <w:style w:type="paragraph" w:styleId="Heading2">
    <w:name w:val="Heading 2"/>
    <w:basedOn w:val="Normal"/>
    <w:next w:val="Normal"/>
    <w:qFormat/>
    <w:pPr>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d407dc23bc13ce35fdf7cd2799a7486990e98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2026-10-31T15:23:13.816Z</dcterms:created>
  <dcterms:modified xsi:type="dcterms:W3CDTF">2026-10-31T15:23:13.817Z</dcterms:modified>
</cp:coreProperties>
</file>

<file path=docProps/custom.xml><?xml version="1.0" encoding="utf-8"?>
<Properties xmlns="http://schemas.openxmlformats.org/officeDocument/2006/custom-properties" xmlns:vt="http://schemas.openxmlformats.org/officeDocument/2006/docPropsVTypes"/>
</file>