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REFERENCIAL TEÓRICO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PLANO DE NEGÓCIOS E DECISÃO BASEADA EM EVIDÊNCIAS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plano de negócios descreve o empreendimento e testa, antes do investimento, se ele se sustenta. Dornelas (2021, [AV]) atribui ao plano duas funções: orientar a gestão e comunicar a oportunidade a sócios e financiadores. Os componentes do plano organizam os capítulos 5 a 9, e o sumário executivo (capítulo 4) condensa o resultado em uma decisão: investir ou não.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valor do plano depende da qualidade das premissas. A gestão baseada em evidências é o uso consciente, explícito e criterioso das melhores evidências disponíveis na tomada de decisão (FIGUEIREDO, 2020, p. 31). As evidências vêm de pesquisas científicas, de dados da própria organização, da experiência profissional e dos valores das partes afetadas (FIGUEIREDO, 2020, p. 31). Um negócio ainda não aberto não tem dados próprios: o trabalho usa dados de estabelecimentos comparáveis, ordenados pela escala de confiança N1–N6 (capítulo 3).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Quando a evidência é insuficiente, a decisão trabalha com a evidência limitada e a complementa com testes piloto (FIGUEIREDO, 2020, p. 32). Por isso, as premissas de maior incerteza recebem faixa pessimista, provável e otimista (capítulo 9) e indicam as validações a fazer antes do investimento (capítulo 11).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ESTRATÉGIA E MODELO DE NEGÓCIO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2.2.1 Ambiente competitivo e macroambiente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rentabilidade de um setor depende de cinco forças: a rivalidade entre concorrentes, a ameaça de novos entrantes, a ameaça de substitutos e o poder de negociação de compradores e de fornecedores (PORTER, 2004, [AV]). No caso da luderia, os substitutos são bares, restaurantes e outras formas de lazer noturno, e os fornecedores críticos são as editoras de jogos e os de alimentos e bebidas. O capítulo 5.3 aplica as cinco forças aos concorrentes do Bloco B1.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macroambiente reúne as forças externas que a empresa não controla (KOTLER; KELLER, 2012, [AV]). O capítulo 5.5 organiza essas forças pela análise PESTEL, em seis dimensões: política, econômica, social, tecnológica, ambiental e legal.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2.2.2 Atributos de satisfação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Kano classifica os atributos de um serviço pela relação entre desempenho e satisfação. Atributos obrigatórios geram insatisfação quando ausentes, mas não geram satisfação quando presentes; atributos atrativos geram satisfação quando presentes, sem gerar insatisfação quando ausentes (TONTINI; THEISS, 2005, p. 35–36).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análise do contraste da penalidade e da recompensa (PRC) faz essa classificação a partir de dados de satisfação. A satisfação geral é regredida contra indicadores de desempenho abaixo e acima de uma referência: o coeficiente de penalidade mede a perda de satisfação no primeiro caso, e o de recompensa, o ganho no segundo (PICOLO; TONTINI, 2008, p. 42–45). Atributo com penalidade maior que a recompensa é obrigatório; com recompensa maior, atrativo (PICOLO; TONTINI, 2008, p. 50–51). O capítulo 6 aplica a lógica às avaliações do Bloco B2, comparando a nota de quem elogia, de quem critica e de quem não menciona cada aspecto.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PRC tem um limite: só identifica atributos que o cliente já experimentou, e atributos inovadores tendem a sair como não significativos (PICOLO; TONTINI, 2008, p. 56). O posicionamento usa a PRC para decidir o que não pode ser reduzido; o que a luderia cria de novo precisa de outra evidência, como a oferta de luderias de outras metrópoles.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2.2.3 Diagnóstico estratégico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análise SWOT cruza as forças e fraquezas internas do negócio com as oportunidades e ameaças do ambiente (KOTLER; KELLER, 2012, [AV]). No capítulo 10.1, cada item da matriz aponta para o dado do capítulo 5 ou 6 que o sustenta, e item sem dado sai.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ECONOMIA DA EXPERIÊNCIA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Pine e Gilmore (1999, [AV]) tratam a experiência como uma oferta econômica própria, distinta de bens e serviços: a empresa encena um acontecimento memorável, e o cliente paga pelo tempo que passa nele. A luderia vende uma ocasião social, e não o uso de um jogo: o jogo é o meio, e o produto é o encontro em torno da mesa. A distinção orienta a proposta de valor (capítulo 6.1) e a leitura das ocasiões de consumo nas avaliações (capítulo 5.2).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PÚBLICO DE JOGOS DE TABULEIRO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jogo de tabuleiro moderno valoriza a interação presencial. Em entrevistas com jogadores adultos, Sarpa (2016, p. 39–40) encontrou o jogo descrito como o elo que reúne as pessoas, mais importante que o próprio jogo, e situado no fim de semana, com amigos.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levantamentos de perfil do público, como o Censo Ludopedia, usam amostras autosselecionadas de usuários de portais especializados (FIGUEIREDO; MANTOVANI, 2022, p. 4–5). Eles descrevem o jogador engajado, dono de acervo, e não o frequentador médio de uma luderia. Por isso, o perfil do frequentador sai das avaliações do Bloco B2 (capítulo 5.2).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preço é a barreira mais citada: 57% dos respondentes do Censo Ludopedia apontam o preço elevado como a maior preocupação com os jogos fabricados no Brasil (FIGUEIREDO; MANTOVANI, 2022, p. 4). O dado tem leitura dupla. O acervo da luderia dá acesso a jogos que o cliente não compraria; o jogador que já tem acervo, porém, compara o gasto no bar com a compra de um jogo, e entrevistados de Sarpa (2016, p. 41) descrevem esse gasto como "desperdício de dinheiro". A tensão entra na definição da taxa de entrada (capítulo 6.3).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Mecânicas de fácil apreensão aumentam a probabilidade de sucesso de um título entre usuários brasileiros, e jogos de guerra e de cartas colecionáveis a reduzem (FIGUEIREDO; MANTOVANI, 2022, p. 12). O capítulo 6.2 cruza o resultado com os jogos citados nas avaliações do Bloco B2.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 ESTABELECIMENTOS DE LAZER E ENTRETENIMENTO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pertence ao segmento de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competitive socialising</w:t>
      </w:r>
      <w:r>
        <w:rPr>
          <w:rFonts w:ascii="Arial" w:cs="Arial" w:eastAsia="Arial" w:hAnsi="Arial"/>
          <w:sz w:val="24"/>
          <w:szCs w:val="24"/>
        </w:rPr>
        <w:t xml:space="preserve">: estabelecimentos que combinam uma atividade de jogo com alimentos e bebidas em uma ocasião social. No Reino Unido, os atributos mais exigidos nesses locais são os mesmos de qualquer bar: segurança (70%), preço (69%) e qualidade da comida (63%) (KAM INSIGHT, 2022, [AV-X02-a]). O jogo diferencia o local, mas não dispensa o básico da hospitalidade.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ambiente físico também compõe o serviço: as condições ambientais, o arranjo do espaço e os sinais do local afetam a avaliação do cliente (FITZSIMMONS; FITZSIMMONS; BORDOLOI, 2014, [AV]). Ainda assim, o ambiente não é o fator de maior peso. Em clientes do Outback Steakhouse no Brasil, a qualidade da comida teve o maior efeito sobre a imagem do restaurante (coeficiente padronizado de 0,866), acima do serviço (0,223) e do ambiente (0,107) (VASCONCELLOS, 2016, p. 45–47). Comida, serviço e ambiente formam categorias da análise de conteúdo do Bloco B2, ao lado do acervo e do preço.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capacidade de um serviço é perecível: a mesa vazia em uma hora não pode ser vendida na hora seguinte. A lei de Little liga as medidas de ocupação: o número médio de clientes no estabelecimento é igual à taxa de chegada multiplicada pela permanência média (FITZSIMMONS; FITZSIMMONS; BORDOLOI, 2014, [AV]). A relação dá consistência à contagem do Bloco B3 e ao dimensionamento da capacidade (capítulo 7.2).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2.6 VIABILIDADE E DECISÃO SOB INCERTEZA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valor presente líquido (VPL) é a soma dos fluxos de caixa futuros descontados pela taxa mínima de atratividade (TMA), menos o investimento inicial; VPL positivo indica que o projeto remunera o capital acima da TMA (ASSAF NETO, 2005, [AV-R04-a]). A taxa interna de retorno (TIR) é a taxa que torna o VPL igual a zero, e o projeto é aceito quando a TIR supera a TMA (ASSAF NETO, 2005, [AV-R04-b]). O payback descontado é o prazo em que os fluxos descontados recuperam o investimento (ASSAF NETO, 2005, [AV-R04-c]).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TMA parte de uma taxa livre de risco e soma um prêmio pelo risco do projeto (BRUNI, 2018, [AV]). Um negócio pequeno, de capital fechado e sem liquidez exige prêmio maior que o de uma empresa listada (DAMODARAN, 2010, [AV]). No capítulo 9, a TMA parte da Selic e do IPCA divulgados pelo Banco Central.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ponto de equilíbrio é o volume de vendas em que a receita cobre os custos fixos e variáveis (BRUNI; FAMÁ, 2019, [AV]). Na luderia, ele se expressa em visitantes por semana e pode ser comparado com o fluxo estimado.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único estudo de viabilidade localizado sobre o formato, de um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board game café</w:t>
      </w:r>
      <w:r>
        <w:rPr>
          <w:rFonts w:ascii="Arial" w:cs="Arial" w:eastAsia="Arial" w:hAnsi="Arial"/>
          <w:sz w:val="24"/>
          <w:szCs w:val="24"/>
        </w:rPr>
        <w:t xml:space="preserve"> em Ourinhos (SP), declara o negócio viável pelo payback simples e não testa a sensibilidade às premissas de receita (ASAKURA; SILVA; MELLO, 2018, [AV-R50-a]). O trabalho trata a incerteza de forma explícita. A análise de sensibilidade varia uma premissa por vez e mede o efeito sobre o VPL; ordenadas pelo efeito, as premissas formam o gráfico de tornado, e as de maior impacto são as premissas críticas (BRUNI, 2018, [AV]). O ponto de ruptura é o valor de uma premissa crítica que torna o VPL igual a zero (BRUNI, 2018, [AV]). Ele converte o resultado em condição: o negócio é viável enquanto a taxa de ocupação ficar acima de um valor determinado.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 — Conceitos do referencial teórico e sua aplicação no plano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7"/>
        <w:gridCol w:w="2451"/>
        <w:gridCol w:w="2453"/>
      </w:tblGrid>
      <w:tr>
        <w:trPr>
          <w:cantSplit/>
          <w:tblHeader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Conceito ou ferramenta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Decisão que apoia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Aplicação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baseada em evidências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 dado sustenta cada premissa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Cap. 3; cap. 11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Cinco forças; PESTEL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Espaço para um novo concorrente; limites externos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5.3 e 5.5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Kano e PRC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Atributos que não podem ser reduzidos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6.1 e 6.2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SWOT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Diagnóstico estratégico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Cap. 10.1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Economia da experiência;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competitive socialising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ocasião social como produto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5.2 e 6.1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do jogador; barreira de preço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Acervo e taxa de entrada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6.2 e 6.3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Ambiente físico; capacidade e lei de Little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Ambiente, mesas, giro e equipe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7 e 9.2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VPL, TIR, payback descontado, ponto de equilíbrio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Investir ou não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Cap. 9.6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Sensibilidade, tornado e ponto de ruptura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 quais condições o negócio se sustenta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Caps. 9.7 e 10.3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autor.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 citadas neste capítulo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ASAKURA, P. N.; SILVA, A. R. da; MELLO, D. A. Estudo de viabilidade econômica de um boardgame café no município de Ourinhos/SP.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Anais do CIC - FIO</w:t>
      </w:r>
      <w:r>
        <w:rPr>
          <w:rFonts w:ascii="Arial" w:cs="Arial" w:eastAsia="Arial" w:hAnsi="Arial"/>
          <w:sz w:val="24"/>
          <w:szCs w:val="24"/>
        </w:rPr>
        <w:t xml:space="preserve">, Ourinhos, 2018. Disponível em: http://www.cic.fio.edu.br/anaisCIC/anais2018/pdf/05_01.pdf.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ASSAF NETO, Alexandre.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Finanças corporativas e valor</w:t>
      </w:r>
      <w:r>
        <w:rPr>
          <w:rFonts w:ascii="Arial" w:cs="Arial" w:eastAsia="Arial" w:hAnsi="Arial"/>
          <w:sz w:val="24"/>
          <w:szCs w:val="24"/>
        </w:rPr>
        <w:t xml:space="preserve">. São Paulo: Atlas, 2005.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BRUNI, Adriano Leal.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Avaliação de investimentos</w:t>
      </w:r>
      <w:r>
        <w:rPr>
          <w:rFonts w:ascii="Arial" w:cs="Arial" w:eastAsia="Arial" w:hAnsi="Arial"/>
          <w:sz w:val="24"/>
          <w:szCs w:val="24"/>
        </w:rPr>
        <w:t xml:space="preserve">. 3. ed. São Paulo: Atlas, 2018.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BRUNI, Adriano Leal; FAMÁ, Rubens.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Gestão de custos e formação de preços</w:t>
      </w:r>
      <w:r>
        <w:rPr>
          <w:rFonts w:ascii="Arial" w:cs="Arial" w:eastAsia="Arial" w:hAnsi="Arial"/>
          <w:sz w:val="24"/>
          <w:szCs w:val="24"/>
        </w:rPr>
        <w:t xml:space="preserve">. 7. ed. São Paulo: Atlas, 2019.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DAMODARAN, Aswath.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Avaliação de investimentos</w:t>
      </w:r>
      <w:r>
        <w:rPr>
          <w:rFonts w:ascii="Arial" w:cs="Arial" w:eastAsia="Arial" w:hAnsi="Arial"/>
          <w:sz w:val="24"/>
          <w:szCs w:val="24"/>
        </w:rPr>
        <w:t xml:space="preserve">: ferramentas e técnicas para a determinação do valor de qualquer ativo. 2. ed. Rio de Janeiro: Qualitymark, 2010.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DORNELAS, José.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Plano de negócios</w:t>
      </w:r>
      <w:r>
        <w:rPr>
          <w:rFonts w:ascii="Arial" w:cs="Arial" w:eastAsia="Arial" w:hAnsi="Arial"/>
          <w:sz w:val="24"/>
          <w:szCs w:val="24"/>
        </w:rPr>
        <w:t xml:space="preserve">: seu guia definitivo. 3. ed. São Paulo: Empreende, 2021.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FIGUEIREDO, Américo Rodrigues de. Gestão baseada em evidências.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GV-executivo</w:t>
      </w:r>
      <w:r>
        <w:rPr>
          <w:rFonts w:ascii="Arial" w:cs="Arial" w:eastAsia="Arial" w:hAnsi="Arial"/>
          <w:sz w:val="24"/>
          <w:szCs w:val="24"/>
        </w:rPr>
        <w:t xml:space="preserve">, São Paulo, v. 19, n. 1, p. 30–32, jan./fev. 2020.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FIGUEIREDO, Caio Moretti de; MANTOVANI, Daielly Melina Nassif. Jogos de tabuleiro modernos e o consumidor brasileiro: uma análise das características desejáveis no produto via modelos estatístico-preditivos. In: SEMINÁRIOS EM ADMINISTRAÇÃO, 25., 2022, São Paulo.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Anais</w:t>
      </w:r>
      <w:r>
        <w:rPr>
          <w:rFonts w:ascii="Arial" w:cs="Arial" w:eastAsia="Arial" w:hAnsi="Arial"/>
          <w:sz w:val="24"/>
          <w:szCs w:val="24"/>
        </w:rPr>
        <w:t xml:space="preserve"> [...]. São Paulo: FEA-USP, 2022. Disponível em: https://login.semead.com.br/25semead/anais/arquivos/1057.pdf. [AV: data de acesso]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FITZSIMMONS, James A.; FITZSIMMONS, Mona J.; BORDOLOI, Sanjeev K.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Administração de serviços</w:t>
      </w:r>
      <w:r>
        <w:rPr>
          <w:rFonts w:ascii="Arial" w:cs="Arial" w:eastAsia="Arial" w:hAnsi="Arial"/>
          <w:sz w:val="24"/>
          <w:szCs w:val="24"/>
        </w:rPr>
        <w:t xml:space="preserve">: operações, estratégia e tecnologia da informação. 8. ed. Porto Alegre: AMGH, 2014.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KAM INSIGHT.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Competitive socialising</w:t>
      </w:r>
      <w:r>
        <w:rPr>
          <w:rFonts w:ascii="Arial" w:cs="Arial" w:eastAsia="Arial" w:hAnsi="Arial"/>
          <w:sz w:val="24"/>
          <w:szCs w:val="24"/>
        </w:rPr>
        <w:t xml:space="preserve">: winning a new customer occasion. KAM Media, 2022. Disponível em: https://kaminsight.com/wp-content/uploads/sites/2044/2023/07/KAM-Competitive-Socialising-Feb-22.pdf. [AV: data de acesso]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KOTLER, Philip; KELLER, Kevin Lane.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Administração de marketing</w:t>
      </w:r>
      <w:r>
        <w:rPr>
          <w:rFonts w:ascii="Arial" w:cs="Arial" w:eastAsia="Arial" w:hAnsi="Arial"/>
          <w:sz w:val="24"/>
          <w:szCs w:val="24"/>
        </w:rPr>
        <w:t xml:space="preserve">. 14. ed. São Paulo: Pearson, 2012.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PICOLO, Jaime Dagostim; TONTINI, Gérson. Análise do contraste da penalidade e da recompensa (PRC): identificando oportunidades de melhoria em um serviço.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RAM – Revista de Administração Mackenzie</w:t>
      </w:r>
      <w:r>
        <w:rPr>
          <w:rFonts w:ascii="Arial" w:cs="Arial" w:eastAsia="Arial" w:hAnsi="Arial"/>
          <w:sz w:val="24"/>
          <w:szCs w:val="24"/>
        </w:rPr>
        <w:t xml:space="preserve">, São Paulo, v. 9, n. 5, p. 35–58, 2008.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PINE, B. Joseph; GILMORE, James H.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O espetáculo dos negócios</w:t>
      </w:r>
      <w:r>
        <w:rPr>
          <w:rFonts w:ascii="Arial" w:cs="Arial" w:eastAsia="Arial" w:hAnsi="Arial"/>
          <w:sz w:val="24"/>
          <w:szCs w:val="24"/>
        </w:rPr>
        <w:t xml:space="preserve">. Rio de Janeiro: Campus, 1999.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PORTER, Michael 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Estratégia competitiva</w:t>
      </w:r>
      <w:r>
        <w:rPr>
          <w:rFonts w:ascii="Arial" w:cs="Arial" w:eastAsia="Arial" w:hAnsi="Arial"/>
          <w:sz w:val="24"/>
          <w:szCs w:val="24"/>
        </w:rPr>
        <w:t xml:space="preserve">: técnicas para análise de indústrias e da concorrência. 2. ed. Rio de Janeiro: Elsevier, 2004. 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SARPA, Bernard Calvert.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Experiências de consumo com jogos de tabuleiro modernos</w:t>
      </w:r>
      <w:r>
        <w:rPr>
          <w:rFonts w:ascii="Arial" w:cs="Arial" w:eastAsia="Arial" w:hAnsi="Arial"/>
          <w:sz w:val="24"/>
          <w:szCs w:val="24"/>
        </w:rPr>
        <w:t xml:space="preserve">. 2016. Dissertação (Mestrado em Administração) – Instituto COPPEAD de Administração, Universidade Federal do Rio de Janeiro, Rio de Janeiro, 2016.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TONTINI, Gérson; THEISS, Juscelene. Estudo sobre a confiabilidade da classificação dos atributos de um serviço pelo modelo Kano de qualidade atrativa e obrigatória.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RAI – Revista de Administração e Inovação</w:t>
      </w:r>
      <w:r>
        <w:rPr>
          <w:rFonts w:ascii="Arial" w:cs="Arial" w:eastAsia="Arial" w:hAnsi="Arial"/>
          <w:sz w:val="24"/>
          <w:szCs w:val="24"/>
        </w:rPr>
        <w:t xml:space="preserve">, São Paulo, v. 2, n. 1, p. 34–50, 2005.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VASCONCELLOS, Pedro Henrique da Silva Carvalho de Barros 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 influência da qualidade de serviço na imagem, satisfação e intenções comportamentais em restaurantes</w:t>
      </w:r>
      <w:r>
        <w:rPr>
          <w:rFonts w:ascii="Arial" w:cs="Arial" w:eastAsia="Arial" w:hAnsi="Arial"/>
          <w:sz w:val="24"/>
          <w:szCs w:val="24"/>
        </w:rPr>
        <w:t xml:space="preserve">: uma análise do Outback Steakhouse Brasil. 2016. Dissertação (Mestrado em Administração de Empresas) – Pontifícia Universidade Católica do Rio de Janeiro, Rio de Janeiro, 2016.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2026-10-31T15:23:13.529Z</dcterms:created>
  <dcterms:modified xsi:type="dcterms:W3CDTF">2026-10-31T15:23:13.530Z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